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ro-RO"/>
        </w:rPr>
        <w:id w:val="1321085435"/>
        <w:docPartObj>
          <w:docPartGallery w:val="Cover Pages"/>
          <w:docPartUnique/>
        </w:docPartObj>
      </w:sdtPr>
      <w:sdtEndPr>
        <w:rPr>
          <w:rFonts w:asciiTheme="majorHAnsi" w:hAnsiTheme="majorHAnsi"/>
          <w:b/>
          <w:color w:val="2E74B5" w:themeColor="accent1" w:themeShade="BF"/>
          <w:sz w:val="32"/>
        </w:rPr>
      </w:sdtEndPr>
      <w:sdtContent>
        <w:p w:rsidR="00D16190" w:rsidRDefault="00D16190">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6-11-05T00:00:00Z">
                                      <w:dateFormat w:val="M/d/yyyy"/>
                                      <w:lid w:val="en-US"/>
                                      <w:storeMappedDataAs w:val="dateTime"/>
                                      <w:calendar w:val="gregorian"/>
                                    </w:date>
                                  </w:sdtPr>
                                  <w:sdtEndPr/>
                                  <w:sdtContent>
                                    <w:p w:rsidR="00D16190" w:rsidRDefault="00D16190">
                                      <w:pPr>
                                        <w:pStyle w:val="NoSpacing"/>
                                        <w:jc w:val="right"/>
                                        <w:rPr>
                                          <w:color w:val="FFFFFF" w:themeColor="background1"/>
                                          <w:sz w:val="28"/>
                                          <w:szCs w:val="28"/>
                                        </w:rPr>
                                      </w:pPr>
                                      <w:r>
                                        <w:rPr>
                                          <w:color w:val="FFFFFF" w:themeColor="background1"/>
                                          <w:sz w:val="28"/>
                                          <w:szCs w:val="28"/>
                                        </w:rPr>
                                        <w:t>11/5/2016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6-11-05T00:00:00Z">
                                <w:dateFormat w:val="M/d/yyyy"/>
                                <w:lid w:val="en-US"/>
                                <w:storeMappedDataAs w:val="dateTime"/>
                                <w:calendar w:val="gregorian"/>
                              </w:date>
                            </w:sdtPr>
                            <w:sdtEndPr/>
                            <w:sdtContent>
                              <w:p w:rsidR="00D16190" w:rsidRDefault="00D16190">
                                <w:pPr>
                                  <w:pStyle w:val="NoSpacing"/>
                                  <w:jc w:val="right"/>
                                  <w:rPr>
                                    <w:color w:val="FFFFFF" w:themeColor="background1"/>
                                    <w:sz w:val="28"/>
                                    <w:szCs w:val="28"/>
                                  </w:rPr>
                                </w:pPr>
                                <w:r>
                                  <w:rPr>
                                    <w:color w:val="FFFFFF" w:themeColor="background1"/>
                                    <w:sz w:val="28"/>
                                    <w:szCs w:val="28"/>
                                  </w:rPr>
                                  <w:t>11/5/2016</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190" w:rsidRDefault="00D932FD">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16190">
                                      <w:rPr>
                                        <w:color w:val="5B9BD5" w:themeColor="accent1"/>
                                        <w:sz w:val="26"/>
                                        <w:szCs w:val="26"/>
                                      </w:rPr>
                                      <w:t>MINISTERUL FONDURILOR EUROPENE</w:t>
                                    </w:r>
                                  </w:sdtContent>
                                </w:sdt>
                              </w:p>
                              <w:p w:rsidR="00D16190" w:rsidRDefault="00D932F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D16190">
                                      <w:rPr>
                                        <w:caps/>
                                        <w:color w:val="595959" w:themeColor="text1" w:themeTint="A6"/>
                                        <w:sz w:val="20"/>
                                        <w:szCs w:val="20"/>
                                      </w:rPr>
                                      <w:t>DIRECȚIA GENERALĂ ASISTENȚĂ TEHNICĂ</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D16190" w:rsidRDefault="00A621E2">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16190">
                                <w:rPr>
                                  <w:color w:val="5B9BD5" w:themeColor="accent1"/>
                                  <w:sz w:val="26"/>
                                  <w:szCs w:val="26"/>
                                </w:rPr>
                                <w:t>MINISTERUL FONDURILOR EUROPENE</w:t>
                              </w:r>
                            </w:sdtContent>
                          </w:sdt>
                        </w:p>
                        <w:p w:rsidR="00D16190" w:rsidRDefault="00A621E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D16190">
                                <w:rPr>
                                  <w:caps/>
                                  <w:color w:val="595959" w:themeColor="text1" w:themeTint="A6"/>
                                  <w:sz w:val="20"/>
                                  <w:szCs w:val="20"/>
                                </w:rPr>
                                <w:t>DIRECȚIA GENERALĂ ASISTENȚĂ TEHNICĂ</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1FB2CD0" wp14:editId="4BF31F4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190" w:rsidRPr="00D16190" w:rsidRDefault="00D932FD">
                                <w:pPr>
                                  <w:pStyle w:val="NoSpacing"/>
                                  <w:rPr>
                                    <w:rFonts w:asciiTheme="majorHAnsi" w:eastAsiaTheme="majorEastAsia" w:hAnsiTheme="majorHAnsi" w:cstheme="majorBidi"/>
                                    <w:b/>
                                    <w:color w:val="323E4F" w:themeColor="text2" w:themeShade="BF"/>
                                    <w:sz w:val="56"/>
                                  </w:rPr>
                                </w:pPr>
                                <w:sdt>
                                  <w:sdtPr>
                                    <w:rPr>
                                      <w:rFonts w:asciiTheme="majorHAnsi" w:eastAsiaTheme="majorEastAsia" w:hAnsiTheme="majorHAnsi" w:cstheme="majorBidi"/>
                                      <w:b/>
                                      <w:color w:val="323E4F" w:themeColor="text2" w:themeShade="BF"/>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16190" w:rsidRPr="00D16190">
                                      <w:rPr>
                                        <w:rFonts w:asciiTheme="majorHAnsi" w:eastAsiaTheme="majorEastAsia" w:hAnsiTheme="majorHAnsi" w:cstheme="majorBidi"/>
                                        <w:b/>
                                        <w:color w:val="323E4F" w:themeColor="text2" w:themeShade="BF"/>
                                        <w:sz w:val="56"/>
                                        <w:szCs w:val="72"/>
                                      </w:rPr>
                                      <w:t>RAPORT ANUAL DE IMPLEMENTARE POAT 2014-2020, AFERENT ANULUI 2015</w:t>
                                    </w:r>
                                  </w:sdtContent>
                                </w:sdt>
                              </w:p>
                              <w:p w:rsidR="00D16190" w:rsidRPr="00D16190" w:rsidRDefault="00D932FD" w:rsidP="00D16190">
                                <w:pPr>
                                  <w:spacing w:before="120"/>
                                  <w:ind w:left="360"/>
                                  <w:rPr>
                                    <w:color w:val="323E4F" w:themeColor="text2" w:themeShade="BF"/>
                                    <w:sz w:val="44"/>
                                    <w:szCs w:val="36"/>
                                  </w:rPr>
                                </w:pPr>
                                <w:sdt>
                                  <w:sdtPr>
                                    <w:rPr>
                                      <w:color w:val="323E4F" w:themeColor="text2" w:themeShade="BF"/>
                                      <w:sz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16190" w:rsidRPr="00D16190">
                                      <w:rPr>
                                        <w:color w:val="323E4F" w:themeColor="text2" w:themeShade="BF"/>
                                        <w:sz w:val="28"/>
                                      </w:rPr>
                                      <w:t>- Proiect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1FB2CD0"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D16190" w:rsidRPr="00D16190" w:rsidRDefault="00A621E2">
                          <w:pPr>
                            <w:pStyle w:val="NoSpacing"/>
                            <w:rPr>
                              <w:rFonts w:asciiTheme="majorHAnsi" w:eastAsiaTheme="majorEastAsia" w:hAnsiTheme="majorHAnsi" w:cstheme="majorBidi"/>
                              <w:b/>
                              <w:color w:val="323E4F" w:themeColor="text2" w:themeShade="BF"/>
                              <w:sz w:val="56"/>
                            </w:rPr>
                          </w:pPr>
                          <w:sdt>
                            <w:sdtPr>
                              <w:rPr>
                                <w:rFonts w:asciiTheme="majorHAnsi" w:eastAsiaTheme="majorEastAsia" w:hAnsiTheme="majorHAnsi" w:cstheme="majorBidi"/>
                                <w:b/>
                                <w:color w:val="323E4F" w:themeColor="text2" w:themeShade="BF"/>
                                <w:sz w:val="56"/>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16190" w:rsidRPr="00D16190">
                                <w:rPr>
                                  <w:rFonts w:asciiTheme="majorHAnsi" w:eastAsiaTheme="majorEastAsia" w:hAnsiTheme="majorHAnsi" w:cstheme="majorBidi"/>
                                  <w:b/>
                                  <w:color w:val="323E4F" w:themeColor="text2" w:themeShade="BF"/>
                                  <w:sz w:val="56"/>
                                  <w:szCs w:val="72"/>
                                </w:rPr>
                                <w:t>RAPORT ANUAL DE IMPLEMENTARE POAT 2014-2020, AFERENT ANULUI 2015</w:t>
                              </w:r>
                            </w:sdtContent>
                          </w:sdt>
                        </w:p>
                        <w:p w:rsidR="00D16190" w:rsidRPr="00D16190" w:rsidRDefault="00A621E2" w:rsidP="00D16190">
                          <w:pPr>
                            <w:spacing w:before="120"/>
                            <w:ind w:left="360"/>
                            <w:rPr>
                              <w:color w:val="323E4F" w:themeColor="text2" w:themeShade="BF"/>
                              <w:sz w:val="44"/>
                              <w:szCs w:val="36"/>
                            </w:rPr>
                          </w:pPr>
                          <w:sdt>
                            <w:sdtPr>
                              <w:rPr>
                                <w:color w:val="323E4F" w:themeColor="text2" w:themeShade="BF"/>
                                <w:sz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16190" w:rsidRPr="00D16190">
                                <w:rPr>
                                  <w:color w:val="323E4F" w:themeColor="text2" w:themeShade="BF"/>
                                  <w:sz w:val="28"/>
                                </w:rPr>
                                <w:t>- Proiect -</w:t>
                              </w:r>
                            </w:sdtContent>
                          </w:sdt>
                        </w:p>
                      </w:txbxContent>
                    </v:textbox>
                    <w10:wrap anchorx="page" anchory="page"/>
                  </v:shape>
                </w:pict>
              </mc:Fallback>
            </mc:AlternateContent>
          </w:r>
        </w:p>
        <w:p w:rsidR="00D16190" w:rsidRDefault="00D16190">
          <w:pPr>
            <w:rPr>
              <w:rFonts w:asciiTheme="majorHAnsi" w:hAnsiTheme="majorHAnsi"/>
              <w:b/>
              <w:color w:val="2E74B5" w:themeColor="accent1" w:themeShade="BF"/>
              <w:sz w:val="32"/>
            </w:rPr>
          </w:pPr>
          <w:r>
            <w:rPr>
              <w:rFonts w:asciiTheme="majorHAnsi" w:hAnsiTheme="majorHAnsi"/>
              <w:b/>
              <w:color w:val="2E74B5" w:themeColor="accent1" w:themeShade="BF"/>
              <w:sz w:val="32"/>
            </w:rPr>
            <w:br w:type="page"/>
          </w:r>
        </w:p>
      </w:sdtContent>
    </w:sdt>
    <w:p w:rsidR="00E23973" w:rsidRDefault="00E23973" w:rsidP="00C87FC6">
      <w:pPr>
        <w:jc w:val="center"/>
        <w:rPr>
          <w:rFonts w:asciiTheme="majorHAnsi" w:hAnsiTheme="majorHAnsi"/>
          <w:b/>
          <w:color w:val="2E74B5" w:themeColor="accent1" w:themeShade="BF"/>
          <w:sz w:val="32"/>
        </w:rPr>
      </w:pPr>
    </w:p>
    <w:p w:rsidR="0021352F" w:rsidRDefault="0021352F" w:rsidP="0021352F">
      <w:pPr>
        <w:jc w:val="both"/>
      </w:pPr>
    </w:p>
    <w:p w:rsidR="0021352F" w:rsidRDefault="0021352F" w:rsidP="0021352F">
      <w:pPr>
        <w:jc w:val="both"/>
      </w:pPr>
    </w:p>
    <w:sdt>
      <w:sdtPr>
        <w:rPr>
          <w:rFonts w:asciiTheme="minorHAnsi" w:eastAsiaTheme="minorHAnsi" w:hAnsiTheme="minorHAnsi" w:cstheme="minorBidi"/>
          <w:b w:val="0"/>
          <w:bCs w:val="0"/>
          <w:color w:val="auto"/>
          <w:sz w:val="22"/>
          <w:szCs w:val="22"/>
          <w:lang w:val="ro-RO" w:eastAsia="en-US"/>
        </w:rPr>
        <w:id w:val="1268973696"/>
        <w:docPartObj>
          <w:docPartGallery w:val="Table of Contents"/>
          <w:docPartUnique/>
        </w:docPartObj>
      </w:sdtPr>
      <w:sdtEndPr>
        <w:rPr>
          <w:noProof/>
        </w:rPr>
      </w:sdtEndPr>
      <w:sdtContent>
        <w:p w:rsidR="0021352F" w:rsidRDefault="0021352F">
          <w:pPr>
            <w:pStyle w:val="TOCHeading"/>
            <w:rPr>
              <w:lang w:val="fr-FR"/>
            </w:rPr>
          </w:pPr>
          <w:proofErr w:type="spellStart"/>
          <w:r w:rsidRPr="007350F3">
            <w:rPr>
              <w:lang w:val="fr-FR"/>
            </w:rPr>
            <w:t>Cuprins</w:t>
          </w:r>
          <w:proofErr w:type="spellEnd"/>
        </w:p>
        <w:p w:rsidR="005B7CDF" w:rsidRPr="005B7CDF" w:rsidRDefault="005B7CDF" w:rsidP="005B7CDF">
          <w:pPr>
            <w:rPr>
              <w:lang w:val="fr-FR" w:eastAsia="ja-JP"/>
            </w:rPr>
          </w:pPr>
        </w:p>
        <w:p w:rsidR="00AE6232" w:rsidRDefault="0021352F">
          <w:pPr>
            <w:pStyle w:val="TOC1"/>
            <w:tabs>
              <w:tab w:val="left" w:pos="440"/>
              <w:tab w:val="right" w:leader="dot" w:pos="10055"/>
            </w:tabs>
            <w:rPr>
              <w:rFonts w:eastAsiaTheme="minorEastAsia"/>
              <w:noProof/>
              <w:lang w:val="en-US"/>
            </w:rPr>
          </w:pPr>
          <w:r>
            <w:fldChar w:fldCharType="begin"/>
          </w:r>
          <w:r>
            <w:instrText xml:space="preserve"> TOC \o "1-3" \h \z \u </w:instrText>
          </w:r>
          <w:r>
            <w:fldChar w:fldCharType="separate"/>
          </w:r>
          <w:hyperlink w:anchor="_Toc451439484" w:history="1">
            <w:r w:rsidR="00AE6232" w:rsidRPr="005E236E">
              <w:rPr>
                <w:rStyle w:val="Hyperlink"/>
                <w:noProof/>
              </w:rPr>
              <w:t>1.</w:t>
            </w:r>
            <w:r w:rsidR="00AE6232">
              <w:rPr>
                <w:rFonts w:eastAsiaTheme="minorEastAsia"/>
                <w:noProof/>
                <w:lang w:val="en-US"/>
              </w:rPr>
              <w:tab/>
            </w:r>
            <w:r w:rsidR="00AE6232" w:rsidRPr="005E236E">
              <w:rPr>
                <w:rStyle w:val="Hyperlink"/>
                <w:noProof/>
              </w:rPr>
              <w:t>Identificarea Raportului de implementare anual/final</w:t>
            </w:r>
            <w:r w:rsidR="00AE6232">
              <w:rPr>
                <w:noProof/>
                <w:webHidden/>
              </w:rPr>
              <w:tab/>
            </w:r>
            <w:r w:rsidR="00AE6232">
              <w:rPr>
                <w:noProof/>
                <w:webHidden/>
              </w:rPr>
              <w:fldChar w:fldCharType="begin"/>
            </w:r>
            <w:r w:rsidR="00AE6232">
              <w:rPr>
                <w:noProof/>
                <w:webHidden/>
              </w:rPr>
              <w:instrText xml:space="preserve"> PAGEREF _Toc451439484 \h </w:instrText>
            </w:r>
            <w:r w:rsidR="00AE6232">
              <w:rPr>
                <w:noProof/>
                <w:webHidden/>
              </w:rPr>
            </w:r>
            <w:r w:rsidR="00AE6232">
              <w:rPr>
                <w:noProof/>
                <w:webHidden/>
              </w:rPr>
              <w:fldChar w:fldCharType="separate"/>
            </w:r>
            <w:r w:rsidR="00AE6232">
              <w:rPr>
                <w:noProof/>
                <w:webHidden/>
              </w:rPr>
              <w:t>2</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85" w:history="1">
            <w:r w:rsidR="00AE6232" w:rsidRPr="005E236E">
              <w:rPr>
                <w:rStyle w:val="Hyperlink"/>
                <w:noProof/>
              </w:rPr>
              <w:t>2.</w:t>
            </w:r>
            <w:r w:rsidR="00AE6232">
              <w:rPr>
                <w:rFonts w:eastAsiaTheme="minorEastAsia"/>
                <w:noProof/>
                <w:lang w:val="en-US"/>
              </w:rPr>
              <w:tab/>
            </w:r>
            <w:r w:rsidR="00AE6232" w:rsidRPr="005E236E">
              <w:rPr>
                <w:rStyle w:val="Hyperlink"/>
                <w:noProof/>
              </w:rPr>
              <w:t>Prezentare generală privind implementarea POAT (7.000 caractere)</w:t>
            </w:r>
            <w:r w:rsidR="00AE6232">
              <w:rPr>
                <w:noProof/>
                <w:webHidden/>
              </w:rPr>
              <w:tab/>
            </w:r>
            <w:r w:rsidR="00AE6232">
              <w:rPr>
                <w:noProof/>
                <w:webHidden/>
              </w:rPr>
              <w:fldChar w:fldCharType="begin"/>
            </w:r>
            <w:r w:rsidR="00AE6232">
              <w:rPr>
                <w:noProof/>
                <w:webHidden/>
              </w:rPr>
              <w:instrText xml:space="preserve"> PAGEREF _Toc451439485 \h </w:instrText>
            </w:r>
            <w:r w:rsidR="00AE6232">
              <w:rPr>
                <w:noProof/>
                <w:webHidden/>
              </w:rPr>
            </w:r>
            <w:r w:rsidR="00AE6232">
              <w:rPr>
                <w:noProof/>
                <w:webHidden/>
              </w:rPr>
              <w:fldChar w:fldCharType="separate"/>
            </w:r>
            <w:r w:rsidR="00AE6232">
              <w:rPr>
                <w:noProof/>
                <w:webHidden/>
              </w:rPr>
              <w:t>2</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86" w:history="1">
            <w:r w:rsidR="00AE6232" w:rsidRPr="005E236E">
              <w:rPr>
                <w:rStyle w:val="Hyperlink"/>
                <w:noProof/>
              </w:rPr>
              <w:t>3.</w:t>
            </w:r>
            <w:r w:rsidR="00AE6232">
              <w:rPr>
                <w:rFonts w:eastAsiaTheme="minorEastAsia"/>
                <w:noProof/>
                <w:lang w:val="en-US"/>
              </w:rPr>
              <w:tab/>
            </w:r>
            <w:r w:rsidR="00AE6232" w:rsidRPr="005E236E">
              <w:rPr>
                <w:rStyle w:val="Hyperlink"/>
                <w:noProof/>
              </w:rPr>
              <w:t>Implementarea axelor prioritare</w:t>
            </w:r>
            <w:r w:rsidR="00AE6232">
              <w:rPr>
                <w:noProof/>
                <w:webHidden/>
              </w:rPr>
              <w:tab/>
            </w:r>
            <w:r w:rsidR="00AE6232">
              <w:rPr>
                <w:noProof/>
                <w:webHidden/>
              </w:rPr>
              <w:fldChar w:fldCharType="begin"/>
            </w:r>
            <w:r w:rsidR="00AE6232">
              <w:rPr>
                <w:noProof/>
                <w:webHidden/>
              </w:rPr>
              <w:instrText xml:space="preserve"> PAGEREF _Toc451439486 \h </w:instrText>
            </w:r>
            <w:r w:rsidR="00AE6232">
              <w:rPr>
                <w:noProof/>
                <w:webHidden/>
              </w:rPr>
            </w:r>
            <w:r w:rsidR="00AE6232">
              <w:rPr>
                <w:noProof/>
                <w:webHidden/>
              </w:rPr>
              <w:fldChar w:fldCharType="separate"/>
            </w:r>
            <w:r w:rsidR="00AE6232">
              <w:rPr>
                <w:noProof/>
                <w:webHidden/>
              </w:rPr>
              <w:t>3</w:t>
            </w:r>
            <w:r w:rsidR="00AE6232">
              <w:rPr>
                <w:noProof/>
                <w:webHidden/>
              </w:rPr>
              <w:fldChar w:fldCharType="end"/>
            </w:r>
          </w:hyperlink>
        </w:p>
        <w:p w:rsidR="00AE6232" w:rsidRDefault="00D932FD">
          <w:pPr>
            <w:pStyle w:val="TOC2"/>
            <w:tabs>
              <w:tab w:val="right" w:leader="dot" w:pos="10055"/>
            </w:tabs>
            <w:rPr>
              <w:rFonts w:eastAsiaTheme="minorEastAsia"/>
              <w:noProof/>
              <w:lang w:val="en-US"/>
            </w:rPr>
          </w:pPr>
          <w:hyperlink w:anchor="_Toc451439487" w:history="1">
            <w:r w:rsidR="00AE6232" w:rsidRPr="005E236E">
              <w:rPr>
                <w:rStyle w:val="Hyperlink"/>
                <w:noProof/>
              </w:rPr>
              <w:t>3.1. Prezentare generală a implementării (1750 CARACTERE/AXĂ)</w:t>
            </w:r>
            <w:r w:rsidR="00AE6232">
              <w:rPr>
                <w:noProof/>
                <w:webHidden/>
              </w:rPr>
              <w:tab/>
            </w:r>
            <w:r w:rsidR="00AE6232">
              <w:rPr>
                <w:noProof/>
                <w:webHidden/>
              </w:rPr>
              <w:fldChar w:fldCharType="begin"/>
            </w:r>
            <w:r w:rsidR="00AE6232">
              <w:rPr>
                <w:noProof/>
                <w:webHidden/>
              </w:rPr>
              <w:instrText xml:space="preserve"> PAGEREF _Toc451439487 \h </w:instrText>
            </w:r>
            <w:r w:rsidR="00AE6232">
              <w:rPr>
                <w:noProof/>
                <w:webHidden/>
              </w:rPr>
            </w:r>
            <w:r w:rsidR="00AE6232">
              <w:rPr>
                <w:noProof/>
                <w:webHidden/>
              </w:rPr>
              <w:fldChar w:fldCharType="separate"/>
            </w:r>
            <w:r w:rsidR="00AE6232">
              <w:rPr>
                <w:noProof/>
                <w:webHidden/>
              </w:rPr>
              <w:t>3</w:t>
            </w:r>
            <w:r w:rsidR="00AE6232">
              <w:rPr>
                <w:noProof/>
                <w:webHidden/>
              </w:rPr>
              <w:fldChar w:fldCharType="end"/>
            </w:r>
          </w:hyperlink>
        </w:p>
        <w:p w:rsidR="00AE6232" w:rsidRDefault="00D932FD">
          <w:pPr>
            <w:pStyle w:val="TOC2"/>
            <w:tabs>
              <w:tab w:val="right" w:leader="dot" w:pos="10055"/>
            </w:tabs>
            <w:rPr>
              <w:rFonts w:eastAsiaTheme="minorEastAsia"/>
              <w:noProof/>
              <w:lang w:val="en-US"/>
            </w:rPr>
          </w:pPr>
          <w:hyperlink w:anchor="_Toc451439488" w:history="1">
            <w:r w:rsidR="00AE6232" w:rsidRPr="005E236E">
              <w:rPr>
                <w:rStyle w:val="Hyperlink"/>
                <w:noProof/>
              </w:rPr>
              <w:t>3.2. Indicatori comuni și indicatori specifici programului</w:t>
            </w:r>
            <w:r w:rsidR="00AE6232">
              <w:rPr>
                <w:noProof/>
                <w:webHidden/>
              </w:rPr>
              <w:tab/>
            </w:r>
            <w:r w:rsidR="00AE6232">
              <w:rPr>
                <w:noProof/>
                <w:webHidden/>
              </w:rPr>
              <w:fldChar w:fldCharType="begin"/>
            </w:r>
            <w:r w:rsidR="00AE6232">
              <w:rPr>
                <w:noProof/>
                <w:webHidden/>
              </w:rPr>
              <w:instrText xml:space="preserve"> PAGEREF _Toc451439488 \h </w:instrText>
            </w:r>
            <w:r w:rsidR="00AE6232">
              <w:rPr>
                <w:noProof/>
                <w:webHidden/>
              </w:rPr>
            </w:r>
            <w:r w:rsidR="00AE6232">
              <w:rPr>
                <w:noProof/>
                <w:webHidden/>
              </w:rPr>
              <w:fldChar w:fldCharType="separate"/>
            </w:r>
            <w:r w:rsidR="00AE6232">
              <w:rPr>
                <w:noProof/>
                <w:webHidden/>
              </w:rPr>
              <w:t>6</w:t>
            </w:r>
            <w:r w:rsidR="00AE6232">
              <w:rPr>
                <w:noProof/>
                <w:webHidden/>
              </w:rPr>
              <w:fldChar w:fldCharType="end"/>
            </w:r>
          </w:hyperlink>
        </w:p>
        <w:p w:rsidR="00AE6232" w:rsidRDefault="00D932FD">
          <w:pPr>
            <w:pStyle w:val="TOC2"/>
            <w:tabs>
              <w:tab w:val="right" w:leader="dot" w:pos="10055"/>
            </w:tabs>
            <w:rPr>
              <w:rFonts w:eastAsiaTheme="minorEastAsia"/>
              <w:noProof/>
              <w:lang w:val="en-US"/>
            </w:rPr>
          </w:pPr>
          <w:hyperlink w:anchor="_Toc451439489" w:history="1">
            <w:r w:rsidR="00AE6232" w:rsidRPr="005E236E">
              <w:rPr>
                <w:rStyle w:val="Hyperlink"/>
                <w:noProof/>
              </w:rPr>
              <w:t>3.3. Obiectivele de etapă și țintele definite în cadrul de performanță</w:t>
            </w:r>
            <w:r w:rsidR="00AE6232">
              <w:rPr>
                <w:noProof/>
                <w:webHidden/>
              </w:rPr>
              <w:tab/>
            </w:r>
            <w:r w:rsidR="00AE6232">
              <w:rPr>
                <w:noProof/>
                <w:webHidden/>
              </w:rPr>
              <w:fldChar w:fldCharType="begin"/>
            </w:r>
            <w:r w:rsidR="00AE6232">
              <w:rPr>
                <w:noProof/>
                <w:webHidden/>
              </w:rPr>
              <w:instrText xml:space="preserve"> PAGEREF _Toc451439489 \h </w:instrText>
            </w:r>
            <w:r w:rsidR="00AE6232">
              <w:rPr>
                <w:noProof/>
                <w:webHidden/>
              </w:rPr>
            </w:r>
            <w:r w:rsidR="00AE6232">
              <w:rPr>
                <w:noProof/>
                <w:webHidden/>
              </w:rPr>
              <w:fldChar w:fldCharType="separate"/>
            </w:r>
            <w:r w:rsidR="00AE6232">
              <w:rPr>
                <w:noProof/>
                <w:webHidden/>
              </w:rPr>
              <w:t>10</w:t>
            </w:r>
            <w:r w:rsidR="00AE6232">
              <w:rPr>
                <w:noProof/>
                <w:webHidden/>
              </w:rPr>
              <w:fldChar w:fldCharType="end"/>
            </w:r>
          </w:hyperlink>
        </w:p>
        <w:p w:rsidR="00AE6232" w:rsidRDefault="00D932FD">
          <w:pPr>
            <w:pStyle w:val="TOC2"/>
            <w:tabs>
              <w:tab w:val="right" w:leader="dot" w:pos="10055"/>
            </w:tabs>
            <w:rPr>
              <w:rFonts w:eastAsiaTheme="minorEastAsia"/>
              <w:noProof/>
              <w:lang w:val="en-US"/>
            </w:rPr>
          </w:pPr>
          <w:hyperlink w:anchor="_Toc451439490" w:history="1">
            <w:r w:rsidR="00AE6232" w:rsidRPr="005E236E">
              <w:rPr>
                <w:rStyle w:val="Hyperlink"/>
                <w:noProof/>
              </w:rPr>
              <w:t>3.4. Date financiare (articolul 50 alineatul (2) din Regulamentul (UE) nr.1303/2013)</w:t>
            </w:r>
            <w:r w:rsidR="00AE6232">
              <w:rPr>
                <w:noProof/>
                <w:webHidden/>
              </w:rPr>
              <w:tab/>
            </w:r>
            <w:r w:rsidR="00AE6232">
              <w:rPr>
                <w:noProof/>
                <w:webHidden/>
              </w:rPr>
              <w:fldChar w:fldCharType="begin"/>
            </w:r>
            <w:r w:rsidR="00AE6232">
              <w:rPr>
                <w:noProof/>
                <w:webHidden/>
              </w:rPr>
              <w:instrText xml:space="preserve"> PAGEREF _Toc451439490 \h </w:instrText>
            </w:r>
            <w:r w:rsidR="00AE6232">
              <w:rPr>
                <w:noProof/>
                <w:webHidden/>
              </w:rPr>
            </w:r>
            <w:r w:rsidR="00AE6232">
              <w:rPr>
                <w:noProof/>
                <w:webHidden/>
              </w:rPr>
              <w:fldChar w:fldCharType="separate"/>
            </w:r>
            <w:r w:rsidR="00AE6232">
              <w:rPr>
                <w:noProof/>
                <w:webHidden/>
              </w:rPr>
              <w:t>11</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91" w:history="1">
            <w:r w:rsidR="00AE6232" w:rsidRPr="005E236E">
              <w:rPr>
                <w:rStyle w:val="Hyperlink"/>
                <w:noProof/>
              </w:rPr>
              <w:t>4.</w:t>
            </w:r>
            <w:r w:rsidR="00AE6232">
              <w:rPr>
                <w:rFonts w:eastAsiaTheme="minorEastAsia"/>
                <w:noProof/>
                <w:lang w:val="en-US"/>
              </w:rPr>
              <w:tab/>
            </w:r>
            <w:r w:rsidR="00AE6232" w:rsidRPr="005E236E">
              <w:rPr>
                <w:rStyle w:val="Hyperlink"/>
                <w:noProof/>
              </w:rPr>
              <w:t>Sinteza evaluărilor (10.500 caractere)</w:t>
            </w:r>
            <w:r w:rsidR="00AE6232">
              <w:rPr>
                <w:noProof/>
                <w:webHidden/>
              </w:rPr>
              <w:tab/>
            </w:r>
            <w:r w:rsidR="00AE6232">
              <w:rPr>
                <w:noProof/>
                <w:webHidden/>
              </w:rPr>
              <w:fldChar w:fldCharType="begin"/>
            </w:r>
            <w:r w:rsidR="00AE6232">
              <w:rPr>
                <w:noProof/>
                <w:webHidden/>
              </w:rPr>
              <w:instrText xml:space="preserve"> PAGEREF _Toc451439491 \h </w:instrText>
            </w:r>
            <w:r w:rsidR="00AE6232">
              <w:rPr>
                <w:noProof/>
                <w:webHidden/>
              </w:rPr>
            </w:r>
            <w:r w:rsidR="00AE6232">
              <w:rPr>
                <w:noProof/>
                <w:webHidden/>
              </w:rPr>
              <w:fldChar w:fldCharType="separate"/>
            </w:r>
            <w:r w:rsidR="00AE6232">
              <w:rPr>
                <w:noProof/>
                <w:webHidden/>
              </w:rPr>
              <w:t>14</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92" w:history="1">
            <w:r w:rsidR="00AE6232" w:rsidRPr="005E236E">
              <w:rPr>
                <w:rStyle w:val="Hyperlink"/>
                <w:noProof/>
              </w:rPr>
              <w:t>5.</w:t>
            </w:r>
            <w:r w:rsidR="00AE6232">
              <w:rPr>
                <w:rFonts w:eastAsiaTheme="minorEastAsia"/>
                <w:noProof/>
                <w:lang w:val="en-US"/>
              </w:rPr>
              <w:tab/>
            </w:r>
            <w:r w:rsidR="00AE6232" w:rsidRPr="005E236E">
              <w:rPr>
                <w:rStyle w:val="Hyperlink"/>
                <w:noProof/>
              </w:rPr>
              <w:t>Informații privind implementarea inițiativei ”Locuri de muncă pentru tineri”, dacă este cazul</w:t>
            </w:r>
            <w:r w:rsidR="00AE6232">
              <w:rPr>
                <w:noProof/>
                <w:webHidden/>
              </w:rPr>
              <w:tab/>
            </w:r>
            <w:r w:rsidR="00AE6232">
              <w:rPr>
                <w:noProof/>
                <w:webHidden/>
              </w:rPr>
              <w:fldChar w:fldCharType="begin"/>
            </w:r>
            <w:r w:rsidR="00AE6232">
              <w:rPr>
                <w:noProof/>
                <w:webHidden/>
              </w:rPr>
              <w:instrText xml:space="preserve"> PAGEREF _Toc451439492 \h </w:instrText>
            </w:r>
            <w:r w:rsidR="00AE6232">
              <w:rPr>
                <w:noProof/>
                <w:webHidden/>
              </w:rPr>
            </w:r>
            <w:r w:rsidR="00AE6232">
              <w:rPr>
                <w:noProof/>
                <w:webHidden/>
              </w:rPr>
              <w:fldChar w:fldCharType="separate"/>
            </w:r>
            <w:r w:rsidR="00AE6232">
              <w:rPr>
                <w:noProof/>
                <w:webHidden/>
              </w:rPr>
              <w:t>15</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93" w:history="1">
            <w:r w:rsidR="00AE6232" w:rsidRPr="005E236E">
              <w:rPr>
                <w:rStyle w:val="Hyperlink"/>
                <w:noProof/>
              </w:rPr>
              <w:t>6.</w:t>
            </w:r>
            <w:r w:rsidR="00AE6232">
              <w:rPr>
                <w:rFonts w:eastAsiaTheme="minorEastAsia"/>
                <w:noProof/>
                <w:lang w:val="en-US"/>
              </w:rPr>
              <w:tab/>
            </w:r>
            <w:r w:rsidR="00AE6232" w:rsidRPr="005E236E">
              <w:rPr>
                <w:rStyle w:val="Hyperlink"/>
                <w:noProof/>
              </w:rPr>
              <w:t>Probleme care afectează performanța programului și măsurile adoptate (7.000 caractere)</w:t>
            </w:r>
            <w:r w:rsidR="00AE6232">
              <w:rPr>
                <w:noProof/>
                <w:webHidden/>
              </w:rPr>
              <w:tab/>
            </w:r>
            <w:r w:rsidR="00AE6232">
              <w:rPr>
                <w:noProof/>
                <w:webHidden/>
              </w:rPr>
              <w:fldChar w:fldCharType="begin"/>
            </w:r>
            <w:r w:rsidR="00AE6232">
              <w:rPr>
                <w:noProof/>
                <w:webHidden/>
              </w:rPr>
              <w:instrText xml:space="preserve"> PAGEREF _Toc451439493 \h </w:instrText>
            </w:r>
            <w:r w:rsidR="00AE6232">
              <w:rPr>
                <w:noProof/>
                <w:webHidden/>
              </w:rPr>
            </w:r>
            <w:r w:rsidR="00AE6232">
              <w:rPr>
                <w:noProof/>
                <w:webHidden/>
              </w:rPr>
              <w:fldChar w:fldCharType="separate"/>
            </w:r>
            <w:r w:rsidR="00AE6232">
              <w:rPr>
                <w:noProof/>
                <w:webHidden/>
              </w:rPr>
              <w:t>15</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94" w:history="1">
            <w:r w:rsidR="00AE6232" w:rsidRPr="005E236E">
              <w:rPr>
                <w:rStyle w:val="Hyperlink"/>
                <w:noProof/>
              </w:rPr>
              <w:t>7.</w:t>
            </w:r>
            <w:r w:rsidR="00AE6232">
              <w:rPr>
                <w:rFonts w:eastAsiaTheme="minorEastAsia"/>
                <w:noProof/>
                <w:lang w:val="en-US"/>
              </w:rPr>
              <w:tab/>
            </w:r>
            <w:r w:rsidR="00AE6232" w:rsidRPr="005E236E">
              <w:rPr>
                <w:rStyle w:val="Hyperlink"/>
                <w:noProof/>
              </w:rPr>
              <w:t>Rezumat pentru cetățeni</w:t>
            </w:r>
            <w:r w:rsidR="00AE6232">
              <w:rPr>
                <w:noProof/>
                <w:webHidden/>
              </w:rPr>
              <w:tab/>
            </w:r>
            <w:r w:rsidR="00AE6232">
              <w:rPr>
                <w:noProof/>
                <w:webHidden/>
              </w:rPr>
              <w:fldChar w:fldCharType="begin"/>
            </w:r>
            <w:r w:rsidR="00AE6232">
              <w:rPr>
                <w:noProof/>
                <w:webHidden/>
              </w:rPr>
              <w:instrText xml:space="preserve"> PAGEREF _Toc451439494 \h </w:instrText>
            </w:r>
            <w:r w:rsidR="00AE6232">
              <w:rPr>
                <w:noProof/>
                <w:webHidden/>
              </w:rPr>
            </w:r>
            <w:r w:rsidR="00AE6232">
              <w:rPr>
                <w:noProof/>
                <w:webHidden/>
              </w:rPr>
              <w:fldChar w:fldCharType="separate"/>
            </w:r>
            <w:r w:rsidR="00AE6232">
              <w:rPr>
                <w:noProof/>
                <w:webHidden/>
              </w:rPr>
              <w:t>16</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95" w:history="1">
            <w:r w:rsidR="00AE6232" w:rsidRPr="005E236E">
              <w:rPr>
                <w:rStyle w:val="Hyperlink"/>
                <w:noProof/>
              </w:rPr>
              <w:t>8.</w:t>
            </w:r>
            <w:r w:rsidR="00AE6232">
              <w:rPr>
                <w:rFonts w:eastAsiaTheme="minorEastAsia"/>
                <w:noProof/>
                <w:lang w:val="en-US"/>
              </w:rPr>
              <w:tab/>
            </w:r>
            <w:r w:rsidR="00AE6232" w:rsidRPr="005E236E">
              <w:rPr>
                <w:rStyle w:val="Hyperlink"/>
                <w:noProof/>
              </w:rPr>
              <w:t>Raport privind implementarea instrumentelor financiare</w:t>
            </w:r>
            <w:r w:rsidR="00AE6232">
              <w:rPr>
                <w:noProof/>
                <w:webHidden/>
              </w:rPr>
              <w:tab/>
            </w:r>
            <w:r w:rsidR="00AE6232">
              <w:rPr>
                <w:noProof/>
                <w:webHidden/>
              </w:rPr>
              <w:fldChar w:fldCharType="begin"/>
            </w:r>
            <w:r w:rsidR="00AE6232">
              <w:rPr>
                <w:noProof/>
                <w:webHidden/>
              </w:rPr>
              <w:instrText xml:space="preserve"> PAGEREF _Toc451439495 \h </w:instrText>
            </w:r>
            <w:r w:rsidR="00AE6232">
              <w:rPr>
                <w:noProof/>
                <w:webHidden/>
              </w:rPr>
            </w:r>
            <w:r w:rsidR="00AE6232">
              <w:rPr>
                <w:noProof/>
                <w:webHidden/>
              </w:rPr>
              <w:fldChar w:fldCharType="separate"/>
            </w:r>
            <w:r w:rsidR="00AE6232">
              <w:rPr>
                <w:noProof/>
                <w:webHidden/>
              </w:rPr>
              <w:t>19</w:t>
            </w:r>
            <w:r w:rsidR="00AE6232">
              <w:rPr>
                <w:noProof/>
                <w:webHidden/>
              </w:rPr>
              <w:fldChar w:fldCharType="end"/>
            </w:r>
          </w:hyperlink>
        </w:p>
        <w:p w:rsidR="00AE6232" w:rsidRDefault="00D932FD">
          <w:pPr>
            <w:pStyle w:val="TOC1"/>
            <w:tabs>
              <w:tab w:val="left" w:pos="440"/>
              <w:tab w:val="right" w:leader="dot" w:pos="10055"/>
            </w:tabs>
            <w:rPr>
              <w:rFonts w:eastAsiaTheme="minorEastAsia"/>
              <w:noProof/>
              <w:lang w:val="en-US"/>
            </w:rPr>
          </w:pPr>
          <w:hyperlink w:anchor="_Toc451439496" w:history="1">
            <w:r w:rsidR="00AE6232" w:rsidRPr="005E236E">
              <w:rPr>
                <w:rStyle w:val="Hyperlink"/>
                <w:noProof/>
              </w:rPr>
              <w:t>9.</w:t>
            </w:r>
            <w:r w:rsidR="00AE6232">
              <w:rPr>
                <w:rFonts w:eastAsiaTheme="minorEastAsia"/>
                <w:noProof/>
                <w:lang w:val="en-US"/>
              </w:rPr>
              <w:tab/>
            </w:r>
            <w:r w:rsidR="00AE6232" w:rsidRPr="005E236E">
              <w:rPr>
                <w:rStyle w:val="Hyperlink"/>
                <w:noProof/>
              </w:rPr>
              <w:t>Acțiunile desfășurate pentru îndeplinirea condiționalităților ex-ante</w:t>
            </w:r>
            <w:r w:rsidR="00AE6232">
              <w:rPr>
                <w:noProof/>
                <w:webHidden/>
              </w:rPr>
              <w:tab/>
            </w:r>
            <w:r w:rsidR="00AE6232">
              <w:rPr>
                <w:noProof/>
                <w:webHidden/>
              </w:rPr>
              <w:fldChar w:fldCharType="begin"/>
            </w:r>
            <w:r w:rsidR="00AE6232">
              <w:rPr>
                <w:noProof/>
                <w:webHidden/>
              </w:rPr>
              <w:instrText xml:space="preserve"> PAGEREF _Toc451439496 \h </w:instrText>
            </w:r>
            <w:r w:rsidR="00AE6232">
              <w:rPr>
                <w:noProof/>
                <w:webHidden/>
              </w:rPr>
            </w:r>
            <w:r w:rsidR="00AE6232">
              <w:rPr>
                <w:noProof/>
                <w:webHidden/>
              </w:rPr>
              <w:fldChar w:fldCharType="separate"/>
            </w:r>
            <w:r w:rsidR="00AE6232">
              <w:rPr>
                <w:noProof/>
                <w:webHidden/>
              </w:rPr>
              <w:t>20</w:t>
            </w:r>
            <w:r w:rsidR="00AE6232">
              <w:rPr>
                <w:noProof/>
                <w:webHidden/>
              </w:rPr>
              <w:fldChar w:fldCharType="end"/>
            </w:r>
          </w:hyperlink>
        </w:p>
        <w:p w:rsidR="0021352F" w:rsidRDefault="0021352F">
          <w:r>
            <w:rPr>
              <w:b/>
              <w:bCs/>
              <w:noProof/>
            </w:rPr>
            <w:fldChar w:fldCharType="end"/>
          </w:r>
        </w:p>
      </w:sdtContent>
    </w:sdt>
    <w:p w:rsidR="0021352F" w:rsidRDefault="0021352F">
      <w:r>
        <w:br w:type="page"/>
      </w:r>
    </w:p>
    <w:p w:rsidR="0021352F" w:rsidRPr="0021352F" w:rsidRDefault="0021352F" w:rsidP="0021352F">
      <w:pPr>
        <w:jc w:val="both"/>
      </w:pPr>
    </w:p>
    <w:p w:rsidR="003C79AE" w:rsidRPr="00783B28" w:rsidRDefault="003C79AE" w:rsidP="003C79AE">
      <w:pPr>
        <w:pStyle w:val="Heading1"/>
        <w:numPr>
          <w:ilvl w:val="0"/>
          <w:numId w:val="29"/>
        </w:numPr>
      </w:pPr>
      <w:bookmarkStart w:id="0" w:name="_Toc451439484"/>
      <w:r>
        <w:t>Identificarea Raportului de implementare anual/final</w:t>
      </w:r>
      <w:bookmarkEnd w:id="0"/>
    </w:p>
    <w:p w:rsidR="003C79AE" w:rsidRDefault="003C79AE" w:rsidP="003C79AE">
      <w:pPr>
        <w:jc w:val="both"/>
      </w:pPr>
    </w:p>
    <w:tbl>
      <w:tblPr>
        <w:tblStyle w:val="LightShading-Accent5"/>
        <w:tblW w:w="10173" w:type="dxa"/>
        <w:tblLook w:val="04A0" w:firstRow="1" w:lastRow="0" w:firstColumn="1" w:lastColumn="0" w:noHBand="0" w:noVBand="1"/>
      </w:tblPr>
      <w:tblGrid>
        <w:gridCol w:w="5778"/>
        <w:gridCol w:w="4395"/>
      </w:tblGrid>
      <w:tr w:rsidR="003C79AE" w:rsidTr="00396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C79AE" w:rsidRDefault="003C79AE" w:rsidP="00396328">
            <w:pPr>
              <w:spacing w:before="60" w:after="60"/>
              <w:jc w:val="both"/>
            </w:pPr>
            <w:r w:rsidRPr="003C79AE">
              <w:t xml:space="preserve">Numărul de </w:t>
            </w:r>
            <w:r w:rsidR="008A79CC" w:rsidRPr="003C79AE">
              <w:t>ref</w:t>
            </w:r>
            <w:r w:rsidR="008A79CC">
              <w:t>erință</w:t>
            </w:r>
            <w:r>
              <w:t xml:space="preserve"> al Programului (Cod CCI)</w:t>
            </w:r>
          </w:p>
        </w:tc>
        <w:tc>
          <w:tcPr>
            <w:tcW w:w="4395" w:type="dxa"/>
          </w:tcPr>
          <w:p w:rsidR="003C79AE" w:rsidRDefault="003C79AE" w:rsidP="00396328">
            <w:pPr>
              <w:spacing w:before="60" w:after="60"/>
              <w:jc w:val="both"/>
              <w:cnfStyle w:val="100000000000" w:firstRow="1" w:lastRow="0" w:firstColumn="0" w:lastColumn="0" w:oddVBand="0" w:evenVBand="0" w:oddHBand="0" w:evenHBand="0" w:firstRowFirstColumn="0" w:firstRowLastColumn="0" w:lastRowFirstColumn="0" w:lastRowLastColumn="0"/>
            </w:pPr>
            <w:r w:rsidRPr="003C79AE">
              <w:t>2014RO16RFTA001</w:t>
            </w:r>
          </w:p>
        </w:tc>
      </w:tr>
      <w:tr w:rsidR="003C79AE" w:rsidTr="00396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C79AE" w:rsidRDefault="003C79AE" w:rsidP="00396328">
            <w:pPr>
              <w:spacing w:before="60" w:after="60"/>
              <w:jc w:val="both"/>
            </w:pPr>
            <w:r>
              <w:t>Titlu</w:t>
            </w:r>
          </w:p>
        </w:tc>
        <w:tc>
          <w:tcPr>
            <w:tcW w:w="4395" w:type="dxa"/>
          </w:tcPr>
          <w:p w:rsidR="003C79AE" w:rsidRDefault="003C79AE" w:rsidP="00396328">
            <w:pPr>
              <w:spacing w:before="60" w:after="60"/>
              <w:jc w:val="both"/>
              <w:cnfStyle w:val="000000100000" w:firstRow="0" w:lastRow="0" w:firstColumn="0" w:lastColumn="0" w:oddVBand="0" w:evenVBand="0" w:oddHBand="1" w:evenHBand="0" w:firstRowFirstColumn="0" w:firstRowLastColumn="0" w:lastRowFirstColumn="0" w:lastRowLastColumn="0"/>
            </w:pPr>
            <w:r w:rsidRPr="003C79AE">
              <w:t xml:space="preserve">Programul </w:t>
            </w:r>
            <w:r w:rsidR="008A79CC" w:rsidRPr="003C79AE">
              <w:t>Operațional</w:t>
            </w:r>
            <w:r w:rsidRPr="003C79AE">
              <w:t xml:space="preserve"> </w:t>
            </w:r>
            <w:r w:rsidR="008A79CC" w:rsidRPr="003C79AE">
              <w:t>Asistență</w:t>
            </w:r>
            <w:r w:rsidRPr="003C79AE">
              <w:t xml:space="preserve"> Tehnică</w:t>
            </w:r>
          </w:p>
        </w:tc>
      </w:tr>
      <w:tr w:rsidR="003C79AE" w:rsidTr="00396328">
        <w:tc>
          <w:tcPr>
            <w:cnfStyle w:val="001000000000" w:firstRow="0" w:lastRow="0" w:firstColumn="1" w:lastColumn="0" w:oddVBand="0" w:evenVBand="0" w:oddHBand="0" w:evenHBand="0" w:firstRowFirstColumn="0" w:firstRowLastColumn="0" w:lastRowFirstColumn="0" w:lastRowLastColumn="0"/>
            <w:tcW w:w="5778" w:type="dxa"/>
          </w:tcPr>
          <w:p w:rsidR="003C79AE" w:rsidRDefault="003C79AE" w:rsidP="00396328">
            <w:pPr>
              <w:spacing w:before="60" w:after="60"/>
              <w:jc w:val="both"/>
            </w:pPr>
            <w:r>
              <w:t>Versiune</w:t>
            </w:r>
          </w:p>
        </w:tc>
        <w:tc>
          <w:tcPr>
            <w:tcW w:w="4395" w:type="dxa"/>
          </w:tcPr>
          <w:p w:rsidR="003C79AE" w:rsidRDefault="003C79AE" w:rsidP="00396328">
            <w:pPr>
              <w:spacing w:before="60" w:after="60"/>
              <w:jc w:val="both"/>
              <w:cnfStyle w:val="000000000000" w:firstRow="0" w:lastRow="0" w:firstColumn="0" w:lastColumn="0" w:oddVBand="0" w:evenVBand="0" w:oddHBand="0" w:evenHBand="0" w:firstRowFirstColumn="0" w:firstRowLastColumn="0" w:lastRowFirstColumn="0" w:lastRowLastColumn="0"/>
            </w:pPr>
            <w:r>
              <w:t>1.0</w:t>
            </w:r>
          </w:p>
        </w:tc>
      </w:tr>
      <w:tr w:rsidR="003C79AE" w:rsidTr="00396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C79AE" w:rsidRDefault="003C79AE" w:rsidP="00396328">
            <w:pPr>
              <w:spacing w:before="60" w:after="60"/>
              <w:jc w:val="both"/>
            </w:pPr>
            <w:r>
              <w:t>Anul de raportare</w:t>
            </w:r>
          </w:p>
        </w:tc>
        <w:tc>
          <w:tcPr>
            <w:tcW w:w="4395" w:type="dxa"/>
          </w:tcPr>
          <w:p w:rsidR="003C79AE" w:rsidRDefault="003C79AE" w:rsidP="00396328">
            <w:pPr>
              <w:spacing w:before="60" w:after="60"/>
              <w:jc w:val="both"/>
              <w:cnfStyle w:val="000000100000" w:firstRow="0" w:lastRow="0" w:firstColumn="0" w:lastColumn="0" w:oddVBand="0" w:evenVBand="0" w:oddHBand="1" w:evenHBand="0" w:firstRowFirstColumn="0" w:firstRowLastColumn="0" w:lastRowFirstColumn="0" w:lastRowLastColumn="0"/>
            </w:pPr>
            <w:r>
              <w:t>2015</w:t>
            </w:r>
          </w:p>
        </w:tc>
      </w:tr>
      <w:tr w:rsidR="003C79AE" w:rsidTr="00396328">
        <w:tc>
          <w:tcPr>
            <w:cnfStyle w:val="001000000000" w:firstRow="0" w:lastRow="0" w:firstColumn="1" w:lastColumn="0" w:oddVBand="0" w:evenVBand="0" w:oddHBand="0" w:evenHBand="0" w:firstRowFirstColumn="0" w:firstRowLastColumn="0" w:lastRowFirstColumn="0" w:lastRowLastColumn="0"/>
            <w:tcW w:w="5778" w:type="dxa"/>
          </w:tcPr>
          <w:p w:rsidR="003C79AE" w:rsidRDefault="003C79AE" w:rsidP="00396328">
            <w:pPr>
              <w:spacing w:before="60" w:after="60"/>
            </w:pPr>
            <w:r>
              <w:t>Data aprobării raportului de către Comitetul de Monitorizare</w:t>
            </w:r>
          </w:p>
        </w:tc>
        <w:tc>
          <w:tcPr>
            <w:tcW w:w="4395" w:type="dxa"/>
          </w:tcPr>
          <w:p w:rsidR="003C79AE" w:rsidRDefault="003C79AE" w:rsidP="00396328">
            <w:pPr>
              <w:spacing w:before="60" w:after="60"/>
              <w:jc w:val="both"/>
              <w:cnfStyle w:val="000000000000" w:firstRow="0" w:lastRow="0" w:firstColumn="0" w:lastColumn="0" w:oddVBand="0" w:evenVBand="0" w:oddHBand="0" w:evenHBand="0" w:firstRowFirstColumn="0" w:firstRowLastColumn="0" w:lastRowFirstColumn="0" w:lastRowLastColumn="0"/>
            </w:pPr>
          </w:p>
        </w:tc>
      </w:tr>
    </w:tbl>
    <w:p w:rsidR="002009E3" w:rsidRPr="00783B28" w:rsidRDefault="00D67D79" w:rsidP="00C87FC6">
      <w:pPr>
        <w:pStyle w:val="Heading1"/>
        <w:numPr>
          <w:ilvl w:val="0"/>
          <w:numId w:val="29"/>
        </w:numPr>
      </w:pPr>
      <w:bookmarkStart w:id="1" w:name="_Toc451439485"/>
      <w:r w:rsidRPr="00F80C42">
        <w:t>Prezentare generală privind implementarea POAT (7</w:t>
      </w:r>
      <w:r w:rsidR="00C87FC6">
        <w:t>.</w:t>
      </w:r>
      <w:r w:rsidRPr="00F80C42">
        <w:t>000 caractere)</w:t>
      </w:r>
      <w:bookmarkEnd w:id="1"/>
    </w:p>
    <w:p w:rsidR="00C87FC6" w:rsidRDefault="00C87FC6" w:rsidP="00C87FC6">
      <w:pPr>
        <w:jc w:val="both"/>
      </w:pPr>
    </w:p>
    <w:p w:rsidR="00C87FC6" w:rsidRDefault="00C87FC6" w:rsidP="00C87FC6">
      <w:pPr>
        <w:jc w:val="both"/>
      </w:pPr>
      <w:r>
        <w:t>Programul Operațional Asistență Tehnică 2014-2020 (POAT) a fost aprobat de Comisia Europeană (CE) în 18 decembrie 2014 și a fost proiectat astfel încât să asigure un proces de implementare eficientă și eficace a fondurilor europene structurale și de investiții (FESI) în România, ținând cont atât de lecțiile învățate pe parcursul perioadei 2007-2013, cât și de noua arhitectură a sistemului de coordonare, gestionare și control al FESI din România.</w:t>
      </w:r>
    </w:p>
    <w:p w:rsidR="00C87FC6" w:rsidRDefault="00C87FC6" w:rsidP="00C87FC6">
      <w:pPr>
        <w:jc w:val="both"/>
      </w:pPr>
      <w:r>
        <w:t>Pe parcursul anului 2015, implementarea POAT s-a axat în principal pe activitățile pregătitoare pentru lansarea programului. Astfel, la începutul anului 2015, a fost constituit Comitetul de Monitorizare pornindu-se de la structura aferentă exercițiului financiar anterior, la care au fost adăugate organismele intermediare aferente programelor operaționale Infrastructură Mare (POIM) și Competitivitate (POC), precum și noile structuri solicitate prin Regulamentul UE nr. 1303/2013, din domeniul egalității de șanse și dezvoltării teritoriale. Au fost organizate trei reuniuni ale comitetului (26 februarie, 9 iunie și 25 noiembrie), cu ocazia primei reuniuni fiind aprobat mecanismul de aprobare a proiectelor finanțate din POAT.</w:t>
      </w:r>
    </w:p>
    <w:p w:rsidR="00C87FC6" w:rsidRDefault="00C87FC6" w:rsidP="00C87FC6">
      <w:pPr>
        <w:jc w:val="both"/>
      </w:pPr>
      <w:r>
        <w:t>Pentru abordarea coerentă a intervențiilor și asigurarea nevoilor prioritare de asistență tehnică, acest mecanism prevede elaborarea de către Autoritatea de Management pentru POAT (AM POAT) a unui plan anual de proiecte pe baza fișelor de proiect întocmite de beneficiari pentru fiecare dintre proiectele pe care intenționează să le depună spre finanțare</w:t>
      </w:r>
      <w:r w:rsidR="007C3DA9">
        <w:t xml:space="preserve"> pentru anul următor</w:t>
      </w:r>
      <w:r>
        <w:t>, plan care este supus consultării membrilor CM.</w:t>
      </w:r>
    </w:p>
    <w:p w:rsidR="00C87FC6" w:rsidRDefault="00C87FC6" w:rsidP="00C87FC6">
      <w:pPr>
        <w:jc w:val="both"/>
      </w:pPr>
      <w:r>
        <w:t>Planul de proiecte a fost supus consultării CM POAT în cadrul reuniunii din 9 iunie 2015 și a fost revizuit în urma consultării CM POAT în cadrul reuniunii din 25 noiembrie 2015 și prin procedură scrisă în perioada 17.12.2015-11.01.2016, până la sfârșitul anului 2015 fiind primite pentru evaluare 5 proiecte dintre cele prevăzute în plan.</w:t>
      </w:r>
    </w:p>
    <w:p w:rsidR="00C87FC6" w:rsidRDefault="00C87FC6" w:rsidP="00C87FC6">
      <w:pPr>
        <w:jc w:val="both"/>
      </w:pPr>
      <w:r>
        <w:t>În vederea lansării programului a fost elaborat Ghidul Solicitantului POAT 2014-2020, acesta fiind supus consultării publice și aprobat prin Ordinul MFE nr.2805/08.10.2015.</w:t>
      </w:r>
    </w:p>
    <w:p w:rsidR="00C87FC6" w:rsidRDefault="00C87FC6" w:rsidP="00C87FC6">
      <w:pPr>
        <w:jc w:val="both"/>
      </w:pPr>
      <w:r>
        <w:t xml:space="preserve">În plus, pentru a facilita o înțelegere comună cu privire la indicatorii programului și datele ce vor fi colectate, procesate și raportate, asigurarea calității datelor și evaluarea sistemului de indicatori și a îmbunătățirilor ulterioare, a fost elaborat și aprobat Ghidul Indicatorilor POAT 2014-2020. Ghidul conține fișe pentru fiecare indicator cu informații privind organismele responsabile pentru colectarea datelor, resursele umane dedicate, </w:t>
      </w:r>
      <w:r>
        <w:lastRenderedPageBreak/>
        <w:t>termenele de colectare a datelor, conținutul datelor și modalitățile de procesare a acestora. Pe baza acestui ghid vor fi elaborate procedurile de monitorizare a indicatorilor financiari și fizici.</w:t>
      </w:r>
    </w:p>
    <w:p w:rsidR="00C87FC6" w:rsidRDefault="00C87FC6" w:rsidP="00C87FC6">
      <w:pPr>
        <w:jc w:val="both"/>
      </w:pPr>
      <w:r>
        <w:t>În paralel, s-a lucrat la modificarea cadrului procedural, fiind revizuite regulamentul de organizare si funcționare al AM, procedurile operaționale și fișele de post ale personalului AM</w:t>
      </w:r>
      <w:r w:rsidR="00316666">
        <w:t xml:space="preserve">, </w:t>
      </w:r>
      <w:r>
        <w:t>fiind pregătită ”Descrierea funcțiilor și procedurilor în vigoare pentru AM POAT și Autoritatea de Certificare” conform Anexei VI din Regulamentul UE nr. 207/2015, pentru pregătirea pachetului necesar desemnării autorității de management conform articolelor 123 și 124 din Regulamentul UE nr. 1303/2013.</w:t>
      </w:r>
    </w:p>
    <w:p w:rsidR="00C87FC6" w:rsidRDefault="00C87FC6" w:rsidP="00C87FC6">
      <w:pPr>
        <w:jc w:val="both"/>
      </w:pPr>
      <w:r>
        <w:t>De asemenea, la nivelul MFE a avut loc o reorganizare instituțională, care a însemnat pentru AM POAT înființarea unui serviciu pentru pregătirea și monitorizarea proiectelor, prin intermediul căruia se acordă sprijin beneficiarilor în elaborarea cererilor de finanțare și în implementarea efectivă a proiectelor.</w:t>
      </w:r>
    </w:p>
    <w:p w:rsidR="00C87FC6" w:rsidRDefault="00C87FC6" w:rsidP="00C87FC6">
      <w:pPr>
        <w:jc w:val="both"/>
      </w:pPr>
      <w:r>
        <w:t>În privința măsurilor de informare și comunicare prevăzute pentru noua perioadă de programare, potrivit memorandumului aprobat de guvern în data de 8 iulie 2015, România va avea o singură strategie de comunicare orizontală pentru instrumentele structurale 2014-2020, exceptând programele de cooperare teritorială europeană</w:t>
      </w:r>
      <w:r w:rsidR="006E47A2">
        <w:t xml:space="preserve">. La nivelul </w:t>
      </w:r>
      <w:r w:rsidR="00B7565E">
        <w:t xml:space="preserve">celor șase </w:t>
      </w:r>
      <w:r w:rsidR="006E47A2">
        <w:t>programe</w:t>
      </w:r>
      <w:r w:rsidR="002C22C0">
        <w:t xml:space="preserve"> operaționale</w:t>
      </w:r>
      <w:r w:rsidR="006E47A2">
        <w:t xml:space="preserve"> </w:t>
      </w:r>
      <w:r w:rsidR="00B7565E">
        <w:t>finanțate din fondurile structurale și de coeziune 2014-2020,</w:t>
      </w:r>
      <w:r w:rsidR="006E47A2">
        <w:t xml:space="preserve"> se vor elabora</w:t>
      </w:r>
      <w:r>
        <w:t xml:space="preserve"> planuri de comunicare </w:t>
      </w:r>
      <w:r w:rsidR="006E47A2">
        <w:t xml:space="preserve">specifice </w:t>
      </w:r>
      <w:r>
        <w:t xml:space="preserve">prin care să se implementeze această strategie. Responsabilitatea adoptării </w:t>
      </w:r>
      <w:r w:rsidR="006E47A2" w:rsidRPr="007350F3">
        <w:rPr>
          <w:i/>
        </w:rPr>
        <w:t xml:space="preserve">Strategiei de Comunicare pentru </w:t>
      </w:r>
      <w:r w:rsidR="002C22C0" w:rsidRPr="007350F3">
        <w:rPr>
          <w:i/>
        </w:rPr>
        <w:t>instrumente structurale 2014-2020</w:t>
      </w:r>
      <w:r w:rsidR="002C22C0">
        <w:t xml:space="preserve"> </w:t>
      </w:r>
      <w:r>
        <w:t>a revenit CM POAT, care a aprobat</w:t>
      </w:r>
      <w:r w:rsidR="002C22C0">
        <w:t>-o</w:t>
      </w:r>
      <w:r>
        <w:t xml:space="preserve"> în data de 25 noiembrie 2015 în urma consultării prealabile a comitetelor de monitorizare ale celorlalte programe operaționale.</w:t>
      </w:r>
    </w:p>
    <w:p w:rsidR="00C87FC6" w:rsidRDefault="00C87FC6" w:rsidP="00C87FC6">
      <w:pPr>
        <w:jc w:val="both"/>
      </w:pPr>
      <w:r>
        <w:t>Pe parcursul anului 2015 a fost modificat cadrul legislativ național prin adoptarea unor acte normative ce au vizat: stabilirea cadrului instituțional de coordonare și gestionare a FESI și asigurarea continuității cadrului instituțional de coordonare și gestionare a instrumentelor structurale (IS) 2007-2013</w:t>
      </w:r>
      <w:r w:rsidR="00374AE3">
        <w:t xml:space="preserve"> (HG 398/2015)</w:t>
      </w:r>
      <w:r>
        <w:t>, precum și reglementarea aspectelor referitoare la eligibilitatea cheltuielilor efectuate în cadrul operațiunilor finanțate în noua perioadă</w:t>
      </w:r>
      <w:r w:rsidR="00374AE3">
        <w:t xml:space="preserve"> (HG nr.399/2015) și gestionarea financiară a FESI (OUG nr.40/2015)</w:t>
      </w:r>
      <w:r>
        <w:t>. De asemenea, a fost înființată Agenția Națională pentru Achiziții Publice (ANAP), în subordinea Ministerului Finanțelor Publice, cu rol în elaborarea, promovarea și implementarea politicii în domeniul achizițiilor publice și au fost inițiate demersuri pentru încheierea unor protocoale de colaborare între MFE și diverse instituții implicate în procesul de gestionare a FESI.</w:t>
      </w:r>
    </w:p>
    <w:p w:rsidR="009323E5" w:rsidRPr="00C87FC6" w:rsidRDefault="00C87FC6" w:rsidP="00C87FC6">
      <w:pPr>
        <w:jc w:val="both"/>
      </w:pPr>
      <w:r>
        <w:t>În plus, a</w:t>
      </w:r>
      <w:r w:rsidR="00EB3A75" w:rsidRPr="00C87FC6">
        <w:t xml:space="preserve">vând în vedere că expertiza Instituțiilor Financiare Internaționale </w:t>
      </w:r>
      <w:r>
        <w:t>(</w:t>
      </w:r>
      <w:r w:rsidR="00EB3A75" w:rsidRPr="00C87FC6">
        <w:t>IFI) furnizată în perioada de programare anterioară s-a dovedit a fi un mijloc eficace pentru îmbunătățirea utilizării fondurilor europene</w:t>
      </w:r>
      <w:r w:rsidR="009F693C" w:rsidRPr="00C87FC6">
        <w:t>, dar și p</w:t>
      </w:r>
      <w:r w:rsidR="00EB3A75" w:rsidRPr="00C87FC6">
        <w:t>e</w:t>
      </w:r>
      <w:r w:rsidR="009F693C" w:rsidRPr="00C87FC6">
        <w:t>n</w:t>
      </w:r>
      <w:r w:rsidR="00EB3A75" w:rsidRPr="00C87FC6">
        <w:t xml:space="preserve">tru pregătirea exercițiului financiar </w:t>
      </w:r>
      <w:r w:rsidR="009F693C" w:rsidRPr="00C87FC6">
        <w:t>2014-2020</w:t>
      </w:r>
      <w:r w:rsidR="00EB3A75" w:rsidRPr="00C87FC6">
        <w:t xml:space="preserve">, </w:t>
      </w:r>
      <w:r w:rsidR="009323E5" w:rsidRPr="00C87FC6">
        <w:t>cooperarea cu</w:t>
      </w:r>
      <w:r w:rsidR="00EB3A75" w:rsidRPr="00C87FC6">
        <w:t xml:space="preserve"> aceste instituții</w:t>
      </w:r>
      <w:r w:rsidR="009F693C" w:rsidRPr="00C87FC6">
        <w:t xml:space="preserve"> </w:t>
      </w:r>
      <w:r w:rsidR="009323E5" w:rsidRPr="00C87FC6">
        <w:t xml:space="preserve">a fost extinsă </w:t>
      </w:r>
      <w:r w:rsidR="009F693C" w:rsidRPr="00C87FC6">
        <w:t xml:space="preserve">prin semnarea unor noi memorandumuri/acorduri, </w:t>
      </w:r>
      <w:r w:rsidR="00EB3A75" w:rsidRPr="00C87FC6">
        <w:t xml:space="preserve">MFE, în calitate de coordonator al asistenței acordată României de IFI, făcând </w:t>
      </w:r>
      <w:r w:rsidR="009323E5" w:rsidRPr="00C87FC6">
        <w:t xml:space="preserve">demersurile necesare în vederea </w:t>
      </w:r>
      <w:r w:rsidR="00EB3A75" w:rsidRPr="00C87FC6">
        <w:t xml:space="preserve">inițierii și </w:t>
      </w:r>
      <w:r w:rsidR="009323E5" w:rsidRPr="00C87FC6">
        <w:t xml:space="preserve">semnării </w:t>
      </w:r>
      <w:r w:rsidR="009F693C" w:rsidRPr="00C87FC6">
        <w:t>acestora</w:t>
      </w:r>
      <w:r>
        <w:t xml:space="preserve"> </w:t>
      </w:r>
      <w:r w:rsidR="00C032B0">
        <w:t xml:space="preserve">(cu Banca Europeană de Investiții în data de </w:t>
      </w:r>
      <w:r w:rsidR="00C032B0" w:rsidRPr="00C87FC6">
        <w:t>23.12.2015</w:t>
      </w:r>
      <w:r w:rsidR="00C032B0">
        <w:t>,</w:t>
      </w:r>
      <w:r w:rsidR="00374AE3">
        <w:t xml:space="preserve"> </w:t>
      </w:r>
      <w:r>
        <w:t xml:space="preserve">cu Banca Mondială în data de </w:t>
      </w:r>
      <w:r w:rsidRPr="00C87FC6">
        <w:t xml:space="preserve">11 ianuarie 2016 </w:t>
      </w:r>
      <w:r w:rsidR="00374AE3">
        <w:t>ș</w:t>
      </w:r>
      <w:r w:rsidRPr="00C87FC6">
        <w:t xml:space="preserve">i </w:t>
      </w:r>
      <w:r>
        <w:t>cu Banca Europeană pentru Reconstrucție și Dezvoltare în data de 02.02.2016.</w:t>
      </w:r>
      <w:r w:rsidR="00C032B0">
        <w:t>)</w:t>
      </w:r>
    </w:p>
    <w:p w:rsidR="00F94A48" w:rsidRPr="007F3437" w:rsidRDefault="009F693C" w:rsidP="000021F6">
      <w:pPr>
        <w:jc w:val="both"/>
        <w:rPr>
          <w:color w:val="FF0000"/>
        </w:rPr>
      </w:pPr>
      <w:r w:rsidRPr="00F80C42">
        <w:rPr>
          <w:color w:val="FF0000"/>
        </w:rPr>
        <w:t>(</w:t>
      </w:r>
      <w:r w:rsidR="005A1799" w:rsidRPr="00783B28">
        <w:rPr>
          <w:color w:val="FF0000"/>
        </w:rPr>
        <w:t xml:space="preserve">aprox. </w:t>
      </w:r>
      <w:r w:rsidR="00C30064">
        <w:rPr>
          <w:color w:val="FF0000"/>
        </w:rPr>
        <w:t>59</w:t>
      </w:r>
      <w:r w:rsidR="0020195A">
        <w:rPr>
          <w:color w:val="FF0000"/>
        </w:rPr>
        <w:t>47</w:t>
      </w:r>
      <w:r w:rsidR="00C30064" w:rsidRPr="007F3437">
        <w:rPr>
          <w:color w:val="FF0000"/>
        </w:rPr>
        <w:t xml:space="preserve"> </w:t>
      </w:r>
      <w:r w:rsidR="00F94A48" w:rsidRPr="007F3437">
        <w:rPr>
          <w:color w:val="FF0000"/>
        </w:rPr>
        <w:t>caractere)</w:t>
      </w:r>
    </w:p>
    <w:p w:rsidR="00D67D79" w:rsidRPr="007F3437" w:rsidRDefault="00D67D79" w:rsidP="00C87FC6">
      <w:pPr>
        <w:pStyle w:val="Heading1"/>
        <w:numPr>
          <w:ilvl w:val="0"/>
          <w:numId w:val="29"/>
        </w:numPr>
      </w:pPr>
      <w:bookmarkStart w:id="2" w:name="_Toc451439486"/>
      <w:r w:rsidRPr="007F3437">
        <w:t>Implementarea axe</w:t>
      </w:r>
      <w:r w:rsidR="00747FC5">
        <w:t>lor</w:t>
      </w:r>
      <w:r w:rsidRPr="007F3437">
        <w:t xml:space="preserve"> prioritare</w:t>
      </w:r>
      <w:bookmarkEnd w:id="2"/>
      <w:r w:rsidRPr="007F3437">
        <w:t xml:space="preserve"> </w:t>
      </w:r>
    </w:p>
    <w:p w:rsidR="00D67D79" w:rsidRPr="007F3437" w:rsidRDefault="00747FC5" w:rsidP="00C87FC6">
      <w:pPr>
        <w:pStyle w:val="Heading2"/>
      </w:pPr>
      <w:bookmarkStart w:id="3" w:name="_Toc451439487"/>
      <w:r>
        <w:t xml:space="preserve">3.1. </w:t>
      </w:r>
      <w:r w:rsidR="00D67D79" w:rsidRPr="007F3437">
        <w:t>Prezentare generală a implementării (1750 CARACTERE/AXĂ)</w:t>
      </w:r>
      <w:bookmarkEnd w:id="3"/>
    </w:p>
    <w:p w:rsidR="00D16D86" w:rsidRPr="007F3437" w:rsidRDefault="00635E35" w:rsidP="00D16D86">
      <w:pPr>
        <w:pStyle w:val="NormalWeb"/>
        <w:spacing w:line="273" w:lineRule="atLeast"/>
        <w:jc w:val="both"/>
        <w:rPr>
          <w:rFonts w:asciiTheme="minorHAnsi" w:eastAsiaTheme="minorHAnsi" w:hAnsiTheme="minorHAnsi" w:cstheme="minorBidi"/>
          <w:b/>
          <w:sz w:val="22"/>
          <w:szCs w:val="22"/>
          <w:lang w:eastAsia="en-US"/>
        </w:rPr>
      </w:pPr>
      <w:r w:rsidRPr="00F80C42">
        <w:rPr>
          <w:rFonts w:asciiTheme="minorHAnsi" w:eastAsiaTheme="minorHAnsi" w:hAnsiTheme="minorHAnsi" w:cstheme="minorBidi"/>
          <w:b/>
          <w:sz w:val="22"/>
          <w:szCs w:val="22"/>
          <w:lang w:eastAsia="en-US"/>
        </w:rPr>
        <w:t>Analiza calitat</w:t>
      </w:r>
      <w:r w:rsidRPr="00783B28">
        <w:rPr>
          <w:rFonts w:asciiTheme="minorHAnsi" w:eastAsiaTheme="minorHAnsi" w:hAnsiTheme="minorHAnsi" w:cstheme="minorBidi"/>
          <w:b/>
          <w:sz w:val="22"/>
          <w:szCs w:val="22"/>
          <w:lang w:eastAsia="en-US"/>
        </w:rPr>
        <w:t>ivă</w:t>
      </w:r>
      <w:r w:rsidR="000D10E5" w:rsidRPr="008E176E">
        <w:rPr>
          <w:rFonts w:asciiTheme="minorHAnsi" w:eastAsiaTheme="minorHAnsi" w:hAnsiTheme="minorHAnsi" w:cstheme="minorBidi"/>
          <w:b/>
          <w:sz w:val="22"/>
          <w:szCs w:val="22"/>
          <w:lang w:eastAsia="en-US"/>
        </w:rPr>
        <w:t xml:space="preserve"> și cantitativă</w:t>
      </w:r>
      <w:r w:rsidRPr="008E176E">
        <w:rPr>
          <w:rFonts w:asciiTheme="minorHAnsi" w:eastAsiaTheme="minorHAnsi" w:hAnsiTheme="minorHAnsi" w:cstheme="minorBidi"/>
          <w:b/>
          <w:sz w:val="22"/>
          <w:szCs w:val="22"/>
          <w:lang w:eastAsia="en-US"/>
        </w:rPr>
        <w:t xml:space="preserve"> la nivelul axelor prioritare </w:t>
      </w:r>
    </w:p>
    <w:p w:rsidR="007911B7" w:rsidRPr="00E70515" w:rsidRDefault="00D16D86" w:rsidP="00943451">
      <w:pPr>
        <w:pStyle w:val="NormalWeb"/>
        <w:numPr>
          <w:ilvl w:val="0"/>
          <w:numId w:val="3"/>
        </w:numPr>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sidRPr="007F3437">
        <w:rPr>
          <w:rFonts w:asciiTheme="minorHAnsi" w:eastAsiaTheme="minorHAnsi" w:hAnsiTheme="minorHAnsi" w:cstheme="minorBidi"/>
          <w:b/>
          <w:sz w:val="22"/>
          <w:szCs w:val="22"/>
          <w:lang w:eastAsia="en-US"/>
        </w:rPr>
        <w:lastRenderedPageBreak/>
        <w:t>Axa prioritară 1</w:t>
      </w:r>
      <w:r w:rsidRPr="007F3437">
        <w:rPr>
          <w:rFonts w:asciiTheme="minorHAnsi" w:eastAsiaTheme="minorHAnsi" w:hAnsiTheme="minorHAnsi" w:cstheme="minorBidi"/>
          <w:sz w:val="22"/>
          <w:szCs w:val="22"/>
          <w:lang w:eastAsia="en-US"/>
        </w:rPr>
        <w:t xml:space="preserve"> </w:t>
      </w:r>
      <w:r w:rsidR="00B81C64" w:rsidRPr="007F3437">
        <w:rPr>
          <w:rFonts w:asciiTheme="minorHAnsi" w:eastAsiaTheme="minorHAnsi" w:hAnsiTheme="minorHAnsi" w:cstheme="minorBidi"/>
          <w:sz w:val="22"/>
          <w:szCs w:val="22"/>
          <w:lang w:eastAsia="en-US"/>
        </w:rPr>
        <w:t xml:space="preserve">– </w:t>
      </w:r>
      <w:r w:rsidR="007911B7" w:rsidRPr="007F3437">
        <w:rPr>
          <w:rFonts w:asciiTheme="minorHAnsi" w:eastAsiaTheme="minorHAnsi" w:hAnsiTheme="minorHAnsi" w:cstheme="minorBidi"/>
          <w:b/>
          <w:sz w:val="22"/>
          <w:szCs w:val="22"/>
          <w:lang w:eastAsia="en-US"/>
        </w:rPr>
        <w:t>Întărirea capacității beneficiarilor de a pregăti și implementa proiecte finanțate din FESI și diseminarea informațiilor privind aceste fonduri</w:t>
      </w:r>
      <w:r w:rsidR="00B81C64" w:rsidRPr="00E70515">
        <w:rPr>
          <w:rFonts w:asciiTheme="minorHAnsi" w:eastAsiaTheme="minorHAnsi" w:hAnsiTheme="minorHAnsi" w:cstheme="minorBidi"/>
          <w:sz w:val="22"/>
          <w:szCs w:val="22"/>
          <w:lang w:eastAsia="en-US"/>
        </w:rPr>
        <w:t xml:space="preserve"> </w:t>
      </w:r>
      <w:r w:rsidR="00F94A48" w:rsidRPr="00E70515">
        <w:rPr>
          <w:rFonts w:asciiTheme="minorHAnsi" w:eastAsiaTheme="minorHAnsi" w:hAnsiTheme="minorHAnsi" w:cstheme="minorBidi"/>
          <w:sz w:val="22"/>
          <w:szCs w:val="22"/>
          <w:lang w:eastAsia="en-US"/>
        </w:rPr>
        <w:t>(</w:t>
      </w:r>
      <w:r w:rsidR="00F94A48" w:rsidRPr="00E70515">
        <w:rPr>
          <w:rFonts w:asciiTheme="minorHAnsi" w:eastAsiaTheme="minorHAnsi" w:hAnsiTheme="minorHAnsi" w:cstheme="minorBidi"/>
          <w:i/>
          <w:sz w:val="22"/>
          <w:szCs w:val="22"/>
          <w:lang w:eastAsia="en-US"/>
        </w:rPr>
        <w:t>alocare 78,64 mil. Euro eligibil</w:t>
      </w:r>
      <w:r w:rsidR="00F94A48" w:rsidRPr="00E70515">
        <w:rPr>
          <w:rFonts w:asciiTheme="minorHAnsi" w:eastAsiaTheme="minorHAnsi" w:hAnsiTheme="minorHAnsi" w:cstheme="minorBidi"/>
          <w:sz w:val="22"/>
          <w:szCs w:val="22"/>
          <w:lang w:eastAsia="en-US"/>
        </w:rPr>
        <w:t>)</w:t>
      </w:r>
    </w:p>
    <w:p w:rsidR="00557A43" w:rsidRPr="007F3437" w:rsidRDefault="00E76AF1" w:rsidP="00E76AF1">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sidRPr="00E70515">
        <w:rPr>
          <w:rFonts w:asciiTheme="minorHAnsi" w:eastAsiaTheme="minorHAnsi" w:hAnsiTheme="minorHAnsi" w:cstheme="minorBidi"/>
          <w:sz w:val="22"/>
          <w:szCs w:val="22"/>
          <w:lang w:eastAsia="en-US"/>
        </w:rPr>
        <w:t>Conform planului de proiecte 2015-2016</w:t>
      </w:r>
      <w:r w:rsidR="00557A43" w:rsidRPr="00F80C42">
        <w:rPr>
          <w:rFonts w:asciiTheme="minorHAnsi" w:eastAsiaTheme="minorHAnsi" w:hAnsiTheme="minorHAnsi" w:cstheme="minorBidi"/>
          <w:sz w:val="22"/>
          <w:szCs w:val="22"/>
          <w:lang w:eastAsia="en-US"/>
        </w:rPr>
        <w:t xml:space="preserve">, </w:t>
      </w:r>
      <w:r w:rsidRPr="00F80C42">
        <w:rPr>
          <w:rFonts w:asciiTheme="minorHAnsi" w:eastAsiaTheme="minorHAnsi" w:hAnsiTheme="minorHAnsi" w:cstheme="minorBidi"/>
          <w:sz w:val="22"/>
          <w:szCs w:val="22"/>
          <w:lang w:eastAsia="en-US"/>
        </w:rPr>
        <w:t>în cadrul acestei axe</w:t>
      </w:r>
      <w:r w:rsidR="00557A43" w:rsidRPr="00F80C42">
        <w:rPr>
          <w:rFonts w:asciiTheme="minorHAnsi" w:eastAsiaTheme="minorHAnsi" w:hAnsiTheme="minorHAnsi" w:cstheme="minorBidi"/>
          <w:sz w:val="22"/>
          <w:szCs w:val="22"/>
          <w:lang w:eastAsia="en-US"/>
        </w:rPr>
        <w:t xml:space="preserve"> au fost</w:t>
      </w:r>
      <w:r w:rsidRPr="00F80C42">
        <w:rPr>
          <w:rFonts w:asciiTheme="minorHAnsi" w:eastAsiaTheme="minorHAnsi" w:hAnsiTheme="minorHAnsi" w:cstheme="minorBidi"/>
          <w:sz w:val="22"/>
          <w:szCs w:val="22"/>
          <w:lang w:eastAsia="en-US"/>
        </w:rPr>
        <w:t xml:space="preserve"> </w:t>
      </w:r>
      <w:r w:rsidR="00557A43" w:rsidRPr="00F80C42">
        <w:rPr>
          <w:rFonts w:asciiTheme="minorHAnsi" w:eastAsiaTheme="minorHAnsi" w:hAnsiTheme="minorHAnsi" w:cstheme="minorBidi"/>
          <w:sz w:val="22"/>
          <w:szCs w:val="22"/>
          <w:lang w:eastAsia="en-US"/>
        </w:rPr>
        <w:t xml:space="preserve">propuse 13 proiecte care </w:t>
      </w:r>
      <w:r w:rsidRPr="00F80C42">
        <w:rPr>
          <w:rFonts w:asciiTheme="minorHAnsi" w:eastAsiaTheme="minorHAnsi" w:hAnsiTheme="minorHAnsi" w:cstheme="minorBidi"/>
          <w:sz w:val="22"/>
          <w:szCs w:val="22"/>
          <w:lang w:eastAsia="en-US"/>
        </w:rPr>
        <w:t xml:space="preserve">acoperă 35% din alocarea </w:t>
      </w:r>
      <w:r w:rsidR="00747FC5">
        <w:rPr>
          <w:rFonts w:asciiTheme="minorHAnsi" w:eastAsiaTheme="minorHAnsi" w:hAnsiTheme="minorHAnsi" w:cstheme="minorBidi"/>
          <w:sz w:val="22"/>
          <w:szCs w:val="22"/>
          <w:lang w:eastAsia="en-US"/>
        </w:rPr>
        <w:t>axei</w:t>
      </w:r>
      <w:r w:rsidR="002D7E46">
        <w:rPr>
          <w:rFonts w:asciiTheme="minorHAnsi" w:eastAsiaTheme="minorHAnsi" w:hAnsiTheme="minorHAnsi" w:cstheme="minorBidi"/>
          <w:sz w:val="22"/>
          <w:szCs w:val="22"/>
          <w:lang w:eastAsia="en-US"/>
        </w:rPr>
        <w:t xml:space="preserve"> și o perioadă de implementare de 3 ani</w:t>
      </w:r>
      <w:r w:rsidR="00196548">
        <w:rPr>
          <w:rFonts w:asciiTheme="minorHAnsi" w:eastAsiaTheme="minorHAnsi" w:hAnsiTheme="minorHAnsi" w:cstheme="minorBidi"/>
          <w:sz w:val="22"/>
          <w:szCs w:val="22"/>
          <w:lang w:eastAsia="en-US"/>
        </w:rPr>
        <w:t>, dintre care 8 proiecte</w:t>
      </w:r>
      <w:r w:rsidR="00D16190">
        <w:rPr>
          <w:rFonts w:asciiTheme="minorHAnsi" w:eastAsiaTheme="minorHAnsi" w:hAnsiTheme="minorHAnsi" w:cstheme="minorBidi"/>
          <w:sz w:val="22"/>
          <w:szCs w:val="22"/>
          <w:lang w:eastAsia="en-US"/>
        </w:rPr>
        <w:t xml:space="preserve"> </w:t>
      </w:r>
      <w:r w:rsidR="00E31D81">
        <w:rPr>
          <w:rFonts w:asciiTheme="minorHAnsi" w:eastAsiaTheme="minorHAnsi" w:hAnsiTheme="minorHAnsi" w:cstheme="minorBidi"/>
          <w:sz w:val="22"/>
          <w:szCs w:val="22"/>
          <w:lang w:eastAsia="en-US"/>
        </w:rPr>
        <w:t>în cadrul obiectivului specific (OS) 1.1 și</w:t>
      </w:r>
      <w:r w:rsidR="00196548">
        <w:rPr>
          <w:rFonts w:asciiTheme="minorHAnsi" w:eastAsiaTheme="minorHAnsi" w:hAnsiTheme="minorHAnsi" w:cstheme="minorBidi"/>
          <w:sz w:val="22"/>
          <w:szCs w:val="22"/>
          <w:lang w:eastAsia="en-US"/>
        </w:rPr>
        <w:t xml:space="preserve"> 5 </w:t>
      </w:r>
      <w:r w:rsidR="00E31D81">
        <w:rPr>
          <w:rFonts w:asciiTheme="minorHAnsi" w:eastAsiaTheme="minorHAnsi" w:hAnsiTheme="minorHAnsi" w:cstheme="minorBidi"/>
          <w:sz w:val="22"/>
          <w:szCs w:val="22"/>
          <w:lang w:eastAsia="en-US"/>
        </w:rPr>
        <w:t xml:space="preserve">în cadrul </w:t>
      </w:r>
      <w:r w:rsidR="00196548">
        <w:rPr>
          <w:rFonts w:asciiTheme="minorHAnsi" w:eastAsiaTheme="minorHAnsi" w:hAnsiTheme="minorHAnsi" w:cstheme="minorBidi"/>
          <w:sz w:val="22"/>
          <w:szCs w:val="22"/>
          <w:lang w:eastAsia="en-US"/>
        </w:rPr>
        <w:t>OS</w:t>
      </w:r>
      <w:r w:rsidR="00E31D81">
        <w:rPr>
          <w:rFonts w:asciiTheme="minorHAnsi" w:eastAsiaTheme="minorHAnsi" w:hAnsiTheme="minorHAnsi" w:cstheme="minorBidi"/>
          <w:sz w:val="22"/>
          <w:szCs w:val="22"/>
          <w:lang w:eastAsia="en-US"/>
        </w:rPr>
        <w:t xml:space="preserve"> 1.2.</w:t>
      </w:r>
    </w:p>
    <w:p w:rsidR="0021695C" w:rsidRPr="00E31D81" w:rsidRDefault="00E31D81" w:rsidP="00E76AF1">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Proiectele </w:t>
      </w:r>
      <w:r w:rsidR="00ED4F29">
        <w:rPr>
          <w:rFonts w:asciiTheme="minorHAnsi" w:eastAsiaTheme="minorHAnsi" w:hAnsiTheme="minorHAnsi" w:cstheme="minorBidi"/>
          <w:sz w:val="22"/>
          <w:szCs w:val="22"/>
          <w:lang w:eastAsia="en-US"/>
        </w:rPr>
        <w:t>di</w:t>
      </w:r>
      <w:r>
        <w:rPr>
          <w:rFonts w:asciiTheme="minorHAnsi" w:eastAsiaTheme="minorHAnsi" w:hAnsiTheme="minorHAnsi" w:cstheme="minorBidi"/>
          <w:sz w:val="22"/>
          <w:szCs w:val="22"/>
          <w:lang w:eastAsia="en-US"/>
        </w:rPr>
        <w:t xml:space="preserve">n cadrul OS 1.1 </w:t>
      </w:r>
      <w:r w:rsidR="00557A43" w:rsidRPr="00E31D81">
        <w:rPr>
          <w:rFonts w:asciiTheme="minorHAnsi" w:eastAsiaTheme="minorHAnsi" w:hAnsiTheme="minorHAnsi" w:cstheme="minorBidi"/>
          <w:sz w:val="22"/>
          <w:szCs w:val="22"/>
          <w:lang w:eastAsia="en-US"/>
        </w:rPr>
        <w:t>vizează derularea</w:t>
      </w:r>
      <w:r>
        <w:rPr>
          <w:rFonts w:asciiTheme="minorHAnsi" w:eastAsiaTheme="minorHAnsi" w:hAnsiTheme="minorHAnsi" w:cstheme="minorBidi"/>
          <w:sz w:val="22"/>
          <w:szCs w:val="22"/>
          <w:lang w:eastAsia="en-US"/>
        </w:rPr>
        <w:t xml:space="preserve"> </w:t>
      </w:r>
      <w:r w:rsidR="00557A43" w:rsidRPr="00E31D81">
        <w:rPr>
          <w:rFonts w:asciiTheme="minorHAnsi" w:eastAsiaTheme="minorHAnsi" w:hAnsiTheme="minorHAnsi" w:cstheme="minorBidi"/>
          <w:sz w:val="22"/>
          <w:szCs w:val="22"/>
          <w:lang w:eastAsia="en-US"/>
        </w:rPr>
        <w:t xml:space="preserve">unor activități </w:t>
      </w:r>
      <w:r w:rsidR="002C22C0" w:rsidRPr="00E31D81">
        <w:rPr>
          <w:rFonts w:asciiTheme="minorHAnsi" w:eastAsiaTheme="minorHAnsi" w:hAnsiTheme="minorHAnsi" w:cstheme="minorBidi"/>
          <w:sz w:val="22"/>
          <w:szCs w:val="22"/>
          <w:lang w:eastAsia="en-US"/>
        </w:rPr>
        <w:t xml:space="preserve">publice </w:t>
      </w:r>
      <w:r w:rsidR="00557A43" w:rsidRPr="00E31D81">
        <w:rPr>
          <w:rFonts w:asciiTheme="minorHAnsi" w:eastAsiaTheme="minorHAnsi" w:hAnsiTheme="minorHAnsi" w:cstheme="minorBidi"/>
          <w:sz w:val="22"/>
          <w:szCs w:val="22"/>
          <w:lang w:eastAsia="en-US"/>
        </w:rPr>
        <w:t>de instruire</w:t>
      </w:r>
      <w:r w:rsidR="007C3DA9">
        <w:rPr>
          <w:rFonts w:asciiTheme="minorHAnsi" w:eastAsiaTheme="minorHAnsi" w:hAnsiTheme="minorHAnsi" w:cstheme="minorBidi"/>
          <w:sz w:val="22"/>
          <w:szCs w:val="22"/>
          <w:lang w:eastAsia="en-US"/>
        </w:rPr>
        <w:t xml:space="preserve"> </w:t>
      </w:r>
      <w:r w:rsidR="007C3DA9" w:rsidRPr="00E31D81">
        <w:rPr>
          <w:rFonts w:asciiTheme="minorHAnsi" w:eastAsiaTheme="minorHAnsi" w:hAnsiTheme="minorHAnsi" w:cstheme="minorBidi"/>
          <w:sz w:val="22"/>
          <w:szCs w:val="22"/>
          <w:lang w:eastAsia="en-US"/>
        </w:rPr>
        <w:t>pentru beneficiarii FESI</w:t>
      </w:r>
      <w:r w:rsidR="00557A43" w:rsidRPr="00E31D81">
        <w:rPr>
          <w:rFonts w:asciiTheme="minorHAnsi" w:eastAsiaTheme="minorHAnsi" w:hAnsiTheme="minorHAnsi" w:cstheme="minorBidi"/>
          <w:sz w:val="22"/>
          <w:szCs w:val="22"/>
          <w:lang w:eastAsia="en-US"/>
        </w:rPr>
        <w:t xml:space="preserve"> în domeni</w:t>
      </w:r>
      <w:r w:rsidR="007C3DA9">
        <w:rPr>
          <w:rFonts w:asciiTheme="minorHAnsi" w:eastAsiaTheme="minorHAnsi" w:hAnsiTheme="minorHAnsi" w:cstheme="minorBidi"/>
          <w:sz w:val="22"/>
          <w:szCs w:val="22"/>
          <w:lang w:eastAsia="en-US"/>
        </w:rPr>
        <w:t>i precum</w:t>
      </w:r>
      <w:r w:rsidR="00557A43" w:rsidRPr="00E31D81">
        <w:rPr>
          <w:rFonts w:asciiTheme="minorHAnsi" w:eastAsiaTheme="minorHAnsi" w:hAnsiTheme="minorHAnsi" w:cstheme="minorBidi"/>
          <w:sz w:val="22"/>
          <w:szCs w:val="22"/>
          <w:lang w:eastAsia="en-US"/>
        </w:rPr>
        <w:t xml:space="preserve"> ajutorul de stat</w:t>
      </w:r>
      <w:r w:rsidR="007C3DA9">
        <w:rPr>
          <w:rFonts w:asciiTheme="minorHAnsi" w:eastAsiaTheme="minorHAnsi" w:hAnsiTheme="minorHAnsi" w:cstheme="minorBidi"/>
          <w:sz w:val="22"/>
          <w:szCs w:val="22"/>
          <w:lang w:eastAsia="en-US"/>
        </w:rPr>
        <w:t xml:space="preserve">, conflict de interese/incompatibilități, nereguli/antifraudă </w:t>
      </w:r>
      <w:r w:rsidR="00557A43" w:rsidRPr="00E31D81">
        <w:rPr>
          <w:rFonts w:asciiTheme="minorHAnsi" w:eastAsiaTheme="minorHAnsi" w:hAnsiTheme="minorHAnsi" w:cstheme="minorBidi"/>
          <w:sz w:val="22"/>
          <w:szCs w:val="22"/>
          <w:lang w:eastAsia="en-US"/>
        </w:rPr>
        <w:t>și achiziții</w:t>
      </w:r>
      <w:r w:rsidR="007C3DA9">
        <w:rPr>
          <w:rFonts w:asciiTheme="minorHAnsi" w:eastAsiaTheme="minorHAnsi" w:hAnsiTheme="minorHAnsi" w:cstheme="minorBidi"/>
          <w:sz w:val="22"/>
          <w:szCs w:val="22"/>
          <w:lang w:eastAsia="en-US"/>
        </w:rPr>
        <w:t xml:space="preserve"> </w:t>
      </w:r>
      <w:r w:rsidR="00557A43" w:rsidRPr="00E31D81">
        <w:rPr>
          <w:rFonts w:asciiTheme="minorHAnsi" w:eastAsiaTheme="minorHAnsi" w:hAnsiTheme="minorHAnsi" w:cstheme="minorBidi"/>
          <w:sz w:val="22"/>
          <w:szCs w:val="22"/>
          <w:lang w:eastAsia="en-US"/>
        </w:rPr>
        <w:t>publice, inclusiv la nivel local</w:t>
      </w:r>
      <w:r w:rsidR="00C05D15" w:rsidRPr="00E31D81">
        <w:rPr>
          <w:rFonts w:asciiTheme="minorHAnsi" w:eastAsiaTheme="minorHAnsi" w:hAnsiTheme="minorHAnsi" w:cstheme="minorBidi"/>
          <w:sz w:val="22"/>
          <w:szCs w:val="22"/>
          <w:lang w:eastAsia="en-US"/>
        </w:rPr>
        <w:t>,</w:t>
      </w:r>
      <w:r w:rsidRPr="00E31D81">
        <w:rPr>
          <w:rFonts w:asciiTheme="minorHAnsi" w:eastAsiaTheme="minorHAnsi" w:hAnsiTheme="minorHAnsi" w:cstheme="minorBidi"/>
          <w:sz w:val="22"/>
          <w:szCs w:val="22"/>
          <w:lang w:eastAsia="en-US"/>
        </w:rPr>
        <w:t xml:space="preserve"> </w:t>
      </w:r>
      <w:r w:rsidR="008064CE" w:rsidRPr="00E31D81">
        <w:rPr>
          <w:rFonts w:asciiTheme="minorHAnsi" w:eastAsiaTheme="minorHAnsi" w:hAnsiTheme="minorHAnsi" w:cstheme="minorBidi"/>
          <w:sz w:val="22"/>
          <w:szCs w:val="22"/>
          <w:lang w:eastAsia="en-US"/>
        </w:rPr>
        <w:t xml:space="preserve">coordonarea </w:t>
      </w:r>
      <w:r>
        <w:rPr>
          <w:rFonts w:asciiTheme="minorHAnsi" w:eastAsiaTheme="minorHAnsi" w:hAnsiTheme="minorHAnsi" w:cstheme="minorBidi"/>
          <w:sz w:val="22"/>
          <w:szCs w:val="22"/>
          <w:lang w:eastAsia="en-US"/>
        </w:rPr>
        <w:t xml:space="preserve">implementării </w:t>
      </w:r>
      <w:r w:rsidR="008064CE" w:rsidRPr="00E31D81">
        <w:rPr>
          <w:rFonts w:asciiTheme="minorHAnsi" w:eastAsiaTheme="minorHAnsi" w:hAnsiTheme="minorHAnsi" w:cstheme="minorBidi"/>
          <w:sz w:val="22"/>
          <w:szCs w:val="22"/>
          <w:lang w:eastAsia="en-US"/>
        </w:rPr>
        <w:t>Strategi</w:t>
      </w:r>
      <w:r>
        <w:rPr>
          <w:rFonts w:asciiTheme="minorHAnsi" w:eastAsiaTheme="minorHAnsi" w:hAnsiTheme="minorHAnsi" w:cstheme="minorBidi"/>
          <w:sz w:val="22"/>
          <w:szCs w:val="22"/>
          <w:lang w:eastAsia="en-US"/>
        </w:rPr>
        <w:t>e</w:t>
      </w:r>
      <w:r w:rsidR="008064CE" w:rsidRPr="00E31D81">
        <w:rPr>
          <w:rFonts w:asciiTheme="minorHAnsi" w:eastAsiaTheme="minorHAnsi" w:hAnsiTheme="minorHAnsi" w:cstheme="minorBidi"/>
          <w:sz w:val="22"/>
          <w:szCs w:val="22"/>
          <w:lang w:eastAsia="en-US"/>
        </w:rPr>
        <w:t>i ITI</w:t>
      </w:r>
      <w:r>
        <w:rPr>
          <w:rFonts w:asciiTheme="minorHAnsi" w:eastAsiaTheme="minorHAnsi" w:hAnsiTheme="minorHAnsi" w:cstheme="minorBidi"/>
          <w:sz w:val="22"/>
          <w:szCs w:val="22"/>
          <w:lang w:eastAsia="en-US"/>
        </w:rPr>
        <w:t xml:space="preserve"> Delta Dunării</w:t>
      </w:r>
      <w:r w:rsidR="008064CE" w:rsidRPr="00E31D81">
        <w:rPr>
          <w:rFonts w:asciiTheme="minorHAnsi" w:eastAsiaTheme="minorHAnsi" w:hAnsiTheme="minorHAnsi" w:cstheme="minorBidi"/>
          <w:sz w:val="22"/>
          <w:szCs w:val="22"/>
          <w:lang w:eastAsia="en-US"/>
        </w:rPr>
        <w:t>, respectiv furnizarea de asistență tehnică specifică POIM și POC.</w:t>
      </w:r>
    </w:p>
    <w:p w:rsidR="00C57038" w:rsidRPr="007F3437" w:rsidRDefault="00ED4F29" w:rsidP="00C57038">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D16190">
        <w:rPr>
          <w:rFonts w:asciiTheme="minorHAnsi" w:eastAsiaTheme="minorHAnsi" w:hAnsiTheme="minorHAnsi" w:cstheme="minorBidi"/>
          <w:sz w:val="22"/>
          <w:szCs w:val="22"/>
          <w:lang w:eastAsia="en-US"/>
        </w:rPr>
        <w:t xml:space="preserve">roiectele din </w:t>
      </w:r>
      <w:r w:rsidR="00032636" w:rsidRPr="00E31D81">
        <w:rPr>
          <w:rFonts w:asciiTheme="minorHAnsi" w:eastAsiaTheme="minorHAnsi" w:hAnsiTheme="minorHAnsi" w:cstheme="minorBidi"/>
          <w:sz w:val="22"/>
          <w:szCs w:val="22"/>
          <w:lang w:eastAsia="en-US"/>
        </w:rPr>
        <w:t>OS 1.2 urmăre</w:t>
      </w:r>
      <w:r w:rsidR="00D16190">
        <w:rPr>
          <w:rFonts w:asciiTheme="minorHAnsi" w:eastAsiaTheme="minorHAnsi" w:hAnsiTheme="minorHAnsi" w:cstheme="minorBidi"/>
          <w:sz w:val="22"/>
          <w:szCs w:val="22"/>
          <w:lang w:eastAsia="en-US"/>
        </w:rPr>
        <w:t>sc</w:t>
      </w:r>
      <w:r w:rsidR="00032636" w:rsidRPr="00E31D81">
        <w:rPr>
          <w:rFonts w:asciiTheme="minorHAnsi" w:eastAsiaTheme="minorHAnsi" w:hAnsiTheme="minorHAnsi" w:cstheme="minorBidi"/>
          <w:sz w:val="22"/>
          <w:szCs w:val="22"/>
          <w:lang w:eastAsia="en-US"/>
        </w:rPr>
        <w:t xml:space="preserve"> promovarea informațiilor referitoare la IS 2014-2020 și </w:t>
      </w:r>
      <w:r w:rsidR="00F11BCA" w:rsidRPr="00E31D81">
        <w:rPr>
          <w:rFonts w:asciiTheme="minorHAnsi" w:eastAsiaTheme="minorHAnsi" w:hAnsiTheme="minorHAnsi" w:cstheme="minorBidi"/>
          <w:sz w:val="22"/>
          <w:szCs w:val="22"/>
          <w:lang w:eastAsia="en-US"/>
        </w:rPr>
        <w:t>a parteneriatului în coordonarea și gestionarea FE</w:t>
      </w:r>
      <w:r w:rsidR="00F11BCA" w:rsidRPr="00E70515">
        <w:rPr>
          <w:rFonts w:asciiTheme="minorHAnsi" w:eastAsiaTheme="minorHAnsi" w:hAnsiTheme="minorHAnsi" w:cstheme="minorBidi"/>
          <w:sz w:val="22"/>
          <w:szCs w:val="22"/>
          <w:lang w:eastAsia="en-US"/>
        </w:rPr>
        <w:t xml:space="preserve">SI, </w:t>
      </w:r>
      <w:r w:rsidR="00032636" w:rsidRPr="00E70515">
        <w:rPr>
          <w:rFonts w:asciiTheme="minorHAnsi" w:eastAsiaTheme="minorHAnsi" w:hAnsiTheme="minorHAnsi" w:cstheme="minorBidi"/>
          <w:sz w:val="22"/>
          <w:szCs w:val="22"/>
          <w:lang w:eastAsia="en-US"/>
        </w:rPr>
        <w:t>sprijinirea funcționării Centrului de Informare pent</w:t>
      </w:r>
      <w:r w:rsidR="001C7228" w:rsidRPr="00E70515">
        <w:rPr>
          <w:rFonts w:asciiTheme="minorHAnsi" w:eastAsiaTheme="minorHAnsi" w:hAnsiTheme="minorHAnsi" w:cstheme="minorBidi"/>
          <w:sz w:val="22"/>
          <w:szCs w:val="22"/>
          <w:lang w:eastAsia="en-US"/>
        </w:rPr>
        <w:t>ru IS și a rețelei teritoriale, precum și campanii de informare în domeniul luptei împotriva fraudei.</w:t>
      </w:r>
    </w:p>
    <w:p w:rsidR="004D45FE" w:rsidRDefault="00C57038" w:rsidP="00C57038">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sidRPr="00E31D81">
        <w:rPr>
          <w:rFonts w:asciiTheme="minorHAnsi" w:eastAsiaTheme="minorHAnsi" w:hAnsiTheme="minorHAnsi" w:cstheme="minorBidi"/>
          <w:sz w:val="22"/>
          <w:szCs w:val="22"/>
          <w:lang w:eastAsia="en-US"/>
        </w:rPr>
        <w:t xml:space="preserve">Prin indicatorii stabiliți la nivelul proiectelor propuse </w:t>
      </w:r>
      <w:r w:rsidR="00ED4F29">
        <w:rPr>
          <w:rFonts w:asciiTheme="minorHAnsi" w:eastAsiaTheme="minorHAnsi" w:hAnsiTheme="minorHAnsi" w:cstheme="minorBidi"/>
          <w:sz w:val="22"/>
          <w:szCs w:val="22"/>
          <w:lang w:eastAsia="en-US"/>
        </w:rPr>
        <w:t xml:space="preserve">în cadrul </w:t>
      </w:r>
      <w:r w:rsidRPr="00E31D81">
        <w:rPr>
          <w:rFonts w:asciiTheme="minorHAnsi" w:eastAsiaTheme="minorHAnsi" w:hAnsiTheme="minorHAnsi" w:cstheme="minorBidi"/>
          <w:sz w:val="22"/>
          <w:szCs w:val="22"/>
          <w:lang w:eastAsia="en-US"/>
        </w:rPr>
        <w:t>Ax</w:t>
      </w:r>
      <w:r w:rsidR="00ED4F29">
        <w:rPr>
          <w:rFonts w:asciiTheme="minorHAnsi" w:eastAsiaTheme="minorHAnsi" w:hAnsiTheme="minorHAnsi" w:cstheme="minorBidi"/>
          <w:sz w:val="22"/>
          <w:szCs w:val="22"/>
          <w:lang w:eastAsia="en-US"/>
        </w:rPr>
        <w:t>ei</w:t>
      </w:r>
      <w:r w:rsidRPr="00E31D81">
        <w:rPr>
          <w:rFonts w:asciiTheme="minorHAnsi" w:eastAsiaTheme="minorHAnsi" w:hAnsiTheme="minorHAnsi" w:cstheme="minorBidi"/>
          <w:sz w:val="22"/>
          <w:szCs w:val="22"/>
          <w:lang w:eastAsia="en-US"/>
        </w:rPr>
        <w:t xml:space="preserve"> prioritar</w:t>
      </w:r>
      <w:r w:rsidR="00ED4F29">
        <w:rPr>
          <w:rFonts w:asciiTheme="minorHAnsi" w:eastAsiaTheme="minorHAnsi" w:hAnsiTheme="minorHAnsi" w:cstheme="minorBidi"/>
          <w:sz w:val="22"/>
          <w:szCs w:val="22"/>
          <w:lang w:eastAsia="en-US"/>
        </w:rPr>
        <w:t>e</w:t>
      </w:r>
      <w:r w:rsidRPr="00E31D81">
        <w:rPr>
          <w:rFonts w:asciiTheme="minorHAnsi" w:eastAsiaTheme="minorHAnsi" w:hAnsiTheme="minorHAnsi" w:cstheme="minorBidi"/>
          <w:sz w:val="22"/>
          <w:szCs w:val="22"/>
          <w:lang w:eastAsia="en-US"/>
        </w:rPr>
        <w:t xml:space="preserve"> 1, putem concluziona că există premisele ca cei mai mulți dintre aceștia să se realizeze în totalitate, cu excepția indicatorilor ”Solicitări care au fost soluționate de rețeaua de Centre de informare”, ”Sesiuni pe site/portal înregistrate” pentru care se va atinge un procent de realizare de 40% și de 87% pentru indicatorul ”Zile participanți la instruire-beneficiari”</w:t>
      </w:r>
      <w:r w:rsidR="00D61ADD">
        <w:rPr>
          <w:rFonts w:asciiTheme="minorHAnsi" w:eastAsiaTheme="minorHAnsi" w:hAnsiTheme="minorHAnsi" w:cstheme="minorBidi"/>
          <w:sz w:val="22"/>
          <w:szCs w:val="22"/>
          <w:lang w:eastAsia="en-US"/>
        </w:rPr>
        <w:t xml:space="preserve"> care se preconizează că va fi atins în integralitate prin proiecte ulterioare anului 2018</w:t>
      </w:r>
      <w:r w:rsidRPr="00E31D81">
        <w:rPr>
          <w:rFonts w:asciiTheme="minorHAnsi" w:eastAsiaTheme="minorHAnsi" w:hAnsiTheme="minorHAnsi" w:cstheme="minorBidi"/>
          <w:sz w:val="22"/>
          <w:szCs w:val="22"/>
          <w:lang w:eastAsia="en-US"/>
        </w:rPr>
        <w:t>.</w:t>
      </w:r>
    </w:p>
    <w:p w:rsidR="00E31D81" w:rsidRDefault="00E31D81" w:rsidP="00C57038">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Dintre proiectele prevăzute în plan, au fost primite </w:t>
      </w:r>
      <w:r w:rsidR="00196548">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 xml:space="preserve"> proiecte în luna decembrie 2015, a căror evaluare urmeaz</w:t>
      </w:r>
      <w:r w:rsidR="00F50D8B">
        <w:rPr>
          <w:rFonts w:asciiTheme="minorHAnsi" w:eastAsiaTheme="minorHAnsi" w:hAnsiTheme="minorHAnsi" w:cstheme="minorBidi"/>
          <w:sz w:val="22"/>
          <w:szCs w:val="22"/>
          <w:lang w:eastAsia="en-US"/>
        </w:rPr>
        <w:t>ă a fi finalizată în anul 2016.</w:t>
      </w:r>
    </w:p>
    <w:p w:rsidR="007E0D6E" w:rsidRPr="00E31D81" w:rsidRDefault="007E0D6E" w:rsidP="00C57038">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sidRPr="009E469A">
        <w:rPr>
          <w:rFonts w:asciiTheme="minorHAnsi" w:eastAsiaTheme="minorHAnsi" w:hAnsiTheme="minorHAnsi" w:cstheme="minorBidi"/>
          <w:sz w:val="22"/>
          <w:szCs w:val="22"/>
          <w:lang w:eastAsia="en-US"/>
        </w:rPr>
        <w:t xml:space="preserve">Dificultățile întâmpinate se regăsesc la punctul </w:t>
      </w:r>
      <w:r w:rsidRPr="009E469A">
        <w:rPr>
          <w:rFonts w:asciiTheme="minorHAnsi" w:eastAsiaTheme="minorHAnsi" w:hAnsiTheme="minorHAnsi" w:cstheme="minorBidi"/>
          <w:i/>
          <w:sz w:val="22"/>
          <w:szCs w:val="22"/>
          <w:lang w:eastAsia="en-US"/>
        </w:rPr>
        <w:t>6 Probleme care afectează performanța programului și măsurile adoptate</w:t>
      </w:r>
      <w:r w:rsidRPr="009E469A">
        <w:rPr>
          <w:rFonts w:asciiTheme="minorHAnsi" w:eastAsiaTheme="minorHAnsi" w:hAnsiTheme="minorHAnsi" w:cstheme="minorBidi"/>
          <w:sz w:val="22"/>
          <w:szCs w:val="22"/>
          <w:lang w:eastAsia="en-US"/>
        </w:rPr>
        <w:t>.</w:t>
      </w:r>
    </w:p>
    <w:p w:rsidR="008834C1" w:rsidRPr="00E70515" w:rsidRDefault="008834C1" w:rsidP="008834C1">
      <w:pPr>
        <w:pStyle w:val="NormalWeb"/>
        <w:suppressAutoHyphens/>
        <w:spacing w:before="280" w:after="280" w:line="273" w:lineRule="atLeast"/>
        <w:jc w:val="both"/>
        <w:rPr>
          <w:rFonts w:asciiTheme="minorHAnsi" w:eastAsiaTheme="minorHAnsi" w:hAnsiTheme="minorHAnsi" w:cstheme="minorBidi"/>
          <w:color w:val="FF0000"/>
          <w:sz w:val="22"/>
          <w:szCs w:val="22"/>
          <w:lang w:eastAsia="en-US"/>
        </w:rPr>
      </w:pPr>
      <w:r w:rsidRPr="00E70515">
        <w:rPr>
          <w:rFonts w:asciiTheme="minorHAnsi" w:eastAsiaTheme="minorHAnsi" w:hAnsiTheme="minorHAnsi" w:cstheme="minorBidi"/>
          <w:color w:val="FF0000"/>
          <w:sz w:val="22"/>
          <w:szCs w:val="22"/>
          <w:lang w:eastAsia="en-US"/>
        </w:rPr>
        <w:t>(</w:t>
      </w:r>
      <w:r w:rsidR="00197EAD" w:rsidRPr="00E70515">
        <w:rPr>
          <w:rFonts w:asciiTheme="minorHAnsi" w:eastAsiaTheme="minorHAnsi" w:hAnsiTheme="minorHAnsi" w:cstheme="minorBidi"/>
          <w:color w:val="FF0000"/>
          <w:sz w:val="22"/>
          <w:szCs w:val="22"/>
          <w:lang w:eastAsia="en-US"/>
        </w:rPr>
        <w:t xml:space="preserve">aprox. </w:t>
      </w:r>
      <w:r w:rsidR="00D93025" w:rsidRPr="00E70515">
        <w:rPr>
          <w:rFonts w:asciiTheme="minorHAnsi" w:eastAsiaTheme="minorHAnsi" w:hAnsiTheme="minorHAnsi" w:cstheme="minorBidi"/>
          <w:color w:val="FF0000"/>
          <w:sz w:val="22"/>
          <w:szCs w:val="22"/>
          <w:lang w:eastAsia="en-US"/>
        </w:rPr>
        <w:t>1</w:t>
      </w:r>
      <w:r w:rsidR="00ED4F29">
        <w:rPr>
          <w:rFonts w:asciiTheme="minorHAnsi" w:eastAsiaTheme="minorHAnsi" w:hAnsiTheme="minorHAnsi" w:cstheme="minorBidi"/>
          <w:color w:val="FF0000"/>
          <w:sz w:val="22"/>
          <w:szCs w:val="22"/>
          <w:lang w:eastAsia="en-US"/>
        </w:rPr>
        <w:t>7</w:t>
      </w:r>
      <w:r w:rsidR="009E469A">
        <w:rPr>
          <w:rFonts w:asciiTheme="minorHAnsi" w:eastAsiaTheme="minorHAnsi" w:hAnsiTheme="minorHAnsi" w:cstheme="minorBidi"/>
          <w:color w:val="FF0000"/>
          <w:sz w:val="22"/>
          <w:szCs w:val="22"/>
          <w:lang w:eastAsia="en-US"/>
        </w:rPr>
        <w:t>24</w:t>
      </w:r>
      <w:r w:rsidR="00D93025" w:rsidRPr="00E70515">
        <w:rPr>
          <w:rFonts w:asciiTheme="minorHAnsi" w:eastAsiaTheme="minorHAnsi" w:hAnsiTheme="minorHAnsi" w:cstheme="minorBidi"/>
          <w:color w:val="FF0000"/>
          <w:sz w:val="22"/>
          <w:szCs w:val="22"/>
          <w:lang w:eastAsia="en-US"/>
        </w:rPr>
        <w:t xml:space="preserve"> </w:t>
      </w:r>
      <w:r w:rsidRPr="00E70515">
        <w:rPr>
          <w:rFonts w:asciiTheme="minorHAnsi" w:eastAsiaTheme="minorHAnsi" w:hAnsiTheme="minorHAnsi" w:cstheme="minorBidi"/>
          <w:color w:val="FF0000"/>
          <w:sz w:val="22"/>
          <w:szCs w:val="22"/>
          <w:lang w:eastAsia="en-US"/>
        </w:rPr>
        <w:t>caractere)</w:t>
      </w:r>
    </w:p>
    <w:p w:rsidR="00607FF0" w:rsidRPr="00F80C42" w:rsidRDefault="00D16D86" w:rsidP="00F94A48">
      <w:pPr>
        <w:pStyle w:val="NormalWeb"/>
        <w:numPr>
          <w:ilvl w:val="0"/>
          <w:numId w:val="3"/>
        </w:numPr>
        <w:suppressAutoHyphens/>
        <w:spacing w:before="280" w:after="280" w:line="273" w:lineRule="atLeast"/>
        <w:jc w:val="both"/>
        <w:rPr>
          <w:rFonts w:asciiTheme="minorHAnsi" w:eastAsiaTheme="minorHAnsi" w:hAnsiTheme="minorHAnsi" w:cstheme="minorBidi"/>
          <w:sz w:val="22"/>
          <w:szCs w:val="22"/>
          <w:lang w:eastAsia="en-US"/>
        </w:rPr>
      </w:pPr>
      <w:r w:rsidRPr="00E70515">
        <w:rPr>
          <w:rFonts w:asciiTheme="minorHAnsi" w:eastAsiaTheme="minorHAnsi" w:hAnsiTheme="minorHAnsi" w:cstheme="minorBidi"/>
          <w:b/>
          <w:sz w:val="22"/>
          <w:szCs w:val="22"/>
          <w:lang w:eastAsia="en-US"/>
        </w:rPr>
        <w:t>Axa prioritară 2</w:t>
      </w:r>
      <w:r w:rsidRPr="00E70515">
        <w:rPr>
          <w:rFonts w:asciiTheme="minorHAnsi" w:eastAsiaTheme="minorHAnsi" w:hAnsiTheme="minorHAnsi" w:cstheme="minorBidi"/>
          <w:sz w:val="22"/>
          <w:szCs w:val="22"/>
          <w:lang w:eastAsia="en-US"/>
        </w:rPr>
        <w:t xml:space="preserve"> </w:t>
      </w:r>
      <w:r w:rsidR="00E76AF1" w:rsidRPr="00F80C42">
        <w:rPr>
          <w:rFonts w:asciiTheme="minorHAnsi" w:eastAsiaTheme="minorHAnsi" w:hAnsiTheme="minorHAnsi" w:cstheme="minorBidi"/>
          <w:sz w:val="22"/>
          <w:szCs w:val="22"/>
          <w:lang w:eastAsia="en-US"/>
        </w:rPr>
        <w:t xml:space="preserve">– </w:t>
      </w:r>
      <w:r w:rsidR="00E76AF1" w:rsidRPr="00F80C42">
        <w:rPr>
          <w:rFonts w:asciiTheme="minorHAnsi" w:eastAsiaTheme="minorHAnsi" w:hAnsiTheme="minorHAnsi" w:cstheme="minorBidi"/>
          <w:b/>
          <w:sz w:val="22"/>
          <w:szCs w:val="22"/>
          <w:lang w:eastAsia="en-US"/>
        </w:rPr>
        <w:t>Sprijin pentru coordonarea, gestionarea și controlul FESI</w:t>
      </w:r>
      <w:r w:rsidR="00E76AF1" w:rsidRPr="00F80C42">
        <w:rPr>
          <w:rFonts w:asciiTheme="minorHAnsi" w:eastAsiaTheme="minorHAnsi" w:hAnsiTheme="minorHAnsi" w:cstheme="minorBidi"/>
          <w:sz w:val="22"/>
          <w:szCs w:val="22"/>
          <w:lang w:eastAsia="en-US"/>
        </w:rPr>
        <w:t xml:space="preserve"> </w:t>
      </w:r>
      <w:r w:rsidR="00607FF0" w:rsidRPr="00F80C42">
        <w:rPr>
          <w:rFonts w:asciiTheme="minorHAnsi" w:eastAsiaTheme="minorHAnsi" w:hAnsiTheme="minorHAnsi" w:cstheme="minorBidi"/>
          <w:sz w:val="22"/>
          <w:szCs w:val="22"/>
          <w:lang w:eastAsia="en-US"/>
        </w:rPr>
        <w:t>(</w:t>
      </w:r>
      <w:r w:rsidR="00607FF0" w:rsidRPr="00F80C42">
        <w:rPr>
          <w:rFonts w:asciiTheme="minorHAnsi" w:eastAsiaTheme="minorHAnsi" w:hAnsiTheme="minorHAnsi" w:cstheme="minorBidi"/>
          <w:i/>
          <w:sz w:val="22"/>
          <w:szCs w:val="22"/>
          <w:lang w:eastAsia="en-US"/>
        </w:rPr>
        <w:t>alocare</w:t>
      </w:r>
      <w:r w:rsidR="00197EAD" w:rsidRPr="00F80C42">
        <w:rPr>
          <w:rFonts w:asciiTheme="minorHAnsi" w:eastAsiaTheme="minorHAnsi" w:hAnsiTheme="minorHAnsi" w:cstheme="minorBidi"/>
          <w:i/>
          <w:sz w:val="22"/>
          <w:szCs w:val="22"/>
          <w:lang w:eastAsia="en-US"/>
        </w:rPr>
        <w:t xml:space="preserve"> 64,35 mil. </w:t>
      </w:r>
      <w:r w:rsidR="00607FF0" w:rsidRPr="00F80C42">
        <w:rPr>
          <w:rFonts w:asciiTheme="minorHAnsi" w:eastAsiaTheme="minorHAnsi" w:hAnsiTheme="minorHAnsi" w:cstheme="minorBidi"/>
          <w:i/>
          <w:sz w:val="22"/>
          <w:szCs w:val="22"/>
          <w:lang w:eastAsia="en-US"/>
        </w:rPr>
        <w:t>Euro eligibil</w:t>
      </w:r>
      <w:r w:rsidR="00607FF0" w:rsidRPr="00F80C42">
        <w:rPr>
          <w:rFonts w:asciiTheme="minorHAnsi" w:eastAsiaTheme="minorHAnsi" w:hAnsiTheme="minorHAnsi" w:cstheme="minorBidi"/>
          <w:sz w:val="22"/>
          <w:szCs w:val="22"/>
          <w:lang w:eastAsia="en-US"/>
        </w:rPr>
        <w:t>)</w:t>
      </w:r>
    </w:p>
    <w:p w:rsidR="00893050" w:rsidRPr="00C87FC6" w:rsidRDefault="009E469A" w:rsidP="00926C7A">
      <w:pPr>
        <w:spacing w:after="120" w:line="280" w:lineRule="atLeast"/>
        <w:ind w:right="34"/>
        <w:jc w:val="both"/>
      </w:pPr>
      <w:r>
        <w:t>A</w:t>
      </w:r>
      <w:r w:rsidR="00747FC5" w:rsidRPr="00747FC5">
        <w:t>u fost propuse 3</w:t>
      </w:r>
      <w:r w:rsidR="00747FC5">
        <w:t>1</w:t>
      </w:r>
      <w:r w:rsidR="00747FC5" w:rsidRPr="00747FC5">
        <w:t xml:space="preserve"> proiecte care acoperă </w:t>
      </w:r>
      <w:r w:rsidR="00747FC5">
        <w:t>92</w:t>
      </w:r>
      <w:r w:rsidR="00747FC5" w:rsidRPr="00747FC5">
        <w:t xml:space="preserve">% din alocarea </w:t>
      </w:r>
      <w:r w:rsidR="00F50D8B">
        <w:t>axei</w:t>
      </w:r>
      <w:r w:rsidR="002D7E46">
        <w:t xml:space="preserve"> și o perioadă de implementare de 3 ani (cu excepția proiectelor în domeniul evaluării care sunt </w:t>
      </w:r>
      <w:r w:rsidR="00ED4F29">
        <w:t>pe</w:t>
      </w:r>
      <w:r w:rsidR="002D7E46">
        <w:t xml:space="preserve"> 5-7</w:t>
      </w:r>
      <w:r w:rsidR="00487D77">
        <w:t xml:space="preserve"> ani</w:t>
      </w:r>
      <w:r w:rsidR="00374AE3">
        <w:t>)</w:t>
      </w:r>
      <w:r w:rsidR="00747FC5" w:rsidRPr="00747FC5">
        <w:t xml:space="preserve">, din care </w:t>
      </w:r>
      <w:r w:rsidR="00747FC5">
        <w:t>27</w:t>
      </w:r>
      <w:r w:rsidR="00747FC5" w:rsidRPr="00747FC5">
        <w:t xml:space="preserve"> în cadrul OS </w:t>
      </w:r>
      <w:r w:rsidR="00747FC5">
        <w:t>2</w:t>
      </w:r>
      <w:r w:rsidR="00747FC5" w:rsidRPr="00747FC5">
        <w:t>.1</w:t>
      </w:r>
      <w:r w:rsidR="00A5576A">
        <w:t xml:space="preserve">, acest OS </w:t>
      </w:r>
      <w:r w:rsidR="00A5576A" w:rsidRPr="00C87FC6">
        <w:t>având cel mai mare grad de utilizare</w:t>
      </w:r>
      <w:r w:rsidR="00A5576A">
        <w:t>,</w:t>
      </w:r>
      <w:r w:rsidR="00A5576A" w:rsidRPr="00747FC5">
        <w:t xml:space="preserve"> </w:t>
      </w:r>
      <w:r w:rsidR="00747FC5" w:rsidRPr="00747FC5">
        <w:t xml:space="preserve">și </w:t>
      </w:r>
      <w:r w:rsidR="00747FC5">
        <w:t>4</w:t>
      </w:r>
      <w:r w:rsidR="00747FC5" w:rsidRPr="00747FC5">
        <w:t xml:space="preserve"> în cadrul OS </w:t>
      </w:r>
      <w:r w:rsidR="00747FC5">
        <w:t>2</w:t>
      </w:r>
      <w:r w:rsidR="00747FC5" w:rsidRPr="00747FC5">
        <w:t>.2.</w:t>
      </w:r>
      <w:r w:rsidR="002D7E46">
        <w:t xml:space="preserve"> </w:t>
      </w:r>
    </w:p>
    <w:p w:rsidR="00E14F5B" w:rsidRDefault="00A5576A" w:rsidP="00926C7A">
      <w:pPr>
        <w:spacing w:after="120" w:line="280" w:lineRule="atLeast"/>
        <w:ind w:right="34"/>
        <w:jc w:val="both"/>
      </w:pPr>
      <w:r>
        <w:t xml:space="preserve">În cadrul OS 2.1, </w:t>
      </w:r>
      <w:r w:rsidR="00196548">
        <w:t>p</w:t>
      </w:r>
      <w:r w:rsidR="009E0EFD" w:rsidRPr="00C87FC6">
        <w:t>roiecte</w:t>
      </w:r>
      <w:r>
        <w:t>le</w:t>
      </w:r>
      <w:r w:rsidR="009E0EFD" w:rsidRPr="00C87FC6">
        <w:t xml:space="preserve"> </w:t>
      </w:r>
      <w:r w:rsidR="00F50D8B">
        <w:t>sprijină</w:t>
      </w:r>
      <w:r w:rsidR="00E14F5B" w:rsidRPr="00C87FC6">
        <w:t xml:space="preserve"> activitățil</w:t>
      </w:r>
      <w:r w:rsidR="00F50D8B">
        <w:t>e</w:t>
      </w:r>
      <w:r w:rsidR="00E14F5B" w:rsidRPr="00C87FC6">
        <w:t xml:space="preserve"> de evaluare și monitorizare, management financiar, verificarea achiziți</w:t>
      </w:r>
      <w:r w:rsidR="00ED4F29">
        <w:t>ilor</w:t>
      </w:r>
      <w:r w:rsidR="00E54A33">
        <w:t xml:space="preserve">, </w:t>
      </w:r>
      <w:r w:rsidR="000C023B" w:rsidRPr="00C87FC6">
        <w:t>logistică și funcționare</w:t>
      </w:r>
      <w:r>
        <w:t>,</w:t>
      </w:r>
      <w:r w:rsidRPr="00A5576A">
        <w:t xml:space="preserve"> </w:t>
      </w:r>
      <w:r w:rsidRPr="00500D74">
        <w:t>precum și</w:t>
      </w:r>
      <w:r w:rsidR="00BA2265" w:rsidRPr="00C87FC6">
        <w:t xml:space="preserve"> dezvoltarea unei ”culturi comune de evaluare” la nivel orizontal și </w:t>
      </w:r>
      <w:r>
        <w:t>realizarea</w:t>
      </w:r>
      <w:r w:rsidR="00BA2265" w:rsidRPr="00C87FC6">
        <w:t xml:space="preserve"> evaluăril</w:t>
      </w:r>
      <w:r>
        <w:t>or</w:t>
      </w:r>
      <w:r w:rsidR="00BA2265" w:rsidRPr="00C87FC6">
        <w:t xml:space="preserve"> POAT</w:t>
      </w:r>
      <w:r w:rsidR="00D61ADD">
        <w:t xml:space="preserve"> </w:t>
      </w:r>
      <w:r w:rsidR="00BA2265" w:rsidRPr="00C87FC6">
        <w:t>și POC.</w:t>
      </w:r>
    </w:p>
    <w:p w:rsidR="00A5576A" w:rsidRPr="00C87FC6" w:rsidRDefault="00A5576A" w:rsidP="00A5576A">
      <w:pPr>
        <w:spacing w:after="120" w:line="280" w:lineRule="atLeast"/>
        <w:ind w:right="34"/>
        <w:jc w:val="both"/>
      </w:pPr>
      <w:r>
        <w:t xml:space="preserve">Proiectele </w:t>
      </w:r>
      <w:r w:rsidR="00F50D8B">
        <w:t>di</w:t>
      </w:r>
      <w:r>
        <w:t>n OS 2.2 vizează dezvoltarea capacită</w:t>
      </w:r>
      <w:r w:rsidR="00D61ADD">
        <w:t>ț</w:t>
      </w:r>
      <w:r>
        <w:t xml:space="preserve">ii administrative a Unității Centrale SMIS </w:t>
      </w:r>
      <w:r w:rsidRPr="00F50D8B">
        <w:t xml:space="preserve">pentru </w:t>
      </w:r>
      <w:r w:rsidR="00F50D8B" w:rsidRPr="00F50D8B">
        <w:t>întreținerea</w:t>
      </w:r>
      <w:r w:rsidRPr="00F50D8B">
        <w:t xml:space="preserve"> sistemelor informatice, pregătirea de specialitate a personalului implicat în</w:t>
      </w:r>
      <w:r w:rsidR="00ED4F29">
        <w:t xml:space="preserve"> gestionarea </w:t>
      </w:r>
      <w:r>
        <w:t>FESI în utilizarea eficientă a MySMIS20</w:t>
      </w:r>
      <w:r w:rsidR="00ED4F29">
        <w:t>14/SMIS2014+</w:t>
      </w:r>
      <w:r>
        <w:t xml:space="preserve"> și </w:t>
      </w:r>
      <w:r w:rsidRPr="00C87FC6">
        <w:t>achiziționarea de echip</w:t>
      </w:r>
      <w:r w:rsidR="00ED4F29">
        <w:t>amente pentru funcționarea SMIS</w:t>
      </w:r>
      <w:r w:rsidRPr="00C87FC6">
        <w:t>2014+.</w:t>
      </w:r>
    </w:p>
    <w:p w:rsidR="009E0EFD" w:rsidRPr="00C87FC6" w:rsidRDefault="00F50D8B" w:rsidP="00926C7A">
      <w:pPr>
        <w:spacing w:after="120" w:line="280" w:lineRule="atLeast"/>
        <w:ind w:right="34"/>
        <w:jc w:val="both"/>
      </w:pPr>
      <w:r>
        <w:t xml:space="preserve">Prin </w:t>
      </w:r>
      <w:r w:rsidR="00A5576A">
        <w:t>aceste</w:t>
      </w:r>
      <w:r w:rsidR="009E469A">
        <w:t>a</w:t>
      </w:r>
      <w:r w:rsidR="0077190E" w:rsidRPr="00C87FC6">
        <w:t>, indicatorii</w:t>
      </w:r>
      <w:r w:rsidR="009E0EFD" w:rsidRPr="00C87FC6">
        <w:t xml:space="preserve"> ”Proiecte a căror evaluare, monitorizare, contractare și control a fost asigurată”</w:t>
      </w:r>
      <w:r w:rsidR="0077190E" w:rsidRPr="00C87FC6">
        <w:t xml:space="preserve"> și ”Structuri de coordonare/gestionare/control FESI ale căror logistică și funcționare a fost sprijinită anual, inclusiv echipamente și l</w:t>
      </w:r>
      <w:r w:rsidR="00ED4F29">
        <w:t>icențe pentru funcționarea SMIS</w:t>
      </w:r>
      <w:r w:rsidR="0077190E" w:rsidRPr="00C87FC6">
        <w:t>2014+”</w:t>
      </w:r>
      <w:r w:rsidR="009E0EFD" w:rsidRPr="00C87FC6">
        <w:t xml:space="preserve"> </w:t>
      </w:r>
      <w:r w:rsidR="0077190E" w:rsidRPr="00C87FC6">
        <w:t>vor depăși</w:t>
      </w:r>
      <w:r w:rsidR="009E0EFD" w:rsidRPr="00C87FC6">
        <w:t xml:space="preserve"> țint</w:t>
      </w:r>
      <w:r w:rsidR="0077190E" w:rsidRPr="00C87FC6">
        <w:t>ele stabilite</w:t>
      </w:r>
      <w:r w:rsidR="009E0EFD" w:rsidRPr="00C87FC6">
        <w:t xml:space="preserve"> prin program</w:t>
      </w:r>
      <w:r w:rsidR="0077190E" w:rsidRPr="00C87FC6">
        <w:t xml:space="preserve">, </w:t>
      </w:r>
      <w:r>
        <w:t>iar</w:t>
      </w:r>
      <w:r w:rsidR="003174F1">
        <w:t xml:space="preserve"> </w:t>
      </w:r>
      <w:r w:rsidR="0077190E" w:rsidRPr="00C87FC6">
        <w:lastRenderedPageBreak/>
        <w:t>”Disponibilitatea rețelei SMIS2014+ mai mare” și ”Zile participan</w:t>
      </w:r>
      <w:r w:rsidR="0074487F" w:rsidRPr="00C87FC6">
        <w:t>ți la instruire – utilizatori sisteme informatice” își vor atinge țintele stabilite.</w:t>
      </w:r>
    </w:p>
    <w:p w:rsidR="00C904DC" w:rsidRDefault="00D26D48" w:rsidP="00926C7A">
      <w:pPr>
        <w:spacing w:after="120" w:line="280" w:lineRule="atLeast"/>
        <w:ind w:right="34"/>
        <w:jc w:val="both"/>
      </w:pPr>
      <w:r w:rsidRPr="00C87FC6">
        <w:t xml:space="preserve">Indicatorul ”Evaluări și studii elaborate” </w:t>
      </w:r>
      <w:r w:rsidRPr="00F80C42">
        <w:t>va atinge un procent de realizare de 17%, estimându-se ca</w:t>
      </w:r>
      <w:r w:rsidR="00B7565E">
        <w:t>,</w:t>
      </w:r>
      <w:r w:rsidRPr="00F80C42">
        <w:t xml:space="preserve"> până </w:t>
      </w:r>
      <w:r w:rsidR="003174F1">
        <w:t>în 2023</w:t>
      </w:r>
      <w:r w:rsidR="00B7565E">
        <w:t>,</w:t>
      </w:r>
      <w:r w:rsidRPr="00F80C42">
        <w:t xml:space="preserve"> </w:t>
      </w:r>
      <w:r w:rsidR="00350333">
        <w:t xml:space="preserve">ținta </w:t>
      </w:r>
      <w:r w:rsidR="003174F1">
        <w:t>să fie</w:t>
      </w:r>
      <w:r w:rsidR="00350333">
        <w:t xml:space="preserve"> atinsă în proporție de 50%</w:t>
      </w:r>
      <w:r w:rsidR="003174F1">
        <w:t xml:space="preserve"> întrucât </w:t>
      </w:r>
      <w:r w:rsidR="00350333">
        <w:t xml:space="preserve">un singur raport </w:t>
      </w:r>
      <w:r w:rsidR="003174F1">
        <w:t>v</w:t>
      </w:r>
      <w:r w:rsidR="00350333">
        <w:t>a</w:t>
      </w:r>
      <w:r w:rsidR="003174F1">
        <w:t xml:space="preserve"> cuprinde</w:t>
      </w:r>
      <w:r w:rsidR="00350333">
        <w:t xml:space="preserve"> mai mult</w:t>
      </w:r>
      <w:r w:rsidR="003174F1">
        <w:t xml:space="preserve">e </w:t>
      </w:r>
      <w:r w:rsidR="00350333">
        <w:t>teme de evaluare.</w:t>
      </w:r>
    </w:p>
    <w:p w:rsidR="007E316D" w:rsidRDefault="00F50D8B" w:rsidP="00673976">
      <w:pPr>
        <w:jc w:val="both"/>
      </w:pPr>
      <w:r>
        <w:t xml:space="preserve">Până la 31.12.2015 </w:t>
      </w:r>
      <w:r w:rsidR="00196548">
        <w:t>a fost primit</w:t>
      </w:r>
      <w:r w:rsidR="007E316D">
        <w:t xml:space="preserve"> un proiect</w:t>
      </w:r>
      <w:r w:rsidR="00196548">
        <w:t>.</w:t>
      </w:r>
    </w:p>
    <w:p w:rsidR="009E469A" w:rsidRPr="009E469A" w:rsidRDefault="009E469A" w:rsidP="009E469A">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sidRPr="009E469A">
        <w:rPr>
          <w:rFonts w:asciiTheme="minorHAnsi" w:eastAsiaTheme="minorHAnsi" w:hAnsiTheme="minorHAnsi" w:cstheme="minorBidi"/>
          <w:sz w:val="22"/>
          <w:szCs w:val="22"/>
          <w:lang w:eastAsia="en-US"/>
        </w:rPr>
        <w:t xml:space="preserve">Dificultățile întâmpinate se regăsesc la punctul </w:t>
      </w:r>
      <w:r w:rsidRPr="009E469A">
        <w:rPr>
          <w:rFonts w:asciiTheme="minorHAnsi" w:eastAsiaTheme="minorHAnsi" w:hAnsiTheme="minorHAnsi" w:cstheme="minorBidi"/>
          <w:i/>
          <w:sz w:val="22"/>
          <w:szCs w:val="22"/>
          <w:lang w:eastAsia="en-US"/>
        </w:rPr>
        <w:t>6 Probleme care afectează performanța programului și măsurile adoptate</w:t>
      </w:r>
      <w:r w:rsidRPr="009E469A">
        <w:rPr>
          <w:rFonts w:asciiTheme="minorHAnsi" w:eastAsiaTheme="minorHAnsi" w:hAnsiTheme="minorHAnsi" w:cstheme="minorBidi"/>
          <w:sz w:val="22"/>
          <w:szCs w:val="22"/>
          <w:lang w:eastAsia="en-US"/>
        </w:rPr>
        <w:t>.</w:t>
      </w:r>
    </w:p>
    <w:p w:rsidR="008834C1" w:rsidRPr="008E176E" w:rsidRDefault="00197EAD" w:rsidP="00673976">
      <w:pPr>
        <w:jc w:val="both"/>
        <w:rPr>
          <w:color w:val="FF0000"/>
        </w:rPr>
      </w:pPr>
      <w:r w:rsidRPr="00F80C42">
        <w:rPr>
          <w:color w:val="FF0000"/>
        </w:rPr>
        <w:t xml:space="preserve">(aprox. </w:t>
      </w:r>
      <w:r w:rsidR="003174F1" w:rsidRPr="00F80C42">
        <w:rPr>
          <w:color w:val="FF0000"/>
        </w:rPr>
        <w:t>1</w:t>
      </w:r>
      <w:r w:rsidR="003174F1">
        <w:rPr>
          <w:color w:val="FF0000"/>
        </w:rPr>
        <w:t>72</w:t>
      </w:r>
      <w:r w:rsidR="009E469A">
        <w:rPr>
          <w:color w:val="FF0000"/>
        </w:rPr>
        <w:t>3</w:t>
      </w:r>
      <w:r w:rsidR="003174F1" w:rsidRPr="00783B28">
        <w:rPr>
          <w:color w:val="FF0000"/>
        </w:rPr>
        <w:t xml:space="preserve"> </w:t>
      </w:r>
      <w:r w:rsidR="008834C1" w:rsidRPr="008E176E">
        <w:rPr>
          <w:color w:val="FF0000"/>
        </w:rPr>
        <w:t>caractere)</w:t>
      </w:r>
    </w:p>
    <w:p w:rsidR="0019457B" w:rsidRDefault="00D16D86" w:rsidP="00893050">
      <w:pPr>
        <w:pStyle w:val="NormalWeb"/>
        <w:numPr>
          <w:ilvl w:val="0"/>
          <w:numId w:val="15"/>
        </w:numPr>
        <w:spacing w:line="273" w:lineRule="atLeast"/>
        <w:jc w:val="both"/>
        <w:rPr>
          <w:rFonts w:asciiTheme="minorHAnsi" w:eastAsiaTheme="minorHAnsi" w:hAnsiTheme="minorHAnsi" w:cstheme="minorBidi"/>
          <w:sz w:val="22"/>
          <w:szCs w:val="22"/>
          <w:lang w:eastAsia="en-US"/>
        </w:rPr>
      </w:pPr>
      <w:r w:rsidRPr="007F3437">
        <w:rPr>
          <w:rFonts w:asciiTheme="minorHAnsi" w:eastAsiaTheme="minorHAnsi" w:hAnsiTheme="minorHAnsi" w:cstheme="minorBidi"/>
          <w:b/>
          <w:sz w:val="22"/>
          <w:szCs w:val="22"/>
          <w:lang w:eastAsia="en-US"/>
        </w:rPr>
        <w:t>Axa prioritară 3</w:t>
      </w:r>
      <w:r w:rsidR="00893050" w:rsidRPr="007F3437">
        <w:rPr>
          <w:rFonts w:asciiTheme="minorHAnsi" w:eastAsiaTheme="minorHAnsi" w:hAnsiTheme="minorHAnsi" w:cstheme="minorBidi"/>
          <w:b/>
          <w:sz w:val="22"/>
          <w:szCs w:val="22"/>
          <w:lang w:eastAsia="en-US"/>
        </w:rPr>
        <w:t xml:space="preserve"> – Creșterea eficienței și eficacității resurselor umane implicate în sistemul de coordonare, gestionare și control al FESI în România</w:t>
      </w:r>
      <w:r w:rsidR="0019457B">
        <w:rPr>
          <w:rFonts w:asciiTheme="minorHAnsi" w:eastAsiaTheme="minorHAnsi" w:hAnsiTheme="minorHAnsi" w:cstheme="minorBidi"/>
          <w:b/>
          <w:sz w:val="22"/>
          <w:szCs w:val="22"/>
          <w:lang w:eastAsia="en-US"/>
        </w:rPr>
        <w:t xml:space="preserve"> </w:t>
      </w:r>
      <w:r w:rsidR="0019457B" w:rsidRPr="00E31D81">
        <w:rPr>
          <w:rFonts w:asciiTheme="minorHAnsi" w:eastAsiaTheme="minorHAnsi" w:hAnsiTheme="minorHAnsi" w:cstheme="minorBidi"/>
          <w:sz w:val="22"/>
          <w:szCs w:val="22"/>
          <w:lang w:eastAsia="en-US"/>
        </w:rPr>
        <w:t>(</w:t>
      </w:r>
      <w:r w:rsidR="0019457B" w:rsidRPr="00E31D81">
        <w:rPr>
          <w:rFonts w:asciiTheme="minorHAnsi" w:eastAsiaTheme="minorHAnsi" w:hAnsiTheme="minorHAnsi" w:cstheme="minorBidi"/>
          <w:i/>
          <w:sz w:val="22"/>
          <w:szCs w:val="22"/>
          <w:lang w:eastAsia="en-US"/>
        </w:rPr>
        <w:t>alocare 108,23 mil. Euro eligibil</w:t>
      </w:r>
      <w:r w:rsidR="0019457B" w:rsidRPr="00E31D81">
        <w:rPr>
          <w:rFonts w:asciiTheme="minorHAnsi" w:eastAsiaTheme="minorHAnsi" w:hAnsiTheme="minorHAnsi" w:cstheme="minorBidi"/>
          <w:sz w:val="22"/>
          <w:szCs w:val="22"/>
          <w:lang w:eastAsia="en-US"/>
        </w:rPr>
        <w:t>)</w:t>
      </w:r>
    </w:p>
    <w:p w:rsidR="008B600F" w:rsidRPr="00F50D8B" w:rsidRDefault="00893050">
      <w:pPr>
        <w:jc w:val="both"/>
      </w:pPr>
      <w:r w:rsidRPr="00F50D8B">
        <w:t>Potrivit propunerilor de proiecte incluse în planul 2015</w:t>
      </w:r>
      <w:r w:rsidR="00D157B3" w:rsidRPr="00F50D8B">
        <w:t>-</w:t>
      </w:r>
      <w:r w:rsidRPr="00F50D8B">
        <w:t>2016, valoarea acestora totalizează 79% din alocare</w:t>
      </w:r>
      <w:r w:rsidR="00F50D8B">
        <w:t>a axei</w:t>
      </w:r>
      <w:r w:rsidR="00A3652A" w:rsidRPr="00A3652A">
        <w:t xml:space="preserve"> și</w:t>
      </w:r>
      <w:r w:rsidR="00A3652A">
        <w:t xml:space="preserve"> acoperă</w:t>
      </w:r>
      <w:r w:rsidR="00A3652A" w:rsidRPr="00A3652A">
        <w:t xml:space="preserve"> o perioadă de implementare de </w:t>
      </w:r>
      <w:r w:rsidR="00A3652A">
        <w:t>2</w:t>
      </w:r>
      <w:r w:rsidR="00A3652A" w:rsidRPr="00A3652A">
        <w:t xml:space="preserve"> ani</w:t>
      </w:r>
      <w:r w:rsidR="00A3652A">
        <w:t xml:space="preserve"> pentru proiectele de rambursare salarială, respectiv 3 ani pentru cele dedicate instruirii</w:t>
      </w:r>
      <w:r w:rsidR="00D962EB" w:rsidRPr="00F50D8B">
        <w:t>.</w:t>
      </w:r>
      <w:r w:rsidR="002A28C1" w:rsidRPr="00F50D8B">
        <w:t xml:space="preserve"> </w:t>
      </w:r>
      <w:r w:rsidR="00D962EB" w:rsidRPr="00F50D8B">
        <w:t>Un număr de 8 proiecte dintre cele propuse vizează realizarea activităților de instruire profesională a personalului, în timp ce restul de 9 proiecte au în vedere sprijin pentru asigurarea resurselor financiare pentru rambursarea salariilor personalul</w:t>
      </w:r>
      <w:r w:rsidR="002A28C1" w:rsidRPr="00F50D8B">
        <w:t>ui</w:t>
      </w:r>
      <w:r w:rsidR="00D962EB" w:rsidRPr="00F50D8B">
        <w:t xml:space="preserve"> implicat în coordonarea și controlul FESI și managementul POIM, POC și POAT.</w:t>
      </w:r>
      <w:r w:rsidR="002A28C1" w:rsidRPr="00F50D8B">
        <w:t xml:space="preserve"> </w:t>
      </w:r>
      <w:r w:rsidR="00C3286E" w:rsidRPr="00F50D8B">
        <w:t>Conform planului, a</w:t>
      </w:r>
      <w:r w:rsidR="002A28C1" w:rsidRPr="00F50D8B">
        <w:t>cestea din urmă își propun</w:t>
      </w:r>
      <w:r w:rsidR="00C3286E" w:rsidRPr="00F50D8B">
        <w:t xml:space="preserve"> să realizeze ținta indicatorului „Număr personal din sistemul FESI, ale căror salarii sunt </w:t>
      </w:r>
      <w:proofErr w:type="spellStart"/>
      <w:r w:rsidR="00C3286E" w:rsidRPr="00F50D8B">
        <w:t>co</w:t>
      </w:r>
      <w:proofErr w:type="spellEnd"/>
      <w:r w:rsidR="00C3286E" w:rsidRPr="00F50D8B">
        <w:t xml:space="preserve">-finanțate din POAT – echivalent normă întreagă anual (full </w:t>
      </w:r>
      <w:proofErr w:type="spellStart"/>
      <w:r w:rsidR="00C3286E" w:rsidRPr="00F50D8B">
        <w:t>time</w:t>
      </w:r>
      <w:proofErr w:type="spellEnd"/>
      <w:r w:rsidR="00C3286E" w:rsidRPr="00F50D8B">
        <w:t xml:space="preserve"> </w:t>
      </w:r>
      <w:proofErr w:type="spellStart"/>
      <w:r w:rsidR="00C3286E" w:rsidRPr="00F50D8B">
        <w:t>equivalents</w:t>
      </w:r>
      <w:proofErr w:type="spellEnd"/>
      <w:r w:rsidR="00C3286E" w:rsidRPr="00F50D8B">
        <w:t xml:space="preserve">)” </w:t>
      </w:r>
      <w:r w:rsidR="002A28C1" w:rsidRPr="00F50D8B">
        <w:t>în proporție de 100%</w:t>
      </w:r>
      <w:r w:rsidR="00C3286E" w:rsidRPr="00F50D8B">
        <w:t>,</w:t>
      </w:r>
      <w:r w:rsidR="002A28C1" w:rsidRPr="00F50D8B">
        <w:t xml:space="preserve"> iar proiectele ce vizează</w:t>
      </w:r>
      <w:r w:rsidR="008B600F" w:rsidRPr="00F50D8B">
        <w:t xml:space="preserve"> dezvoltarea continuă a competențelor personalului în cadrul acțiunii 3.1.1 vor depăși ținta propusă prin program</w:t>
      </w:r>
      <w:r w:rsidR="00C3286E" w:rsidRPr="00F50D8B">
        <w:t xml:space="preserve"> a indicatorului „Zile participanți la instruire – structuri de gestionare/alte structuri”</w:t>
      </w:r>
      <w:r w:rsidR="00ED4F29">
        <w:t xml:space="preserve"> cu 12%.</w:t>
      </w:r>
    </w:p>
    <w:p w:rsidR="00AD58EC" w:rsidRDefault="00C3286E" w:rsidP="00C87FC6">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sidRPr="00F50D8B">
        <w:rPr>
          <w:rFonts w:asciiTheme="minorHAnsi" w:eastAsiaTheme="minorHAnsi" w:hAnsiTheme="minorHAnsi" w:cstheme="minorBidi"/>
          <w:sz w:val="22"/>
          <w:szCs w:val="22"/>
          <w:lang w:eastAsia="en-US"/>
        </w:rPr>
        <w:t xml:space="preserve">Până la sfârșitul anului 2015, nu a fost depus spre finanțare în cadrul acestei axe </w:t>
      </w:r>
      <w:r w:rsidR="00ED4F29">
        <w:rPr>
          <w:rFonts w:asciiTheme="minorHAnsi" w:eastAsiaTheme="minorHAnsi" w:hAnsiTheme="minorHAnsi" w:cstheme="minorBidi"/>
          <w:sz w:val="22"/>
          <w:szCs w:val="22"/>
          <w:lang w:eastAsia="en-US"/>
        </w:rPr>
        <w:t>prioritare niciun proiect.</w:t>
      </w:r>
    </w:p>
    <w:p w:rsidR="009E469A" w:rsidRPr="009E469A" w:rsidRDefault="009E469A" w:rsidP="00C87FC6">
      <w:pPr>
        <w:pStyle w:val="NormalWeb"/>
        <w:suppressAutoHyphens/>
        <w:spacing w:before="280" w:beforeAutospacing="0" w:after="280" w:afterAutospacing="0" w:line="273" w:lineRule="atLeast"/>
        <w:jc w:val="both"/>
        <w:rPr>
          <w:rFonts w:asciiTheme="minorHAnsi" w:eastAsiaTheme="minorHAnsi" w:hAnsiTheme="minorHAnsi" w:cstheme="minorBidi"/>
          <w:sz w:val="22"/>
          <w:szCs w:val="22"/>
          <w:lang w:eastAsia="en-US"/>
        </w:rPr>
      </w:pPr>
      <w:r w:rsidRPr="009E469A">
        <w:rPr>
          <w:rFonts w:asciiTheme="minorHAnsi" w:eastAsiaTheme="minorHAnsi" w:hAnsiTheme="minorHAnsi" w:cstheme="minorBidi"/>
          <w:sz w:val="22"/>
          <w:szCs w:val="22"/>
          <w:lang w:eastAsia="en-US"/>
        </w:rPr>
        <w:t xml:space="preserve">Dificultățile întâmpinate se regăsesc la punctul </w:t>
      </w:r>
      <w:r w:rsidRPr="009E469A">
        <w:rPr>
          <w:rFonts w:asciiTheme="minorHAnsi" w:eastAsiaTheme="minorHAnsi" w:hAnsiTheme="minorHAnsi" w:cstheme="minorBidi"/>
          <w:i/>
          <w:sz w:val="22"/>
          <w:szCs w:val="22"/>
          <w:lang w:eastAsia="en-US"/>
        </w:rPr>
        <w:t>6 Probleme care afectează performanța programului și măsurile adoptate</w:t>
      </w:r>
      <w:r w:rsidRPr="009E469A">
        <w:rPr>
          <w:rFonts w:asciiTheme="minorHAnsi" w:eastAsiaTheme="minorHAnsi" w:hAnsiTheme="minorHAnsi" w:cstheme="minorBidi"/>
          <w:sz w:val="22"/>
          <w:szCs w:val="22"/>
          <w:lang w:eastAsia="en-US"/>
        </w:rPr>
        <w:t>.</w:t>
      </w:r>
    </w:p>
    <w:p w:rsidR="008834C1" w:rsidRPr="00E70515" w:rsidRDefault="005A1799" w:rsidP="00DA2B85">
      <w:pPr>
        <w:jc w:val="both"/>
        <w:rPr>
          <w:color w:val="FF0000"/>
        </w:rPr>
      </w:pPr>
      <w:r w:rsidRPr="00E70515">
        <w:rPr>
          <w:color w:val="FF0000"/>
        </w:rPr>
        <w:t xml:space="preserve">(aprox. </w:t>
      </w:r>
      <w:r w:rsidR="00C3286E">
        <w:rPr>
          <w:color w:val="FF0000"/>
        </w:rPr>
        <w:t>1</w:t>
      </w:r>
      <w:r w:rsidR="008B10FA">
        <w:rPr>
          <w:color w:val="FF0000"/>
        </w:rPr>
        <w:t>29</w:t>
      </w:r>
      <w:r w:rsidR="00ED4F29">
        <w:rPr>
          <w:color w:val="FF0000"/>
        </w:rPr>
        <w:t>1</w:t>
      </w:r>
      <w:r w:rsidR="008834C1" w:rsidRPr="00E70515">
        <w:rPr>
          <w:color w:val="FF0000"/>
        </w:rPr>
        <w:t xml:space="preserve"> caractere)</w:t>
      </w:r>
      <w:r w:rsidR="008834C1" w:rsidRPr="00E70515">
        <w:rPr>
          <w:color w:val="FF0000"/>
        </w:rPr>
        <w:br w:type="page"/>
      </w:r>
    </w:p>
    <w:p w:rsidR="00996CA9" w:rsidRPr="00F80C42" w:rsidRDefault="00996CA9" w:rsidP="00D67D79">
      <w:pPr>
        <w:pStyle w:val="ListParagraph"/>
        <w:numPr>
          <w:ilvl w:val="2"/>
          <w:numId w:val="1"/>
        </w:numPr>
        <w:sectPr w:rsidR="00996CA9" w:rsidRPr="00F80C42" w:rsidSect="00D16190">
          <w:footerReference w:type="default" r:id="rId9"/>
          <w:pgSz w:w="12240" w:h="15840"/>
          <w:pgMar w:top="1440" w:right="1041" w:bottom="1276" w:left="1134" w:header="720" w:footer="720" w:gutter="0"/>
          <w:pgNumType w:start="0"/>
          <w:cols w:space="720"/>
          <w:titlePg/>
          <w:docGrid w:linePitch="360"/>
        </w:sectPr>
      </w:pPr>
    </w:p>
    <w:p w:rsidR="00D67D79" w:rsidRPr="00F80C42" w:rsidRDefault="00F50D8B" w:rsidP="00F50D8B">
      <w:pPr>
        <w:pStyle w:val="Heading2"/>
      </w:pPr>
      <w:bookmarkStart w:id="4" w:name="_Toc451439488"/>
      <w:r>
        <w:lastRenderedPageBreak/>
        <w:t xml:space="preserve">3.2. </w:t>
      </w:r>
      <w:r w:rsidR="00D67D79" w:rsidRPr="00F80C42">
        <w:t>Indicatori comuni și in</w:t>
      </w:r>
      <w:r w:rsidR="00996CA9" w:rsidRPr="00F80C42">
        <w:t>dicatori specifici programului</w:t>
      </w:r>
      <w:bookmarkEnd w:id="4"/>
    </w:p>
    <w:p w:rsidR="008834C1" w:rsidRPr="00F80C42" w:rsidRDefault="008834C1" w:rsidP="008834C1">
      <w:pPr>
        <w:pStyle w:val="ListParagraph"/>
        <w:rPr>
          <w:b/>
        </w:rPr>
      </w:pPr>
      <w:r w:rsidRPr="00F80C42">
        <w:rPr>
          <w:b/>
        </w:rPr>
        <w:t>Tabelul 1</w:t>
      </w:r>
      <w:r w:rsidR="00F80C42">
        <w:rPr>
          <w:b/>
        </w:rPr>
        <w:t xml:space="preserve"> - </w:t>
      </w:r>
      <w:r w:rsidRPr="00F80C42">
        <w:rPr>
          <w:b/>
        </w:rPr>
        <w:t>Indicatorii de rezultat pentru FEDR</w:t>
      </w:r>
    </w:p>
    <w:tbl>
      <w:tblPr>
        <w:tblStyle w:val="TableGrid"/>
        <w:tblW w:w="14992" w:type="dxa"/>
        <w:tblLayout w:type="fixed"/>
        <w:tblLook w:val="04A0" w:firstRow="1" w:lastRow="0" w:firstColumn="1" w:lastColumn="0" w:noHBand="0" w:noVBand="1"/>
      </w:tblPr>
      <w:tblGrid>
        <w:gridCol w:w="534"/>
        <w:gridCol w:w="2268"/>
        <w:gridCol w:w="512"/>
        <w:gridCol w:w="990"/>
        <w:gridCol w:w="900"/>
        <w:gridCol w:w="900"/>
        <w:gridCol w:w="900"/>
        <w:gridCol w:w="630"/>
        <w:gridCol w:w="630"/>
        <w:gridCol w:w="617"/>
        <w:gridCol w:w="643"/>
        <w:gridCol w:w="720"/>
        <w:gridCol w:w="720"/>
        <w:gridCol w:w="720"/>
        <w:gridCol w:w="756"/>
        <w:gridCol w:w="710"/>
        <w:gridCol w:w="708"/>
        <w:gridCol w:w="1134"/>
      </w:tblGrid>
      <w:tr w:rsidR="008834C1" w:rsidRPr="00F80C42" w:rsidTr="00396328">
        <w:tc>
          <w:tcPr>
            <w:tcW w:w="7004" w:type="dxa"/>
            <w:gridSpan w:val="7"/>
          </w:tcPr>
          <w:p w:rsidR="008834C1" w:rsidRPr="00F80C42" w:rsidRDefault="008834C1" w:rsidP="00943451">
            <w:pPr>
              <w:rPr>
                <w:b/>
                <w:sz w:val="18"/>
                <w:szCs w:val="18"/>
              </w:rPr>
            </w:pPr>
          </w:p>
        </w:tc>
        <w:tc>
          <w:tcPr>
            <w:tcW w:w="6854" w:type="dxa"/>
            <w:gridSpan w:val="10"/>
            <w:vAlign w:val="center"/>
          </w:tcPr>
          <w:p w:rsidR="008834C1" w:rsidRPr="00783B28" w:rsidRDefault="008834C1" w:rsidP="00943451">
            <w:pPr>
              <w:jc w:val="center"/>
              <w:rPr>
                <w:b/>
                <w:sz w:val="18"/>
                <w:szCs w:val="18"/>
              </w:rPr>
            </w:pPr>
            <w:r w:rsidRPr="00783B28">
              <w:rPr>
                <w:b/>
                <w:sz w:val="18"/>
                <w:szCs w:val="18"/>
              </w:rPr>
              <w:t>VALOAREA ANUALĂ</w:t>
            </w:r>
          </w:p>
        </w:tc>
        <w:tc>
          <w:tcPr>
            <w:tcW w:w="1134" w:type="dxa"/>
          </w:tcPr>
          <w:p w:rsidR="008834C1" w:rsidRPr="007F3437" w:rsidRDefault="008834C1" w:rsidP="00943451">
            <w:pPr>
              <w:rPr>
                <w:b/>
                <w:sz w:val="18"/>
                <w:szCs w:val="18"/>
              </w:rPr>
            </w:pPr>
          </w:p>
        </w:tc>
      </w:tr>
      <w:tr w:rsidR="008834C1" w:rsidRPr="00F80C42" w:rsidTr="00396328">
        <w:tc>
          <w:tcPr>
            <w:tcW w:w="534" w:type="dxa"/>
          </w:tcPr>
          <w:p w:rsidR="008834C1" w:rsidRPr="00F80C42" w:rsidRDefault="008834C1" w:rsidP="00943451">
            <w:pPr>
              <w:rPr>
                <w:b/>
                <w:sz w:val="18"/>
                <w:szCs w:val="18"/>
              </w:rPr>
            </w:pPr>
            <w:r w:rsidRPr="00F80C42">
              <w:rPr>
                <w:b/>
                <w:sz w:val="18"/>
                <w:szCs w:val="18"/>
              </w:rPr>
              <w:t>ID</w:t>
            </w:r>
          </w:p>
        </w:tc>
        <w:tc>
          <w:tcPr>
            <w:tcW w:w="2268" w:type="dxa"/>
          </w:tcPr>
          <w:p w:rsidR="008834C1" w:rsidRPr="00F80C42" w:rsidRDefault="008834C1" w:rsidP="00943451">
            <w:pPr>
              <w:rPr>
                <w:b/>
                <w:sz w:val="18"/>
                <w:szCs w:val="18"/>
              </w:rPr>
            </w:pPr>
            <w:r w:rsidRPr="00F80C42">
              <w:rPr>
                <w:b/>
                <w:sz w:val="18"/>
                <w:szCs w:val="18"/>
              </w:rPr>
              <w:t>Indicator</w:t>
            </w:r>
          </w:p>
        </w:tc>
        <w:tc>
          <w:tcPr>
            <w:tcW w:w="512" w:type="dxa"/>
          </w:tcPr>
          <w:p w:rsidR="008834C1" w:rsidRPr="00F80C42" w:rsidRDefault="008834C1" w:rsidP="00943451">
            <w:pPr>
              <w:rPr>
                <w:b/>
                <w:sz w:val="18"/>
                <w:szCs w:val="18"/>
              </w:rPr>
            </w:pPr>
            <w:r w:rsidRPr="00F80C42">
              <w:rPr>
                <w:b/>
                <w:sz w:val="18"/>
                <w:szCs w:val="18"/>
              </w:rPr>
              <w:t>UM</w:t>
            </w:r>
          </w:p>
        </w:tc>
        <w:tc>
          <w:tcPr>
            <w:tcW w:w="990" w:type="dxa"/>
            <w:vAlign w:val="center"/>
          </w:tcPr>
          <w:p w:rsidR="008834C1" w:rsidRPr="00F80C42" w:rsidRDefault="008834C1" w:rsidP="00943451">
            <w:pPr>
              <w:jc w:val="center"/>
              <w:rPr>
                <w:b/>
                <w:sz w:val="18"/>
                <w:szCs w:val="18"/>
              </w:rPr>
            </w:pPr>
            <w:r w:rsidRPr="00F80C42">
              <w:rPr>
                <w:b/>
                <w:sz w:val="18"/>
                <w:szCs w:val="18"/>
              </w:rPr>
              <w:t xml:space="preserve">Categorie de regiuni </w:t>
            </w:r>
          </w:p>
        </w:tc>
        <w:tc>
          <w:tcPr>
            <w:tcW w:w="900" w:type="dxa"/>
          </w:tcPr>
          <w:p w:rsidR="008834C1" w:rsidRPr="00F80C42" w:rsidRDefault="008834C1" w:rsidP="00943451">
            <w:pPr>
              <w:rPr>
                <w:b/>
                <w:sz w:val="18"/>
                <w:szCs w:val="18"/>
              </w:rPr>
            </w:pPr>
            <w:r w:rsidRPr="00F80C42">
              <w:rPr>
                <w:b/>
                <w:sz w:val="18"/>
                <w:szCs w:val="18"/>
              </w:rPr>
              <w:t>Valoare de referință</w:t>
            </w:r>
          </w:p>
        </w:tc>
        <w:tc>
          <w:tcPr>
            <w:tcW w:w="900" w:type="dxa"/>
          </w:tcPr>
          <w:p w:rsidR="008834C1" w:rsidRPr="00F80C42" w:rsidRDefault="008834C1" w:rsidP="00943451">
            <w:pPr>
              <w:rPr>
                <w:b/>
                <w:sz w:val="18"/>
                <w:szCs w:val="18"/>
              </w:rPr>
            </w:pPr>
            <w:r w:rsidRPr="00F80C42">
              <w:rPr>
                <w:b/>
                <w:sz w:val="18"/>
                <w:szCs w:val="18"/>
              </w:rPr>
              <w:t>Anul de referință</w:t>
            </w:r>
          </w:p>
        </w:tc>
        <w:tc>
          <w:tcPr>
            <w:tcW w:w="900" w:type="dxa"/>
          </w:tcPr>
          <w:p w:rsidR="008834C1" w:rsidRPr="00F80C42" w:rsidRDefault="008834C1" w:rsidP="00943451">
            <w:pPr>
              <w:rPr>
                <w:b/>
                <w:sz w:val="18"/>
                <w:szCs w:val="18"/>
              </w:rPr>
            </w:pPr>
            <w:r w:rsidRPr="00F80C42">
              <w:rPr>
                <w:b/>
                <w:sz w:val="18"/>
                <w:szCs w:val="18"/>
              </w:rPr>
              <w:t>Valoarea-țintă (2023)</w:t>
            </w:r>
          </w:p>
        </w:tc>
        <w:tc>
          <w:tcPr>
            <w:tcW w:w="630" w:type="dxa"/>
          </w:tcPr>
          <w:p w:rsidR="008834C1" w:rsidRPr="00783B28" w:rsidRDefault="008834C1" w:rsidP="00943451">
            <w:pPr>
              <w:rPr>
                <w:b/>
                <w:sz w:val="18"/>
                <w:szCs w:val="18"/>
              </w:rPr>
            </w:pPr>
            <w:r w:rsidRPr="00783B28">
              <w:rPr>
                <w:b/>
                <w:sz w:val="18"/>
                <w:szCs w:val="18"/>
              </w:rPr>
              <w:t>2014</w:t>
            </w:r>
          </w:p>
        </w:tc>
        <w:tc>
          <w:tcPr>
            <w:tcW w:w="630" w:type="dxa"/>
          </w:tcPr>
          <w:p w:rsidR="008834C1" w:rsidRPr="007F3437" w:rsidRDefault="008834C1" w:rsidP="00943451">
            <w:pPr>
              <w:rPr>
                <w:b/>
                <w:sz w:val="18"/>
                <w:szCs w:val="18"/>
              </w:rPr>
            </w:pPr>
            <w:r w:rsidRPr="007F3437">
              <w:rPr>
                <w:b/>
                <w:sz w:val="18"/>
                <w:szCs w:val="18"/>
              </w:rPr>
              <w:t>2015</w:t>
            </w:r>
          </w:p>
        </w:tc>
        <w:tc>
          <w:tcPr>
            <w:tcW w:w="617" w:type="dxa"/>
          </w:tcPr>
          <w:p w:rsidR="008834C1" w:rsidRPr="007F3437" w:rsidRDefault="008834C1" w:rsidP="00943451">
            <w:pPr>
              <w:rPr>
                <w:b/>
                <w:sz w:val="18"/>
                <w:szCs w:val="18"/>
              </w:rPr>
            </w:pPr>
            <w:r w:rsidRPr="007F3437">
              <w:rPr>
                <w:b/>
                <w:sz w:val="18"/>
                <w:szCs w:val="18"/>
              </w:rPr>
              <w:t>2016</w:t>
            </w:r>
          </w:p>
        </w:tc>
        <w:tc>
          <w:tcPr>
            <w:tcW w:w="643" w:type="dxa"/>
          </w:tcPr>
          <w:p w:rsidR="008834C1" w:rsidRPr="007F3437" w:rsidRDefault="008834C1" w:rsidP="00943451">
            <w:pPr>
              <w:rPr>
                <w:b/>
                <w:sz w:val="18"/>
                <w:szCs w:val="18"/>
              </w:rPr>
            </w:pPr>
            <w:r w:rsidRPr="007F3437">
              <w:rPr>
                <w:b/>
                <w:sz w:val="18"/>
                <w:szCs w:val="18"/>
              </w:rPr>
              <w:t>2017</w:t>
            </w:r>
          </w:p>
        </w:tc>
        <w:tc>
          <w:tcPr>
            <w:tcW w:w="720" w:type="dxa"/>
          </w:tcPr>
          <w:p w:rsidR="008834C1" w:rsidRPr="00E31D81" w:rsidRDefault="008834C1" w:rsidP="00943451">
            <w:pPr>
              <w:rPr>
                <w:b/>
                <w:sz w:val="18"/>
                <w:szCs w:val="18"/>
              </w:rPr>
            </w:pPr>
            <w:r w:rsidRPr="00E31D81">
              <w:rPr>
                <w:b/>
                <w:sz w:val="18"/>
                <w:szCs w:val="18"/>
              </w:rPr>
              <w:t>2018</w:t>
            </w:r>
          </w:p>
        </w:tc>
        <w:tc>
          <w:tcPr>
            <w:tcW w:w="720" w:type="dxa"/>
          </w:tcPr>
          <w:p w:rsidR="008834C1" w:rsidRPr="00E31D81" w:rsidRDefault="008834C1" w:rsidP="00943451">
            <w:pPr>
              <w:rPr>
                <w:b/>
                <w:sz w:val="18"/>
                <w:szCs w:val="18"/>
              </w:rPr>
            </w:pPr>
            <w:r w:rsidRPr="00E31D81">
              <w:rPr>
                <w:b/>
                <w:sz w:val="18"/>
                <w:szCs w:val="18"/>
              </w:rPr>
              <w:t>2019</w:t>
            </w:r>
          </w:p>
        </w:tc>
        <w:tc>
          <w:tcPr>
            <w:tcW w:w="720" w:type="dxa"/>
          </w:tcPr>
          <w:p w:rsidR="008834C1" w:rsidRPr="00E31D81" w:rsidRDefault="008834C1" w:rsidP="00943451">
            <w:pPr>
              <w:rPr>
                <w:b/>
                <w:sz w:val="18"/>
                <w:szCs w:val="18"/>
              </w:rPr>
            </w:pPr>
            <w:r w:rsidRPr="00E31D81">
              <w:rPr>
                <w:b/>
                <w:sz w:val="18"/>
                <w:szCs w:val="18"/>
              </w:rPr>
              <w:t>2020</w:t>
            </w:r>
          </w:p>
        </w:tc>
        <w:tc>
          <w:tcPr>
            <w:tcW w:w="756" w:type="dxa"/>
          </w:tcPr>
          <w:p w:rsidR="008834C1" w:rsidRPr="00E70515" w:rsidRDefault="008834C1" w:rsidP="00943451">
            <w:pPr>
              <w:rPr>
                <w:b/>
                <w:sz w:val="18"/>
                <w:szCs w:val="18"/>
              </w:rPr>
            </w:pPr>
            <w:r w:rsidRPr="00E70515">
              <w:rPr>
                <w:b/>
                <w:sz w:val="18"/>
                <w:szCs w:val="18"/>
              </w:rPr>
              <w:t>2021</w:t>
            </w:r>
          </w:p>
        </w:tc>
        <w:tc>
          <w:tcPr>
            <w:tcW w:w="710" w:type="dxa"/>
          </w:tcPr>
          <w:p w:rsidR="008834C1" w:rsidRPr="00E70515" w:rsidRDefault="008834C1" w:rsidP="00943451">
            <w:pPr>
              <w:rPr>
                <w:b/>
                <w:sz w:val="18"/>
                <w:szCs w:val="18"/>
              </w:rPr>
            </w:pPr>
            <w:r w:rsidRPr="00E70515">
              <w:rPr>
                <w:b/>
                <w:sz w:val="18"/>
                <w:szCs w:val="18"/>
              </w:rPr>
              <w:t>2022</w:t>
            </w:r>
          </w:p>
        </w:tc>
        <w:tc>
          <w:tcPr>
            <w:tcW w:w="708" w:type="dxa"/>
          </w:tcPr>
          <w:p w:rsidR="008834C1" w:rsidRPr="00E70515" w:rsidRDefault="008834C1" w:rsidP="00943451">
            <w:pPr>
              <w:rPr>
                <w:b/>
                <w:sz w:val="18"/>
                <w:szCs w:val="18"/>
              </w:rPr>
            </w:pPr>
            <w:r w:rsidRPr="00E70515">
              <w:rPr>
                <w:b/>
                <w:sz w:val="18"/>
                <w:szCs w:val="18"/>
              </w:rPr>
              <w:t>2023</w:t>
            </w:r>
          </w:p>
        </w:tc>
        <w:tc>
          <w:tcPr>
            <w:tcW w:w="1134" w:type="dxa"/>
            <w:vAlign w:val="center"/>
          </w:tcPr>
          <w:p w:rsidR="008834C1" w:rsidRPr="00E70515" w:rsidRDefault="008834C1" w:rsidP="00943451">
            <w:pPr>
              <w:jc w:val="center"/>
              <w:rPr>
                <w:b/>
                <w:sz w:val="18"/>
                <w:szCs w:val="18"/>
              </w:rPr>
            </w:pPr>
            <w:r w:rsidRPr="00E70515">
              <w:rPr>
                <w:b/>
                <w:sz w:val="18"/>
                <w:szCs w:val="18"/>
              </w:rPr>
              <w:t>Observații (dacă este necesar)</w:t>
            </w:r>
          </w:p>
        </w:tc>
      </w:tr>
      <w:tr w:rsidR="008834C1" w:rsidRPr="00F80C42" w:rsidTr="00396328">
        <w:tc>
          <w:tcPr>
            <w:tcW w:w="534" w:type="dxa"/>
          </w:tcPr>
          <w:p w:rsidR="008834C1" w:rsidRPr="00F80C42" w:rsidRDefault="008834C1" w:rsidP="00943451">
            <w:pPr>
              <w:rPr>
                <w:sz w:val="18"/>
                <w:szCs w:val="18"/>
              </w:rPr>
            </w:pPr>
            <w:r w:rsidRPr="00F80C42">
              <w:rPr>
                <w:sz w:val="18"/>
                <w:szCs w:val="18"/>
              </w:rPr>
              <w:t>6S1</w:t>
            </w:r>
          </w:p>
        </w:tc>
        <w:tc>
          <w:tcPr>
            <w:tcW w:w="2268" w:type="dxa"/>
          </w:tcPr>
          <w:p w:rsidR="008834C1" w:rsidRPr="00C87FC6" w:rsidRDefault="008834C1" w:rsidP="00943451">
            <w:pPr>
              <w:pStyle w:val="Default"/>
              <w:rPr>
                <w:rFonts w:asciiTheme="minorHAnsi" w:hAnsiTheme="minorHAnsi"/>
                <w:sz w:val="18"/>
                <w:szCs w:val="18"/>
                <w:lang w:val="ro-RO"/>
              </w:rPr>
            </w:pPr>
            <w:r w:rsidRPr="00C87FC6">
              <w:rPr>
                <w:rFonts w:asciiTheme="minorHAnsi" w:hAnsiTheme="minorHAnsi"/>
                <w:sz w:val="18"/>
                <w:szCs w:val="18"/>
                <w:lang w:val="ro-RO"/>
              </w:rPr>
              <w:t xml:space="preserve">Proiecte care au o rată de absorbție mai mare de 70% din total proiecte a căror dezvoltare a fost sprijinită prin POAT </w:t>
            </w:r>
          </w:p>
        </w:tc>
        <w:tc>
          <w:tcPr>
            <w:tcW w:w="512" w:type="dxa"/>
          </w:tcPr>
          <w:p w:rsidR="008834C1" w:rsidRPr="00F80C42" w:rsidRDefault="008834C1" w:rsidP="00943451">
            <w:pPr>
              <w:rPr>
                <w:sz w:val="18"/>
                <w:szCs w:val="18"/>
              </w:rPr>
            </w:pPr>
            <w:r w:rsidRPr="00F80C42">
              <w:rPr>
                <w:sz w:val="18"/>
                <w:szCs w:val="18"/>
              </w:rPr>
              <w:t>%</w:t>
            </w:r>
          </w:p>
        </w:tc>
        <w:tc>
          <w:tcPr>
            <w:tcW w:w="990" w:type="dxa"/>
          </w:tcPr>
          <w:p w:rsidR="008834C1" w:rsidRPr="00F80C42" w:rsidRDefault="008834C1" w:rsidP="00943451">
            <w:pPr>
              <w:rPr>
                <w:sz w:val="18"/>
                <w:szCs w:val="18"/>
              </w:rPr>
            </w:pPr>
            <w:r w:rsidRPr="00F80C42">
              <w:rPr>
                <w:sz w:val="18"/>
                <w:szCs w:val="18"/>
              </w:rPr>
              <w:t>N/A</w:t>
            </w:r>
          </w:p>
        </w:tc>
        <w:tc>
          <w:tcPr>
            <w:tcW w:w="900" w:type="dxa"/>
          </w:tcPr>
          <w:p w:rsidR="008834C1" w:rsidRPr="00783B28" w:rsidRDefault="008834C1" w:rsidP="00943451">
            <w:pPr>
              <w:rPr>
                <w:sz w:val="18"/>
                <w:szCs w:val="18"/>
              </w:rPr>
            </w:pPr>
            <w:r w:rsidRPr="00783B28">
              <w:rPr>
                <w:sz w:val="18"/>
                <w:szCs w:val="18"/>
              </w:rPr>
              <w:t>0</w:t>
            </w:r>
          </w:p>
        </w:tc>
        <w:tc>
          <w:tcPr>
            <w:tcW w:w="900" w:type="dxa"/>
          </w:tcPr>
          <w:p w:rsidR="008834C1" w:rsidRPr="007F3437" w:rsidRDefault="008834C1" w:rsidP="00943451">
            <w:pPr>
              <w:rPr>
                <w:sz w:val="18"/>
                <w:szCs w:val="18"/>
              </w:rPr>
            </w:pPr>
            <w:r w:rsidRPr="00C87FC6">
              <w:rPr>
                <w:sz w:val="18"/>
                <w:szCs w:val="18"/>
              </w:rPr>
              <w:t>201</w:t>
            </w:r>
            <w:r w:rsidR="006B3A29">
              <w:rPr>
                <w:sz w:val="18"/>
                <w:szCs w:val="18"/>
              </w:rPr>
              <w:t>4</w:t>
            </w:r>
          </w:p>
        </w:tc>
        <w:tc>
          <w:tcPr>
            <w:tcW w:w="900" w:type="dxa"/>
          </w:tcPr>
          <w:p w:rsidR="008834C1" w:rsidRPr="007F3437" w:rsidRDefault="008834C1" w:rsidP="00943451">
            <w:pPr>
              <w:rPr>
                <w:sz w:val="18"/>
                <w:szCs w:val="18"/>
              </w:rPr>
            </w:pPr>
            <w:r w:rsidRPr="007F3437">
              <w:rPr>
                <w:sz w:val="18"/>
                <w:szCs w:val="18"/>
              </w:rPr>
              <w:t>75</w:t>
            </w:r>
          </w:p>
        </w:tc>
        <w:tc>
          <w:tcPr>
            <w:tcW w:w="630" w:type="dxa"/>
          </w:tcPr>
          <w:p w:rsidR="008834C1" w:rsidRPr="00E31D81" w:rsidRDefault="008834C1" w:rsidP="00943451">
            <w:pPr>
              <w:rPr>
                <w:sz w:val="18"/>
                <w:szCs w:val="18"/>
              </w:rPr>
            </w:pPr>
            <w:r w:rsidRPr="00E31D81">
              <w:rPr>
                <w:sz w:val="18"/>
                <w:szCs w:val="18"/>
              </w:rPr>
              <w:t>0</w:t>
            </w:r>
          </w:p>
        </w:tc>
        <w:tc>
          <w:tcPr>
            <w:tcW w:w="630" w:type="dxa"/>
          </w:tcPr>
          <w:p w:rsidR="008834C1" w:rsidRPr="00E31D81" w:rsidRDefault="008834C1" w:rsidP="00943451">
            <w:pPr>
              <w:rPr>
                <w:sz w:val="18"/>
                <w:szCs w:val="18"/>
              </w:rPr>
            </w:pPr>
            <w:r w:rsidRPr="00E31D81">
              <w:rPr>
                <w:sz w:val="18"/>
                <w:szCs w:val="18"/>
              </w:rPr>
              <w:t>0</w:t>
            </w:r>
          </w:p>
        </w:tc>
        <w:tc>
          <w:tcPr>
            <w:tcW w:w="617" w:type="dxa"/>
          </w:tcPr>
          <w:p w:rsidR="008834C1" w:rsidRPr="00E31D81" w:rsidRDefault="008834C1" w:rsidP="00943451">
            <w:pPr>
              <w:rPr>
                <w:sz w:val="18"/>
                <w:szCs w:val="18"/>
              </w:rPr>
            </w:pPr>
          </w:p>
        </w:tc>
        <w:tc>
          <w:tcPr>
            <w:tcW w:w="643" w:type="dxa"/>
          </w:tcPr>
          <w:p w:rsidR="008834C1" w:rsidRPr="00E70515" w:rsidRDefault="008834C1" w:rsidP="00943451">
            <w:pPr>
              <w:rPr>
                <w:sz w:val="18"/>
                <w:szCs w:val="18"/>
              </w:rPr>
            </w:pPr>
          </w:p>
        </w:tc>
        <w:tc>
          <w:tcPr>
            <w:tcW w:w="720" w:type="dxa"/>
          </w:tcPr>
          <w:p w:rsidR="008834C1" w:rsidRPr="00E70515" w:rsidRDefault="008834C1" w:rsidP="00943451">
            <w:pPr>
              <w:rPr>
                <w:sz w:val="18"/>
                <w:szCs w:val="18"/>
              </w:rPr>
            </w:pPr>
          </w:p>
        </w:tc>
        <w:tc>
          <w:tcPr>
            <w:tcW w:w="720" w:type="dxa"/>
          </w:tcPr>
          <w:p w:rsidR="008834C1" w:rsidRPr="00E70515" w:rsidRDefault="008834C1" w:rsidP="00943451">
            <w:pPr>
              <w:rPr>
                <w:sz w:val="18"/>
                <w:szCs w:val="18"/>
              </w:rPr>
            </w:pPr>
          </w:p>
        </w:tc>
        <w:tc>
          <w:tcPr>
            <w:tcW w:w="720" w:type="dxa"/>
          </w:tcPr>
          <w:p w:rsidR="008834C1" w:rsidRPr="00E70515" w:rsidRDefault="008834C1" w:rsidP="00943451">
            <w:pPr>
              <w:rPr>
                <w:sz w:val="18"/>
                <w:szCs w:val="18"/>
              </w:rPr>
            </w:pPr>
          </w:p>
        </w:tc>
        <w:tc>
          <w:tcPr>
            <w:tcW w:w="756" w:type="dxa"/>
          </w:tcPr>
          <w:p w:rsidR="008834C1" w:rsidRPr="00E70515" w:rsidRDefault="008834C1" w:rsidP="00943451">
            <w:pPr>
              <w:rPr>
                <w:sz w:val="18"/>
                <w:szCs w:val="18"/>
              </w:rPr>
            </w:pPr>
          </w:p>
        </w:tc>
        <w:tc>
          <w:tcPr>
            <w:tcW w:w="710" w:type="dxa"/>
          </w:tcPr>
          <w:p w:rsidR="008834C1" w:rsidRPr="00E70515" w:rsidRDefault="008834C1" w:rsidP="00943451">
            <w:pPr>
              <w:rPr>
                <w:sz w:val="18"/>
                <w:szCs w:val="18"/>
              </w:rPr>
            </w:pPr>
          </w:p>
        </w:tc>
        <w:tc>
          <w:tcPr>
            <w:tcW w:w="708" w:type="dxa"/>
          </w:tcPr>
          <w:p w:rsidR="008834C1" w:rsidRPr="00E70515" w:rsidRDefault="008834C1" w:rsidP="00943451">
            <w:pPr>
              <w:rPr>
                <w:sz w:val="18"/>
                <w:szCs w:val="18"/>
              </w:rPr>
            </w:pPr>
          </w:p>
        </w:tc>
        <w:tc>
          <w:tcPr>
            <w:tcW w:w="1134" w:type="dxa"/>
          </w:tcPr>
          <w:p w:rsidR="008834C1" w:rsidRPr="00E70515" w:rsidRDefault="008834C1" w:rsidP="00943451">
            <w:pPr>
              <w:rPr>
                <w:sz w:val="18"/>
                <w:szCs w:val="18"/>
              </w:rPr>
            </w:pPr>
          </w:p>
        </w:tc>
      </w:tr>
      <w:tr w:rsidR="008834C1" w:rsidRPr="00F80C42" w:rsidTr="00396328">
        <w:tc>
          <w:tcPr>
            <w:tcW w:w="534" w:type="dxa"/>
          </w:tcPr>
          <w:p w:rsidR="008834C1" w:rsidRPr="00F80C42" w:rsidRDefault="008834C1" w:rsidP="00943451">
            <w:pPr>
              <w:rPr>
                <w:sz w:val="18"/>
                <w:szCs w:val="18"/>
              </w:rPr>
            </w:pPr>
            <w:r w:rsidRPr="00F80C42">
              <w:rPr>
                <w:sz w:val="18"/>
                <w:szCs w:val="18"/>
              </w:rPr>
              <w:t>6S2</w:t>
            </w:r>
          </w:p>
        </w:tc>
        <w:tc>
          <w:tcPr>
            <w:tcW w:w="2268" w:type="dxa"/>
          </w:tcPr>
          <w:p w:rsidR="008834C1" w:rsidRPr="00C87FC6" w:rsidRDefault="008834C1" w:rsidP="00943451">
            <w:pPr>
              <w:pStyle w:val="Default"/>
              <w:rPr>
                <w:rFonts w:asciiTheme="minorHAnsi" w:hAnsiTheme="minorHAnsi"/>
                <w:sz w:val="18"/>
                <w:szCs w:val="18"/>
                <w:lang w:val="ro-RO"/>
              </w:rPr>
            </w:pPr>
            <w:r w:rsidRPr="00C87FC6">
              <w:rPr>
                <w:rFonts w:asciiTheme="minorHAnsi" w:hAnsiTheme="minorHAnsi"/>
                <w:sz w:val="18"/>
                <w:szCs w:val="18"/>
                <w:lang w:val="ro-RO"/>
              </w:rPr>
              <w:t xml:space="preserve">Nivelul de </w:t>
            </w:r>
            <w:proofErr w:type="spellStart"/>
            <w:r w:rsidRPr="00C87FC6">
              <w:rPr>
                <w:rFonts w:asciiTheme="minorHAnsi" w:hAnsiTheme="minorHAnsi"/>
                <w:sz w:val="18"/>
                <w:szCs w:val="18"/>
                <w:lang w:val="ro-RO"/>
              </w:rPr>
              <w:t>conştientizare</w:t>
            </w:r>
            <w:proofErr w:type="spellEnd"/>
            <w:r w:rsidRPr="00C87FC6">
              <w:rPr>
                <w:rFonts w:asciiTheme="minorHAnsi" w:hAnsiTheme="minorHAnsi"/>
                <w:sz w:val="18"/>
                <w:szCs w:val="18"/>
                <w:lang w:val="ro-RO"/>
              </w:rPr>
              <w:t xml:space="preserve"> cu privire la proiecte </w:t>
            </w:r>
            <w:proofErr w:type="spellStart"/>
            <w:r w:rsidRPr="00C87FC6">
              <w:rPr>
                <w:rFonts w:asciiTheme="minorHAnsi" w:hAnsiTheme="minorHAnsi"/>
                <w:sz w:val="18"/>
                <w:szCs w:val="18"/>
                <w:lang w:val="ro-RO"/>
              </w:rPr>
              <w:t>cofinanţate</w:t>
            </w:r>
            <w:proofErr w:type="spellEnd"/>
            <w:r w:rsidRPr="00C87FC6">
              <w:rPr>
                <w:rFonts w:asciiTheme="minorHAnsi" w:hAnsiTheme="minorHAnsi"/>
                <w:sz w:val="18"/>
                <w:szCs w:val="18"/>
                <w:lang w:val="ro-RO"/>
              </w:rPr>
              <w:t xml:space="preserve"> de UE </w:t>
            </w:r>
          </w:p>
        </w:tc>
        <w:tc>
          <w:tcPr>
            <w:tcW w:w="512" w:type="dxa"/>
          </w:tcPr>
          <w:p w:rsidR="008834C1" w:rsidRPr="00F80C42" w:rsidRDefault="008834C1" w:rsidP="00943451">
            <w:pPr>
              <w:rPr>
                <w:sz w:val="18"/>
                <w:szCs w:val="18"/>
              </w:rPr>
            </w:pPr>
            <w:r w:rsidRPr="00F80C42">
              <w:rPr>
                <w:sz w:val="18"/>
                <w:szCs w:val="18"/>
              </w:rPr>
              <w:t>%</w:t>
            </w:r>
          </w:p>
        </w:tc>
        <w:tc>
          <w:tcPr>
            <w:tcW w:w="990" w:type="dxa"/>
          </w:tcPr>
          <w:p w:rsidR="008834C1" w:rsidRPr="00F80C42" w:rsidRDefault="008834C1" w:rsidP="00943451">
            <w:pPr>
              <w:rPr>
                <w:sz w:val="18"/>
                <w:szCs w:val="18"/>
              </w:rPr>
            </w:pPr>
            <w:r w:rsidRPr="00F80C42">
              <w:rPr>
                <w:sz w:val="18"/>
                <w:szCs w:val="18"/>
              </w:rPr>
              <w:t>N/A</w:t>
            </w:r>
          </w:p>
        </w:tc>
        <w:tc>
          <w:tcPr>
            <w:tcW w:w="900" w:type="dxa"/>
          </w:tcPr>
          <w:p w:rsidR="008834C1" w:rsidRPr="00783B28" w:rsidRDefault="008834C1" w:rsidP="00943451">
            <w:pPr>
              <w:rPr>
                <w:sz w:val="18"/>
                <w:szCs w:val="18"/>
              </w:rPr>
            </w:pPr>
            <w:r w:rsidRPr="00783B28">
              <w:rPr>
                <w:sz w:val="18"/>
                <w:szCs w:val="18"/>
              </w:rPr>
              <w:t>46</w:t>
            </w:r>
          </w:p>
        </w:tc>
        <w:tc>
          <w:tcPr>
            <w:tcW w:w="900" w:type="dxa"/>
          </w:tcPr>
          <w:p w:rsidR="008834C1" w:rsidRPr="007F3437" w:rsidRDefault="008834C1" w:rsidP="00943451">
            <w:pPr>
              <w:rPr>
                <w:sz w:val="18"/>
                <w:szCs w:val="18"/>
              </w:rPr>
            </w:pPr>
            <w:r w:rsidRPr="007F3437">
              <w:rPr>
                <w:sz w:val="18"/>
                <w:szCs w:val="18"/>
              </w:rPr>
              <w:t>201</w:t>
            </w:r>
            <w:r w:rsidR="006B3A29">
              <w:rPr>
                <w:sz w:val="18"/>
                <w:szCs w:val="18"/>
              </w:rPr>
              <w:t>3</w:t>
            </w:r>
          </w:p>
        </w:tc>
        <w:tc>
          <w:tcPr>
            <w:tcW w:w="900" w:type="dxa"/>
          </w:tcPr>
          <w:p w:rsidR="008834C1" w:rsidRPr="007F3437" w:rsidRDefault="008834C1" w:rsidP="00943451">
            <w:pPr>
              <w:rPr>
                <w:sz w:val="18"/>
                <w:szCs w:val="18"/>
              </w:rPr>
            </w:pPr>
            <w:r w:rsidRPr="007F3437">
              <w:rPr>
                <w:sz w:val="18"/>
                <w:szCs w:val="18"/>
              </w:rPr>
              <w:t>60</w:t>
            </w:r>
          </w:p>
        </w:tc>
        <w:tc>
          <w:tcPr>
            <w:tcW w:w="630" w:type="dxa"/>
          </w:tcPr>
          <w:p w:rsidR="008834C1" w:rsidRPr="007F3437" w:rsidRDefault="008834C1" w:rsidP="00943451">
            <w:pPr>
              <w:rPr>
                <w:sz w:val="18"/>
                <w:szCs w:val="18"/>
              </w:rPr>
            </w:pPr>
            <w:r w:rsidRPr="007F3437">
              <w:rPr>
                <w:sz w:val="18"/>
                <w:szCs w:val="18"/>
              </w:rPr>
              <w:t>0</w:t>
            </w:r>
          </w:p>
        </w:tc>
        <w:tc>
          <w:tcPr>
            <w:tcW w:w="630" w:type="dxa"/>
          </w:tcPr>
          <w:p w:rsidR="008834C1" w:rsidRPr="00E31D81" w:rsidRDefault="008834C1" w:rsidP="00943451">
            <w:pPr>
              <w:rPr>
                <w:sz w:val="18"/>
                <w:szCs w:val="18"/>
              </w:rPr>
            </w:pPr>
            <w:r w:rsidRPr="00E31D81">
              <w:rPr>
                <w:sz w:val="18"/>
                <w:szCs w:val="18"/>
              </w:rPr>
              <w:t>0</w:t>
            </w:r>
          </w:p>
        </w:tc>
        <w:tc>
          <w:tcPr>
            <w:tcW w:w="617" w:type="dxa"/>
          </w:tcPr>
          <w:p w:rsidR="008834C1" w:rsidRPr="00E31D81" w:rsidRDefault="008834C1" w:rsidP="00943451">
            <w:pPr>
              <w:rPr>
                <w:sz w:val="18"/>
                <w:szCs w:val="18"/>
              </w:rPr>
            </w:pPr>
          </w:p>
        </w:tc>
        <w:tc>
          <w:tcPr>
            <w:tcW w:w="643" w:type="dxa"/>
          </w:tcPr>
          <w:p w:rsidR="008834C1" w:rsidRPr="00E31D81" w:rsidRDefault="008834C1" w:rsidP="00943451">
            <w:pPr>
              <w:rPr>
                <w:sz w:val="18"/>
                <w:szCs w:val="18"/>
              </w:rPr>
            </w:pPr>
          </w:p>
        </w:tc>
        <w:tc>
          <w:tcPr>
            <w:tcW w:w="720" w:type="dxa"/>
          </w:tcPr>
          <w:p w:rsidR="008834C1" w:rsidRPr="00E70515" w:rsidRDefault="008834C1" w:rsidP="00943451">
            <w:pPr>
              <w:rPr>
                <w:sz w:val="18"/>
                <w:szCs w:val="18"/>
              </w:rPr>
            </w:pPr>
          </w:p>
        </w:tc>
        <w:tc>
          <w:tcPr>
            <w:tcW w:w="720" w:type="dxa"/>
          </w:tcPr>
          <w:p w:rsidR="008834C1" w:rsidRPr="00E70515" w:rsidRDefault="008834C1" w:rsidP="00943451">
            <w:pPr>
              <w:rPr>
                <w:sz w:val="18"/>
                <w:szCs w:val="18"/>
              </w:rPr>
            </w:pPr>
          </w:p>
        </w:tc>
        <w:tc>
          <w:tcPr>
            <w:tcW w:w="720" w:type="dxa"/>
          </w:tcPr>
          <w:p w:rsidR="008834C1" w:rsidRPr="00E70515" w:rsidRDefault="008834C1" w:rsidP="00943451">
            <w:pPr>
              <w:rPr>
                <w:sz w:val="18"/>
                <w:szCs w:val="18"/>
              </w:rPr>
            </w:pPr>
          </w:p>
        </w:tc>
        <w:tc>
          <w:tcPr>
            <w:tcW w:w="756" w:type="dxa"/>
          </w:tcPr>
          <w:p w:rsidR="008834C1" w:rsidRPr="00E70515" w:rsidRDefault="008834C1" w:rsidP="00943451">
            <w:pPr>
              <w:rPr>
                <w:sz w:val="18"/>
                <w:szCs w:val="18"/>
              </w:rPr>
            </w:pPr>
          </w:p>
        </w:tc>
        <w:tc>
          <w:tcPr>
            <w:tcW w:w="710" w:type="dxa"/>
          </w:tcPr>
          <w:p w:rsidR="008834C1" w:rsidRPr="00E70515" w:rsidRDefault="008834C1" w:rsidP="00943451">
            <w:pPr>
              <w:rPr>
                <w:sz w:val="18"/>
                <w:szCs w:val="18"/>
              </w:rPr>
            </w:pPr>
          </w:p>
        </w:tc>
        <w:tc>
          <w:tcPr>
            <w:tcW w:w="708" w:type="dxa"/>
          </w:tcPr>
          <w:p w:rsidR="008834C1" w:rsidRPr="00E70515" w:rsidRDefault="008834C1" w:rsidP="00943451">
            <w:pPr>
              <w:rPr>
                <w:sz w:val="18"/>
                <w:szCs w:val="18"/>
              </w:rPr>
            </w:pPr>
          </w:p>
        </w:tc>
        <w:tc>
          <w:tcPr>
            <w:tcW w:w="1134" w:type="dxa"/>
          </w:tcPr>
          <w:p w:rsidR="008834C1" w:rsidRPr="00E70515" w:rsidRDefault="008834C1" w:rsidP="00943451">
            <w:pPr>
              <w:rPr>
                <w:sz w:val="18"/>
                <w:szCs w:val="18"/>
              </w:rPr>
            </w:pPr>
          </w:p>
        </w:tc>
      </w:tr>
      <w:tr w:rsidR="008834C1" w:rsidRPr="00F80C42" w:rsidTr="00396328">
        <w:tc>
          <w:tcPr>
            <w:tcW w:w="534" w:type="dxa"/>
          </w:tcPr>
          <w:p w:rsidR="008834C1" w:rsidRPr="00F80C42" w:rsidRDefault="008834C1" w:rsidP="00943451">
            <w:pPr>
              <w:rPr>
                <w:sz w:val="18"/>
                <w:szCs w:val="18"/>
              </w:rPr>
            </w:pPr>
            <w:r w:rsidRPr="00F80C42">
              <w:rPr>
                <w:sz w:val="18"/>
                <w:szCs w:val="18"/>
              </w:rPr>
              <w:t>6S3</w:t>
            </w:r>
          </w:p>
        </w:tc>
        <w:tc>
          <w:tcPr>
            <w:tcW w:w="2268" w:type="dxa"/>
          </w:tcPr>
          <w:p w:rsidR="008834C1" w:rsidRPr="00C87FC6" w:rsidRDefault="008834C1" w:rsidP="00943451">
            <w:pPr>
              <w:pStyle w:val="Default"/>
              <w:rPr>
                <w:rFonts w:asciiTheme="minorHAnsi" w:hAnsiTheme="minorHAnsi"/>
                <w:sz w:val="18"/>
                <w:szCs w:val="18"/>
                <w:lang w:val="ro-RO"/>
              </w:rPr>
            </w:pPr>
            <w:r w:rsidRPr="00C87FC6">
              <w:rPr>
                <w:rFonts w:asciiTheme="minorHAnsi" w:hAnsiTheme="minorHAnsi"/>
                <w:sz w:val="18"/>
                <w:szCs w:val="18"/>
                <w:lang w:val="ro-RO"/>
              </w:rPr>
              <w:t xml:space="preserve">Ponderea beneficiarilor care consideră procedurile privitoare la FESI corespunzătoare </w:t>
            </w:r>
          </w:p>
        </w:tc>
        <w:tc>
          <w:tcPr>
            <w:tcW w:w="512" w:type="dxa"/>
          </w:tcPr>
          <w:p w:rsidR="008834C1" w:rsidRPr="00F80C42" w:rsidRDefault="008834C1" w:rsidP="00943451">
            <w:pPr>
              <w:rPr>
                <w:sz w:val="18"/>
                <w:szCs w:val="18"/>
              </w:rPr>
            </w:pPr>
            <w:r w:rsidRPr="00F80C42">
              <w:rPr>
                <w:sz w:val="18"/>
                <w:szCs w:val="18"/>
              </w:rPr>
              <w:t>%</w:t>
            </w:r>
          </w:p>
        </w:tc>
        <w:tc>
          <w:tcPr>
            <w:tcW w:w="990" w:type="dxa"/>
          </w:tcPr>
          <w:p w:rsidR="008834C1" w:rsidRPr="00F80C42" w:rsidRDefault="008834C1" w:rsidP="00943451">
            <w:pPr>
              <w:rPr>
                <w:sz w:val="18"/>
                <w:szCs w:val="18"/>
              </w:rPr>
            </w:pPr>
            <w:r w:rsidRPr="00F80C42">
              <w:rPr>
                <w:sz w:val="18"/>
                <w:szCs w:val="18"/>
              </w:rPr>
              <w:t>N/A</w:t>
            </w:r>
          </w:p>
        </w:tc>
        <w:tc>
          <w:tcPr>
            <w:tcW w:w="900" w:type="dxa"/>
          </w:tcPr>
          <w:p w:rsidR="008834C1" w:rsidRPr="00783B28" w:rsidRDefault="008834C1" w:rsidP="00943451">
            <w:pPr>
              <w:rPr>
                <w:sz w:val="18"/>
                <w:szCs w:val="18"/>
              </w:rPr>
            </w:pPr>
            <w:r w:rsidRPr="00783B28">
              <w:rPr>
                <w:sz w:val="18"/>
                <w:szCs w:val="18"/>
              </w:rPr>
              <w:t>23,5</w:t>
            </w:r>
          </w:p>
        </w:tc>
        <w:tc>
          <w:tcPr>
            <w:tcW w:w="900" w:type="dxa"/>
          </w:tcPr>
          <w:p w:rsidR="008834C1" w:rsidRPr="007F3437" w:rsidRDefault="008834C1" w:rsidP="00943451">
            <w:pPr>
              <w:rPr>
                <w:sz w:val="18"/>
                <w:szCs w:val="18"/>
              </w:rPr>
            </w:pPr>
            <w:r w:rsidRPr="007F3437">
              <w:rPr>
                <w:sz w:val="18"/>
                <w:szCs w:val="18"/>
              </w:rPr>
              <w:t>201</w:t>
            </w:r>
            <w:r w:rsidR="006B3A29">
              <w:rPr>
                <w:sz w:val="18"/>
                <w:szCs w:val="18"/>
              </w:rPr>
              <w:t>3</w:t>
            </w:r>
          </w:p>
        </w:tc>
        <w:tc>
          <w:tcPr>
            <w:tcW w:w="900" w:type="dxa"/>
          </w:tcPr>
          <w:p w:rsidR="008834C1" w:rsidRPr="007F3437" w:rsidRDefault="008834C1" w:rsidP="00943451">
            <w:pPr>
              <w:rPr>
                <w:sz w:val="18"/>
                <w:szCs w:val="18"/>
              </w:rPr>
            </w:pPr>
            <w:r w:rsidRPr="007F3437">
              <w:rPr>
                <w:sz w:val="18"/>
                <w:szCs w:val="18"/>
              </w:rPr>
              <w:t>50</w:t>
            </w:r>
          </w:p>
        </w:tc>
        <w:tc>
          <w:tcPr>
            <w:tcW w:w="630" w:type="dxa"/>
          </w:tcPr>
          <w:p w:rsidR="008834C1" w:rsidRPr="007F3437" w:rsidRDefault="008834C1" w:rsidP="00943451">
            <w:pPr>
              <w:rPr>
                <w:sz w:val="18"/>
                <w:szCs w:val="18"/>
              </w:rPr>
            </w:pPr>
            <w:r w:rsidRPr="007F3437">
              <w:rPr>
                <w:sz w:val="18"/>
                <w:szCs w:val="18"/>
              </w:rPr>
              <w:t>0</w:t>
            </w:r>
          </w:p>
        </w:tc>
        <w:tc>
          <w:tcPr>
            <w:tcW w:w="630" w:type="dxa"/>
          </w:tcPr>
          <w:p w:rsidR="008834C1" w:rsidRPr="00E31D81" w:rsidRDefault="008834C1" w:rsidP="00943451">
            <w:pPr>
              <w:rPr>
                <w:sz w:val="18"/>
                <w:szCs w:val="18"/>
              </w:rPr>
            </w:pPr>
            <w:r w:rsidRPr="00E31D81">
              <w:rPr>
                <w:sz w:val="18"/>
                <w:szCs w:val="18"/>
              </w:rPr>
              <w:t>0</w:t>
            </w:r>
          </w:p>
        </w:tc>
        <w:tc>
          <w:tcPr>
            <w:tcW w:w="617" w:type="dxa"/>
          </w:tcPr>
          <w:p w:rsidR="008834C1" w:rsidRPr="00E31D81" w:rsidRDefault="008834C1" w:rsidP="00943451">
            <w:pPr>
              <w:rPr>
                <w:sz w:val="18"/>
                <w:szCs w:val="18"/>
              </w:rPr>
            </w:pPr>
          </w:p>
        </w:tc>
        <w:tc>
          <w:tcPr>
            <w:tcW w:w="643" w:type="dxa"/>
          </w:tcPr>
          <w:p w:rsidR="008834C1" w:rsidRPr="00E31D81" w:rsidRDefault="008834C1" w:rsidP="00943451">
            <w:pPr>
              <w:rPr>
                <w:sz w:val="18"/>
                <w:szCs w:val="18"/>
              </w:rPr>
            </w:pPr>
          </w:p>
        </w:tc>
        <w:tc>
          <w:tcPr>
            <w:tcW w:w="720" w:type="dxa"/>
          </w:tcPr>
          <w:p w:rsidR="008834C1" w:rsidRPr="00E70515" w:rsidRDefault="008834C1" w:rsidP="00943451">
            <w:pPr>
              <w:rPr>
                <w:sz w:val="18"/>
                <w:szCs w:val="18"/>
              </w:rPr>
            </w:pPr>
          </w:p>
        </w:tc>
        <w:tc>
          <w:tcPr>
            <w:tcW w:w="720" w:type="dxa"/>
          </w:tcPr>
          <w:p w:rsidR="008834C1" w:rsidRPr="00E70515" w:rsidRDefault="008834C1" w:rsidP="00943451">
            <w:pPr>
              <w:rPr>
                <w:sz w:val="18"/>
                <w:szCs w:val="18"/>
              </w:rPr>
            </w:pPr>
          </w:p>
        </w:tc>
        <w:tc>
          <w:tcPr>
            <w:tcW w:w="720" w:type="dxa"/>
          </w:tcPr>
          <w:p w:rsidR="008834C1" w:rsidRPr="00E70515" w:rsidRDefault="008834C1" w:rsidP="00943451">
            <w:pPr>
              <w:rPr>
                <w:sz w:val="18"/>
                <w:szCs w:val="18"/>
              </w:rPr>
            </w:pPr>
          </w:p>
        </w:tc>
        <w:tc>
          <w:tcPr>
            <w:tcW w:w="756" w:type="dxa"/>
          </w:tcPr>
          <w:p w:rsidR="008834C1" w:rsidRPr="00E70515" w:rsidRDefault="008834C1" w:rsidP="00943451">
            <w:pPr>
              <w:rPr>
                <w:sz w:val="18"/>
                <w:szCs w:val="18"/>
              </w:rPr>
            </w:pPr>
          </w:p>
        </w:tc>
        <w:tc>
          <w:tcPr>
            <w:tcW w:w="710" w:type="dxa"/>
          </w:tcPr>
          <w:p w:rsidR="008834C1" w:rsidRPr="00E70515" w:rsidRDefault="008834C1" w:rsidP="00943451">
            <w:pPr>
              <w:rPr>
                <w:sz w:val="18"/>
                <w:szCs w:val="18"/>
              </w:rPr>
            </w:pPr>
          </w:p>
        </w:tc>
        <w:tc>
          <w:tcPr>
            <w:tcW w:w="708" w:type="dxa"/>
          </w:tcPr>
          <w:p w:rsidR="008834C1" w:rsidRPr="00E70515" w:rsidRDefault="008834C1" w:rsidP="00943451">
            <w:pPr>
              <w:rPr>
                <w:sz w:val="18"/>
                <w:szCs w:val="18"/>
              </w:rPr>
            </w:pPr>
          </w:p>
        </w:tc>
        <w:tc>
          <w:tcPr>
            <w:tcW w:w="1134" w:type="dxa"/>
          </w:tcPr>
          <w:p w:rsidR="008834C1" w:rsidRPr="00E70515" w:rsidRDefault="008834C1" w:rsidP="00943451">
            <w:pPr>
              <w:rPr>
                <w:sz w:val="18"/>
                <w:szCs w:val="18"/>
              </w:rPr>
            </w:pPr>
          </w:p>
        </w:tc>
      </w:tr>
      <w:tr w:rsidR="008834C1" w:rsidRPr="00F80C42" w:rsidTr="00396328">
        <w:tc>
          <w:tcPr>
            <w:tcW w:w="534" w:type="dxa"/>
          </w:tcPr>
          <w:p w:rsidR="008834C1" w:rsidRPr="00F80C42" w:rsidRDefault="008834C1" w:rsidP="00943451">
            <w:pPr>
              <w:rPr>
                <w:sz w:val="18"/>
              </w:rPr>
            </w:pPr>
            <w:r w:rsidRPr="00F80C42">
              <w:rPr>
                <w:sz w:val="18"/>
              </w:rPr>
              <w:t>6S4</w:t>
            </w:r>
          </w:p>
        </w:tc>
        <w:tc>
          <w:tcPr>
            <w:tcW w:w="2268" w:type="dxa"/>
          </w:tcPr>
          <w:p w:rsidR="008834C1" w:rsidRPr="00C87FC6" w:rsidRDefault="008834C1" w:rsidP="00943451">
            <w:pPr>
              <w:pStyle w:val="Default"/>
              <w:rPr>
                <w:rFonts w:asciiTheme="minorHAnsi" w:hAnsiTheme="minorHAnsi"/>
                <w:sz w:val="18"/>
                <w:szCs w:val="22"/>
                <w:lang w:val="ro-RO"/>
              </w:rPr>
            </w:pPr>
            <w:r w:rsidRPr="00C87FC6">
              <w:rPr>
                <w:rFonts w:asciiTheme="minorHAnsi" w:hAnsiTheme="minorHAnsi"/>
                <w:sz w:val="18"/>
                <w:szCs w:val="22"/>
                <w:lang w:val="ro-RO"/>
              </w:rPr>
              <w:t xml:space="preserve">Gradul de utilizare al SMIS 2014+ pentru îndeplinirea obligațiilor de raportare la nivel de PO către CE </w:t>
            </w:r>
          </w:p>
        </w:tc>
        <w:tc>
          <w:tcPr>
            <w:tcW w:w="512" w:type="dxa"/>
          </w:tcPr>
          <w:p w:rsidR="008834C1" w:rsidRPr="00F80C42" w:rsidRDefault="008834C1" w:rsidP="00943451">
            <w:pPr>
              <w:rPr>
                <w:sz w:val="18"/>
              </w:rPr>
            </w:pPr>
            <w:r w:rsidRPr="00F80C42">
              <w:rPr>
                <w:sz w:val="18"/>
              </w:rPr>
              <w:t>%</w:t>
            </w:r>
          </w:p>
        </w:tc>
        <w:tc>
          <w:tcPr>
            <w:tcW w:w="990" w:type="dxa"/>
          </w:tcPr>
          <w:p w:rsidR="008834C1" w:rsidRPr="00F80C42" w:rsidRDefault="008834C1" w:rsidP="00943451">
            <w:pPr>
              <w:rPr>
                <w:sz w:val="18"/>
              </w:rPr>
            </w:pPr>
            <w:r w:rsidRPr="00F80C42">
              <w:rPr>
                <w:sz w:val="18"/>
              </w:rPr>
              <w:t>N/A</w:t>
            </w:r>
          </w:p>
        </w:tc>
        <w:tc>
          <w:tcPr>
            <w:tcW w:w="900" w:type="dxa"/>
          </w:tcPr>
          <w:p w:rsidR="008834C1" w:rsidRPr="008E176E" w:rsidRDefault="008834C1" w:rsidP="00943451">
            <w:pPr>
              <w:rPr>
                <w:sz w:val="18"/>
              </w:rPr>
            </w:pPr>
            <w:r w:rsidRPr="00783B28">
              <w:rPr>
                <w:sz w:val="18"/>
              </w:rPr>
              <w:t>0</w:t>
            </w:r>
          </w:p>
        </w:tc>
        <w:tc>
          <w:tcPr>
            <w:tcW w:w="900" w:type="dxa"/>
          </w:tcPr>
          <w:p w:rsidR="008834C1" w:rsidRPr="007F3437" w:rsidRDefault="008834C1" w:rsidP="00943451">
            <w:pPr>
              <w:rPr>
                <w:sz w:val="18"/>
              </w:rPr>
            </w:pPr>
            <w:r w:rsidRPr="007F3437">
              <w:rPr>
                <w:sz w:val="18"/>
              </w:rPr>
              <w:t>201</w:t>
            </w:r>
            <w:r w:rsidR="006B3A29">
              <w:rPr>
                <w:sz w:val="18"/>
              </w:rPr>
              <w:t>4</w:t>
            </w:r>
          </w:p>
        </w:tc>
        <w:tc>
          <w:tcPr>
            <w:tcW w:w="900" w:type="dxa"/>
          </w:tcPr>
          <w:p w:rsidR="008834C1" w:rsidRPr="007F3437" w:rsidRDefault="00003289" w:rsidP="00943451">
            <w:pPr>
              <w:rPr>
                <w:sz w:val="18"/>
              </w:rPr>
            </w:pPr>
            <w:r>
              <w:rPr>
                <w:sz w:val="18"/>
              </w:rPr>
              <w:t>85</w:t>
            </w:r>
          </w:p>
        </w:tc>
        <w:tc>
          <w:tcPr>
            <w:tcW w:w="630" w:type="dxa"/>
          </w:tcPr>
          <w:p w:rsidR="008834C1" w:rsidRPr="00E31D81" w:rsidRDefault="008834C1" w:rsidP="00943451">
            <w:pPr>
              <w:rPr>
                <w:sz w:val="18"/>
              </w:rPr>
            </w:pPr>
            <w:r w:rsidRPr="00E31D81">
              <w:rPr>
                <w:sz w:val="18"/>
              </w:rPr>
              <w:t>0</w:t>
            </w:r>
          </w:p>
        </w:tc>
        <w:tc>
          <w:tcPr>
            <w:tcW w:w="630" w:type="dxa"/>
          </w:tcPr>
          <w:p w:rsidR="008834C1" w:rsidRPr="00E31D81" w:rsidRDefault="008834C1" w:rsidP="00943451">
            <w:pPr>
              <w:rPr>
                <w:sz w:val="18"/>
              </w:rPr>
            </w:pPr>
            <w:r w:rsidRPr="00E31D81">
              <w:rPr>
                <w:sz w:val="18"/>
              </w:rPr>
              <w:t>0</w:t>
            </w:r>
          </w:p>
        </w:tc>
        <w:tc>
          <w:tcPr>
            <w:tcW w:w="617" w:type="dxa"/>
          </w:tcPr>
          <w:p w:rsidR="008834C1" w:rsidRPr="00E31D81" w:rsidRDefault="008834C1" w:rsidP="00943451">
            <w:pPr>
              <w:rPr>
                <w:sz w:val="18"/>
              </w:rPr>
            </w:pPr>
          </w:p>
        </w:tc>
        <w:tc>
          <w:tcPr>
            <w:tcW w:w="643"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56" w:type="dxa"/>
          </w:tcPr>
          <w:p w:rsidR="008834C1" w:rsidRPr="00E70515" w:rsidRDefault="008834C1" w:rsidP="00943451">
            <w:pPr>
              <w:rPr>
                <w:sz w:val="18"/>
              </w:rPr>
            </w:pPr>
          </w:p>
        </w:tc>
        <w:tc>
          <w:tcPr>
            <w:tcW w:w="710" w:type="dxa"/>
          </w:tcPr>
          <w:p w:rsidR="008834C1" w:rsidRPr="00E70515" w:rsidRDefault="008834C1" w:rsidP="00943451">
            <w:pPr>
              <w:rPr>
                <w:sz w:val="18"/>
              </w:rPr>
            </w:pPr>
          </w:p>
        </w:tc>
        <w:tc>
          <w:tcPr>
            <w:tcW w:w="708" w:type="dxa"/>
          </w:tcPr>
          <w:p w:rsidR="008834C1" w:rsidRPr="00E70515" w:rsidRDefault="008834C1" w:rsidP="00943451">
            <w:pPr>
              <w:rPr>
                <w:sz w:val="18"/>
              </w:rPr>
            </w:pPr>
          </w:p>
        </w:tc>
        <w:tc>
          <w:tcPr>
            <w:tcW w:w="1134" w:type="dxa"/>
          </w:tcPr>
          <w:p w:rsidR="008834C1" w:rsidRPr="00E70515" w:rsidRDefault="008834C1" w:rsidP="00943451">
            <w:pPr>
              <w:rPr>
                <w:sz w:val="18"/>
              </w:rPr>
            </w:pPr>
          </w:p>
        </w:tc>
      </w:tr>
      <w:tr w:rsidR="008834C1" w:rsidRPr="00F80C42" w:rsidTr="00396328">
        <w:tc>
          <w:tcPr>
            <w:tcW w:w="534" w:type="dxa"/>
          </w:tcPr>
          <w:p w:rsidR="008834C1" w:rsidRPr="00F80C42" w:rsidRDefault="008834C1" w:rsidP="00943451">
            <w:pPr>
              <w:rPr>
                <w:sz w:val="18"/>
              </w:rPr>
            </w:pPr>
            <w:r w:rsidRPr="00F80C42">
              <w:rPr>
                <w:sz w:val="18"/>
              </w:rPr>
              <w:t>6S5</w:t>
            </w:r>
          </w:p>
        </w:tc>
        <w:tc>
          <w:tcPr>
            <w:tcW w:w="2268" w:type="dxa"/>
          </w:tcPr>
          <w:p w:rsidR="008834C1" w:rsidRPr="00C87FC6" w:rsidRDefault="008834C1" w:rsidP="00943451">
            <w:pPr>
              <w:pStyle w:val="Default"/>
              <w:rPr>
                <w:rFonts w:asciiTheme="minorHAnsi" w:hAnsiTheme="minorHAnsi"/>
                <w:sz w:val="18"/>
                <w:szCs w:val="22"/>
                <w:lang w:val="ro-RO"/>
              </w:rPr>
            </w:pPr>
            <w:r w:rsidRPr="00C87FC6">
              <w:rPr>
                <w:rFonts w:asciiTheme="minorHAnsi" w:hAnsiTheme="minorHAnsi"/>
                <w:sz w:val="18"/>
                <w:szCs w:val="22"/>
                <w:lang w:val="ro-RO"/>
              </w:rPr>
              <w:t xml:space="preserve">Punctajul mediu </w:t>
            </w:r>
            <w:proofErr w:type="spellStart"/>
            <w:r w:rsidRPr="00C87FC6">
              <w:rPr>
                <w:rFonts w:asciiTheme="minorHAnsi" w:hAnsiTheme="minorHAnsi"/>
                <w:sz w:val="18"/>
                <w:szCs w:val="22"/>
                <w:lang w:val="ro-RO"/>
              </w:rPr>
              <w:t>obţinut</w:t>
            </w:r>
            <w:proofErr w:type="spellEnd"/>
            <w:r w:rsidRPr="00C87FC6">
              <w:rPr>
                <w:rFonts w:asciiTheme="minorHAnsi" w:hAnsiTheme="minorHAnsi"/>
                <w:sz w:val="18"/>
                <w:szCs w:val="22"/>
                <w:lang w:val="ro-RO"/>
              </w:rPr>
              <w:t xml:space="preserve"> în urma evaluării personalului angajat în sistemul FESI </w:t>
            </w:r>
          </w:p>
        </w:tc>
        <w:tc>
          <w:tcPr>
            <w:tcW w:w="512" w:type="dxa"/>
          </w:tcPr>
          <w:p w:rsidR="008834C1" w:rsidRPr="00F80C42" w:rsidRDefault="008834C1" w:rsidP="00943451">
            <w:pPr>
              <w:rPr>
                <w:sz w:val="18"/>
              </w:rPr>
            </w:pPr>
            <w:r w:rsidRPr="00F80C42">
              <w:rPr>
                <w:sz w:val="18"/>
              </w:rPr>
              <w:t>Nr.</w:t>
            </w:r>
          </w:p>
        </w:tc>
        <w:tc>
          <w:tcPr>
            <w:tcW w:w="990" w:type="dxa"/>
          </w:tcPr>
          <w:p w:rsidR="008834C1" w:rsidRPr="00F80C42" w:rsidRDefault="008834C1" w:rsidP="00943451">
            <w:pPr>
              <w:rPr>
                <w:sz w:val="18"/>
              </w:rPr>
            </w:pPr>
            <w:r w:rsidRPr="00F80C42">
              <w:rPr>
                <w:sz w:val="18"/>
              </w:rPr>
              <w:t>N/A</w:t>
            </w:r>
          </w:p>
        </w:tc>
        <w:tc>
          <w:tcPr>
            <w:tcW w:w="900" w:type="dxa"/>
          </w:tcPr>
          <w:p w:rsidR="008834C1" w:rsidRPr="008E176E" w:rsidRDefault="008834C1" w:rsidP="00943451">
            <w:pPr>
              <w:rPr>
                <w:sz w:val="18"/>
              </w:rPr>
            </w:pPr>
            <w:r w:rsidRPr="00783B28">
              <w:rPr>
                <w:sz w:val="18"/>
              </w:rPr>
              <w:t>0</w:t>
            </w:r>
          </w:p>
        </w:tc>
        <w:tc>
          <w:tcPr>
            <w:tcW w:w="900" w:type="dxa"/>
          </w:tcPr>
          <w:p w:rsidR="008834C1" w:rsidRPr="007F3437" w:rsidRDefault="008834C1" w:rsidP="00943451">
            <w:pPr>
              <w:rPr>
                <w:sz w:val="18"/>
              </w:rPr>
            </w:pPr>
            <w:r w:rsidRPr="007F3437">
              <w:rPr>
                <w:sz w:val="18"/>
              </w:rPr>
              <w:t>201</w:t>
            </w:r>
            <w:r w:rsidR="006B3A29">
              <w:rPr>
                <w:sz w:val="18"/>
              </w:rPr>
              <w:t>4</w:t>
            </w:r>
          </w:p>
        </w:tc>
        <w:tc>
          <w:tcPr>
            <w:tcW w:w="900" w:type="dxa"/>
          </w:tcPr>
          <w:p w:rsidR="008834C1" w:rsidRPr="007F3437" w:rsidRDefault="008834C1" w:rsidP="00943451">
            <w:pPr>
              <w:rPr>
                <w:sz w:val="18"/>
              </w:rPr>
            </w:pPr>
            <w:r w:rsidRPr="007F3437">
              <w:rPr>
                <w:sz w:val="18"/>
              </w:rPr>
              <w:t>3,5</w:t>
            </w:r>
          </w:p>
        </w:tc>
        <w:tc>
          <w:tcPr>
            <w:tcW w:w="630" w:type="dxa"/>
          </w:tcPr>
          <w:p w:rsidR="008834C1" w:rsidRPr="00E31D81" w:rsidRDefault="008834C1" w:rsidP="00943451">
            <w:pPr>
              <w:rPr>
                <w:sz w:val="18"/>
              </w:rPr>
            </w:pPr>
            <w:r w:rsidRPr="00E31D81">
              <w:rPr>
                <w:sz w:val="18"/>
              </w:rPr>
              <w:t>0</w:t>
            </w:r>
          </w:p>
        </w:tc>
        <w:tc>
          <w:tcPr>
            <w:tcW w:w="630" w:type="dxa"/>
          </w:tcPr>
          <w:p w:rsidR="008834C1" w:rsidRPr="00E31D81" w:rsidRDefault="008834C1" w:rsidP="00943451">
            <w:pPr>
              <w:rPr>
                <w:sz w:val="18"/>
              </w:rPr>
            </w:pPr>
            <w:r w:rsidRPr="00E31D81">
              <w:rPr>
                <w:sz w:val="18"/>
              </w:rPr>
              <w:t>0</w:t>
            </w:r>
          </w:p>
        </w:tc>
        <w:tc>
          <w:tcPr>
            <w:tcW w:w="617" w:type="dxa"/>
          </w:tcPr>
          <w:p w:rsidR="008834C1" w:rsidRPr="00E31D81" w:rsidRDefault="008834C1" w:rsidP="00943451">
            <w:pPr>
              <w:rPr>
                <w:sz w:val="18"/>
              </w:rPr>
            </w:pPr>
          </w:p>
        </w:tc>
        <w:tc>
          <w:tcPr>
            <w:tcW w:w="643"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56" w:type="dxa"/>
          </w:tcPr>
          <w:p w:rsidR="008834C1" w:rsidRPr="00E70515" w:rsidRDefault="008834C1" w:rsidP="00943451">
            <w:pPr>
              <w:rPr>
                <w:sz w:val="18"/>
              </w:rPr>
            </w:pPr>
          </w:p>
        </w:tc>
        <w:tc>
          <w:tcPr>
            <w:tcW w:w="710" w:type="dxa"/>
          </w:tcPr>
          <w:p w:rsidR="008834C1" w:rsidRPr="00E70515" w:rsidRDefault="008834C1" w:rsidP="00943451">
            <w:pPr>
              <w:rPr>
                <w:sz w:val="18"/>
              </w:rPr>
            </w:pPr>
          </w:p>
        </w:tc>
        <w:tc>
          <w:tcPr>
            <w:tcW w:w="708" w:type="dxa"/>
          </w:tcPr>
          <w:p w:rsidR="008834C1" w:rsidRPr="00E70515" w:rsidRDefault="008834C1" w:rsidP="00943451">
            <w:pPr>
              <w:rPr>
                <w:sz w:val="18"/>
              </w:rPr>
            </w:pPr>
          </w:p>
        </w:tc>
        <w:tc>
          <w:tcPr>
            <w:tcW w:w="1134" w:type="dxa"/>
          </w:tcPr>
          <w:p w:rsidR="008834C1" w:rsidRPr="00E70515" w:rsidRDefault="008834C1" w:rsidP="00943451">
            <w:pPr>
              <w:rPr>
                <w:sz w:val="18"/>
              </w:rPr>
            </w:pPr>
          </w:p>
        </w:tc>
      </w:tr>
      <w:tr w:rsidR="008834C1" w:rsidRPr="00F80C42" w:rsidTr="00396328">
        <w:tc>
          <w:tcPr>
            <w:tcW w:w="534" w:type="dxa"/>
          </w:tcPr>
          <w:p w:rsidR="008834C1" w:rsidRPr="00F80C42" w:rsidRDefault="008834C1" w:rsidP="00943451">
            <w:pPr>
              <w:rPr>
                <w:sz w:val="18"/>
              </w:rPr>
            </w:pPr>
            <w:r w:rsidRPr="00F80C42">
              <w:rPr>
                <w:sz w:val="18"/>
              </w:rPr>
              <w:t>6S6</w:t>
            </w:r>
          </w:p>
        </w:tc>
        <w:tc>
          <w:tcPr>
            <w:tcW w:w="2268" w:type="dxa"/>
          </w:tcPr>
          <w:p w:rsidR="008834C1" w:rsidRPr="00C87FC6" w:rsidRDefault="008834C1" w:rsidP="00943451">
            <w:pPr>
              <w:pStyle w:val="Default"/>
              <w:rPr>
                <w:rFonts w:asciiTheme="minorHAnsi" w:hAnsiTheme="minorHAnsi"/>
                <w:sz w:val="18"/>
                <w:szCs w:val="22"/>
                <w:lang w:val="ro-RO"/>
              </w:rPr>
            </w:pPr>
            <w:r w:rsidRPr="00C87FC6">
              <w:rPr>
                <w:rFonts w:asciiTheme="minorHAnsi" w:hAnsiTheme="minorHAnsi"/>
                <w:sz w:val="18"/>
                <w:szCs w:val="22"/>
                <w:lang w:val="ro-RO"/>
              </w:rPr>
              <w:t xml:space="preserve">Rata medie anuală de fluctuație a personalului din sistemul FESI </w:t>
            </w:r>
          </w:p>
        </w:tc>
        <w:tc>
          <w:tcPr>
            <w:tcW w:w="512" w:type="dxa"/>
          </w:tcPr>
          <w:p w:rsidR="008834C1" w:rsidRPr="00F80C42" w:rsidRDefault="008834C1" w:rsidP="00943451">
            <w:pPr>
              <w:rPr>
                <w:sz w:val="18"/>
              </w:rPr>
            </w:pPr>
            <w:r w:rsidRPr="00F80C42">
              <w:rPr>
                <w:sz w:val="18"/>
              </w:rPr>
              <w:t>%</w:t>
            </w:r>
          </w:p>
        </w:tc>
        <w:tc>
          <w:tcPr>
            <w:tcW w:w="990" w:type="dxa"/>
          </w:tcPr>
          <w:p w:rsidR="008834C1" w:rsidRPr="00F80C42" w:rsidRDefault="008834C1" w:rsidP="00943451">
            <w:pPr>
              <w:rPr>
                <w:sz w:val="18"/>
              </w:rPr>
            </w:pPr>
            <w:r w:rsidRPr="00F80C42">
              <w:rPr>
                <w:sz w:val="18"/>
              </w:rPr>
              <w:t>N/A</w:t>
            </w:r>
          </w:p>
        </w:tc>
        <w:tc>
          <w:tcPr>
            <w:tcW w:w="900" w:type="dxa"/>
          </w:tcPr>
          <w:p w:rsidR="008834C1" w:rsidRPr="008E176E" w:rsidRDefault="008834C1" w:rsidP="00943451">
            <w:pPr>
              <w:rPr>
                <w:sz w:val="18"/>
              </w:rPr>
            </w:pPr>
            <w:r w:rsidRPr="00783B28">
              <w:rPr>
                <w:sz w:val="18"/>
              </w:rPr>
              <w:t>13</w:t>
            </w:r>
          </w:p>
        </w:tc>
        <w:tc>
          <w:tcPr>
            <w:tcW w:w="900" w:type="dxa"/>
          </w:tcPr>
          <w:p w:rsidR="008834C1" w:rsidRPr="007F3437" w:rsidRDefault="008834C1" w:rsidP="00943451">
            <w:pPr>
              <w:rPr>
                <w:sz w:val="18"/>
              </w:rPr>
            </w:pPr>
            <w:r w:rsidRPr="007F3437">
              <w:rPr>
                <w:sz w:val="18"/>
              </w:rPr>
              <w:t>201</w:t>
            </w:r>
            <w:r w:rsidR="006B3A29">
              <w:rPr>
                <w:sz w:val="18"/>
              </w:rPr>
              <w:t>3</w:t>
            </w:r>
          </w:p>
        </w:tc>
        <w:tc>
          <w:tcPr>
            <w:tcW w:w="900" w:type="dxa"/>
          </w:tcPr>
          <w:p w:rsidR="008834C1" w:rsidRPr="00E31D81" w:rsidRDefault="008834C1" w:rsidP="00943451">
            <w:pPr>
              <w:rPr>
                <w:sz w:val="18"/>
              </w:rPr>
            </w:pPr>
            <w:r w:rsidRPr="007F3437">
              <w:rPr>
                <w:sz w:val="18"/>
              </w:rPr>
              <w:t>≤10</w:t>
            </w:r>
          </w:p>
        </w:tc>
        <w:tc>
          <w:tcPr>
            <w:tcW w:w="630" w:type="dxa"/>
          </w:tcPr>
          <w:p w:rsidR="008834C1" w:rsidRPr="00E31D81" w:rsidRDefault="008834C1" w:rsidP="00943451">
            <w:pPr>
              <w:rPr>
                <w:sz w:val="18"/>
              </w:rPr>
            </w:pPr>
            <w:r w:rsidRPr="00E31D81">
              <w:rPr>
                <w:sz w:val="18"/>
              </w:rPr>
              <w:t>0</w:t>
            </w:r>
          </w:p>
        </w:tc>
        <w:tc>
          <w:tcPr>
            <w:tcW w:w="630" w:type="dxa"/>
          </w:tcPr>
          <w:p w:rsidR="008834C1" w:rsidRPr="00E31D81" w:rsidRDefault="008834C1" w:rsidP="00943451">
            <w:pPr>
              <w:rPr>
                <w:sz w:val="18"/>
              </w:rPr>
            </w:pPr>
            <w:r w:rsidRPr="00E31D81">
              <w:rPr>
                <w:sz w:val="18"/>
              </w:rPr>
              <w:t>0</w:t>
            </w:r>
          </w:p>
        </w:tc>
        <w:tc>
          <w:tcPr>
            <w:tcW w:w="617" w:type="dxa"/>
          </w:tcPr>
          <w:p w:rsidR="008834C1" w:rsidRPr="00E70515" w:rsidRDefault="008834C1" w:rsidP="00943451">
            <w:pPr>
              <w:rPr>
                <w:sz w:val="18"/>
              </w:rPr>
            </w:pPr>
          </w:p>
        </w:tc>
        <w:tc>
          <w:tcPr>
            <w:tcW w:w="643"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20" w:type="dxa"/>
          </w:tcPr>
          <w:p w:rsidR="008834C1" w:rsidRPr="00E70515" w:rsidRDefault="008834C1" w:rsidP="00943451">
            <w:pPr>
              <w:rPr>
                <w:sz w:val="18"/>
              </w:rPr>
            </w:pPr>
          </w:p>
        </w:tc>
        <w:tc>
          <w:tcPr>
            <w:tcW w:w="756" w:type="dxa"/>
          </w:tcPr>
          <w:p w:rsidR="008834C1" w:rsidRPr="00E70515" w:rsidRDefault="008834C1" w:rsidP="00943451">
            <w:pPr>
              <w:rPr>
                <w:sz w:val="18"/>
              </w:rPr>
            </w:pPr>
          </w:p>
        </w:tc>
        <w:tc>
          <w:tcPr>
            <w:tcW w:w="710" w:type="dxa"/>
          </w:tcPr>
          <w:p w:rsidR="008834C1" w:rsidRPr="00E70515" w:rsidRDefault="008834C1" w:rsidP="00943451">
            <w:pPr>
              <w:rPr>
                <w:sz w:val="18"/>
              </w:rPr>
            </w:pPr>
          </w:p>
        </w:tc>
        <w:tc>
          <w:tcPr>
            <w:tcW w:w="708" w:type="dxa"/>
          </w:tcPr>
          <w:p w:rsidR="008834C1" w:rsidRPr="00E70515" w:rsidRDefault="008834C1" w:rsidP="00943451">
            <w:pPr>
              <w:rPr>
                <w:sz w:val="18"/>
              </w:rPr>
            </w:pPr>
          </w:p>
        </w:tc>
        <w:tc>
          <w:tcPr>
            <w:tcW w:w="1134" w:type="dxa"/>
          </w:tcPr>
          <w:p w:rsidR="008834C1" w:rsidRPr="00E70515" w:rsidRDefault="008834C1" w:rsidP="00943451">
            <w:pPr>
              <w:rPr>
                <w:sz w:val="18"/>
              </w:rPr>
            </w:pPr>
          </w:p>
        </w:tc>
      </w:tr>
    </w:tbl>
    <w:p w:rsidR="00396328" w:rsidRDefault="00396328" w:rsidP="008834C1">
      <w:pPr>
        <w:pStyle w:val="ListParagraph"/>
        <w:rPr>
          <w:b/>
        </w:rPr>
      </w:pPr>
    </w:p>
    <w:p w:rsidR="00235973" w:rsidRDefault="00235973" w:rsidP="00235973">
      <w:pPr>
        <w:pStyle w:val="ListParagraph"/>
        <w:rPr>
          <w:b/>
        </w:rPr>
      </w:pPr>
      <w:r w:rsidRPr="00235973">
        <w:rPr>
          <w:b/>
        </w:rPr>
        <w:t>Tabelul 2A Indicatorii de rezultat comuni pentru FSE (pe axă prioritară, prioritate de investiții și categorie de regiuni). Datele privind toți indicatorii de rezultat comuni pentru FSE (cu și fără valori-țintă) trebuie să fi defalcate pe gen. Pentru o axă prioritară pentru asistență tehnică, se raportează numai acei indicatori comuni pentru care a fost stabilită o valoare-țintă</w:t>
      </w:r>
    </w:p>
    <w:p w:rsidR="00235973" w:rsidRDefault="00235973" w:rsidP="00235973">
      <w:pPr>
        <w:pStyle w:val="ListParagraph"/>
        <w:rPr>
          <w:b/>
        </w:rPr>
      </w:pPr>
    </w:p>
    <w:p w:rsidR="00235973" w:rsidRPr="00235973" w:rsidRDefault="00235973" w:rsidP="00235973">
      <w:pPr>
        <w:pStyle w:val="ListParagraph"/>
      </w:pPr>
      <w:r w:rsidRPr="00235973">
        <w:t>Nu este cazul pentru POAT.</w:t>
      </w:r>
    </w:p>
    <w:p w:rsidR="00235973" w:rsidRDefault="00235973" w:rsidP="00235973">
      <w:pPr>
        <w:pStyle w:val="ListParagraph"/>
        <w:rPr>
          <w:b/>
        </w:rPr>
      </w:pPr>
    </w:p>
    <w:p w:rsidR="00235973" w:rsidRDefault="00235973" w:rsidP="00235973">
      <w:pPr>
        <w:pStyle w:val="ListParagraph"/>
        <w:rPr>
          <w:b/>
        </w:rPr>
      </w:pPr>
      <w:r w:rsidRPr="00235973">
        <w:rPr>
          <w:b/>
        </w:rPr>
        <w:t>Tabelul 2B Indicatori de rezultat pentru YEI pe axă prioritară sau parte a unei axe prioritare</w:t>
      </w:r>
    </w:p>
    <w:p w:rsidR="00235973" w:rsidRDefault="00235973" w:rsidP="00235973">
      <w:pPr>
        <w:pStyle w:val="ListParagraph"/>
        <w:rPr>
          <w:b/>
        </w:rPr>
      </w:pPr>
    </w:p>
    <w:p w:rsidR="00396328" w:rsidRDefault="00235973" w:rsidP="00235973">
      <w:pPr>
        <w:pStyle w:val="ListParagraph"/>
        <w:rPr>
          <w:b/>
        </w:rPr>
      </w:pPr>
      <w:r>
        <w:t>Nu este cazul pentru POAT.</w:t>
      </w:r>
      <w:r w:rsidR="00396328">
        <w:rPr>
          <w:b/>
        </w:rPr>
        <w:br w:type="page"/>
      </w:r>
    </w:p>
    <w:p w:rsidR="00235973" w:rsidRDefault="00235973" w:rsidP="008834C1">
      <w:pPr>
        <w:pStyle w:val="ListParagraph"/>
        <w:rPr>
          <w:b/>
        </w:rPr>
      </w:pPr>
      <w:r w:rsidRPr="00235973">
        <w:rPr>
          <w:b/>
        </w:rPr>
        <w:lastRenderedPageBreak/>
        <w:t>Tabelul 2C Indicatori de rezultat specifici programului pentru FSE (pe axă prioritară, prioritate de investiții și categorie de regiune, după caz) se aplică, de asemenea, în cazul axelor prioritare pentru asistență tehnică.</w:t>
      </w:r>
    </w:p>
    <w:p w:rsidR="00235973" w:rsidRDefault="00235973" w:rsidP="00235973">
      <w:pPr>
        <w:pStyle w:val="ListParagraph"/>
        <w:rPr>
          <w:b/>
        </w:rPr>
      </w:pPr>
    </w:p>
    <w:p w:rsidR="00235973" w:rsidRPr="00235973" w:rsidRDefault="00235973" w:rsidP="00235973">
      <w:pPr>
        <w:pStyle w:val="ListParagraph"/>
      </w:pPr>
      <w:r w:rsidRPr="00235973">
        <w:t>Nu este cazul pentru POAT.</w:t>
      </w:r>
    </w:p>
    <w:p w:rsidR="00235973" w:rsidRDefault="00235973" w:rsidP="00235973">
      <w:pPr>
        <w:pStyle w:val="ListParagraph"/>
        <w:rPr>
          <w:b/>
        </w:rPr>
      </w:pPr>
    </w:p>
    <w:p w:rsidR="008834C1" w:rsidRPr="00F80C42" w:rsidRDefault="008834C1" w:rsidP="008834C1">
      <w:pPr>
        <w:pStyle w:val="ListParagraph"/>
        <w:rPr>
          <w:b/>
        </w:rPr>
      </w:pPr>
      <w:r w:rsidRPr="00F80C42">
        <w:rPr>
          <w:b/>
        </w:rPr>
        <w:t xml:space="preserve">Tabelul </w:t>
      </w:r>
      <w:r w:rsidR="00ED6E21" w:rsidRPr="00C87FC6">
        <w:rPr>
          <w:b/>
        </w:rPr>
        <w:t>3A</w:t>
      </w:r>
    </w:p>
    <w:p w:rsidR="008834C1" w:rsidRPr="00F80C42" w:rsidRDefault="008834C1" w:rsidP="008834C1">
      <w:pPr>
        <w:pStyle w:val="ListParagraph"/>
        <w:rPr>
          <w:b/>
        </w:rPr>
      </w:pPr>
      <w:r w:rsidRPr="00F80C42">
        <w:rPr>
          <w:b/>
        </w:rPr>
        <w:t>Indicatori de realizare comuni și specifici programului pentru FEDR</w:t>
      </w:r>
    </w:p>
    <w:tbl>
      <w:tblPr>
        <w:tblStyle w:val="TableGrid"/>
        <w:tblW w:w="15080" w:type="dxa"/>
        <w:tblLayout w:type="fixed"/>
        <w:tblLook w:val="04A0" w:firstRow="1" w:lastRow="0" w:firstColumn="1" w:lastColumn="0" w:noHBand="0" w:noVBand="1"/>
      </w:tblPr>
      <w:tblGrid>
        <w:gridCol w:w="2178"/>
        <w:gridCol w:w="482"/>
        <w:gridCol w:w="1800"/>
        <w:gridCol w:w="810"/>
        <w:gridCol w:w="630"/>
        <w:gridCol w:w="990"/>
        <w:gridCol w:w="990"/>
        <w:gridCol w:w="568"/>
        <w:gridCol w:w="630"/>
        <w:gridCol w:w="630"/>
        <w:gridCol w:w="630"/>
        <w:gridCol w:w="630"/>
        <w:gridCol w:w="602"/>
        <w:gridCol w:w="630"/>
        <w:gridCol w:w="630"/>
        <w:gridCol w:w="630"/>
        <w:gridCol w:w="630"/>
        <w:gridCol w:w="990"/>
      </w:tblGrid>
      <w:tr w:rsidR="00271D01" w:rsidRPr="00F80C42" w:rsidTr="00F50D8B">
        <w:trPr>
          <w:tblHeader/>
        </w:trPr>
        <w:tc>
          <w:tcPr>
            <w:tcW w:w="2178" w:type="dxa"/>
          </w:tcPr>
          <w:p w:rsidR="00454BCE" w:rsidRPr="00F80C42" w:rsidRDefault="00454BCE" w:rsidP="00943451">
            <w:pPr>
              <w:rPr>
                <w:b/>
                <w:sz w:val="18"/>
                <w:szCs w:val="18"/>
              </w:rPr>
            </w:pPr>
          </w:p>
        </w:tc>
        <w:tc>
          <w:tcPr>
            <w:tcW w:w="482" w:type="dxa"/>
          </w:tcPr>
          <w:p w:rsidR="00454BCE" w:rsidRPr="00F80C42" w:rsidRDefault="00454BCE" w:rsidP="00F50D8B">
            <w:pPr>
              <w:ind w:right="-108"/>
              <w:rPr>
                <w:b/>
                <w:sz w:val="18"/>
                <w:szCs w:val="18"/>
              </w:rPr>
            </w:pPr>
            <w:r w:rsidRPr="00F80C42">
              <w:rPr>
                <w:b/>
                <w:sz w:val="18"/>
                <w:szCs w:val="18"/>
              </w:rPr>
              <w:t>ID</w:t>
            </w:r>
          </w:p>
        </w:tc>
        <w:tc>
          <w:tcPr>
            <w:tcW w:w="1800" w:type="dxa"/>
          </w:tcPr>
          <w:p w:rsidR="00454BCE" w:rsidRPr="00F80C42" w:rsidRDefault="00454BCE" w:rsidP="00943451">
            <w:pPr>
              <w:rPr>
                <w:b/>
                <w:sz w:val="18"/>
                <w:szCs w:val="18"/>
              </w:rPr>
            </w:pPr>
            <w:r w:rsidRPr="00F80C42">
              <w:rPr>
                <w:b/>
                <w:sz w:val="18"/>
                <w:szCs w:val="18"/>
              </w:rPr>
              <w:t>Indicator</w:t>
            </w:r>
          </w:p>
        </w:tc>
        <w:tc>
          <w:tcPr>
            <w:tcW w:w="810" w:type="dxa"/>
          </w:tcPr>
          <w:p w:rsidR="00454BCE" w:rsidRPr="00F35F4B" w:rsidRDefault="00454BCE" w:rsidP="00F35F4B">
            <w:pPr>
              <w:rPr>
                <w:b/>
                <w:sz w:val="18"/>
                <w:szCs w:val="18"/>
              </w:rPr>
            </w:pPr>
            <w:r w:rsidRPr="00F80C42">
              <w:rPr>
                <w:b/>
                <w:sz w:val="18"/>
                <w:szCs w:val="18"/>
              </w:rPr>
              <w:t>U</w:t>
            </w:r>
            <w:r>
              <w:rPr>
                <w:b/>
                <w:sz w:val="18"/>
                <w:szCs w:val="18"/>
              </w:rPr>
              <w:t>nitate de măsură</w:t>
            </w:r>
          </w:p>
        </w:tc>
        <w:tc>
          <w:tcPr>
            <w:tcW w:w="630" w:type="dxa"/>
            <w:vAlign w:val="center"/>
          </w:tcPr>
          <w:p w:rsidR="00454BCE" w:rsidRPr="00F35F4B" w:rsidRDefault="00454BCE" w:rsidP="00943451">
            <w:pPr>
              <w:jc w:val="center"/>
              <w:rPr>
                <w:b/>
                <w:sz w:val="18"/>
                <w:szCs w:val="18"/>
              </w:rPr>
            </w:pPr>
            <w:r>
              <w:rPr>
                <w:b/>
                <w:sz w:val="18"/>
                <w:szCs w:val="18"/>
              </w:rPr>
              <w:t>Fond</w:t>
            </w:r>
          </w:p>
        </w:tc>
        <w:tc>
          <w:tcPr>
            <w:tcW w:w="990" w:type="dxa"/>
          </w:tcPr>
          <w:p w:rsidR="00454BCE" w:rsidRPr="00F35F4B" w:rsidRDefault="00454BCE" w:rsidP="00943451">
            <w:pPr>
              <w:rPr>
                <w:b/>
                <w:sz w:val="18"/>
                <w:szCs w:val="18"/>
              </w:rPr>
            </w:pPr>
            <w:r w:rsidRPr="00F35F4B">
              <w:rPr>
                <w:b/>
                <w:sz w:val="18"/>
                <w:szCs w:val="18"/>
              </w:rPr>
              <w:t xml:space="preserve">Categorie de regiuni </w:t>
            </w:r>
          </w:p>
        </w:tc>
        <w:tc>
          <w:tcPr>
            <w:tcW w:w="990" w:type="dxa"/>
          </w:tcPr>
          <w:p w:rsidR="00454BCE" w:rsidRPr="00F80C42" w:rsidRDefault="00454BCE" w:rsidP="00943451">
            <w:pPr>
              <w:rPr>
                <w:b/>
                <w:sz w:val="18"/>
                <w:szCs w:val="18"/>
              </w:rPr>
            </w:pPr>
            <w:r w:rsidRPr="00F80C42">
              <w:rPr>
                <w:b/>
                <w:sz w:val="18"/>
                <w:szCs w:val="18"/>
              </w:rPr>
              <w:t>Valoarea-țintă (2023)</w:t>
            </w:r>
          </w:p>
        </w:tc>
        <w:tc>
          <w:tcPr>
            <w:tcW w:w="568" w:type="dxa"/>
          </w:tcPr>
          <w:p w:rsidR="00454BCE" w:rsidRPr="00F35F4B" w:rsidRDefault="00454BCE" w:rsidP="00F50D8B">
            <w:pPr>
              <w:ind w:right="-125"/>
              <w:rPr>
                <w:b/>
                <w:sz w:val="18"/>
                <w:szCs w:val="18"/>
              </w:rPr>
            </w:pPr>
            <w:r w:rsidRPr="00F35F4B">
              <w:rPr>
                <w:b/>
                <w:sz w:val="18"/>
                <w:szCs w:val="18"/>
              </w:rPr>
              <w:t>2014</w:t>
            </w:r>
          </w:p>
        </w:tc>
        <w:tc>
          <w:tcPr>
            <w:tcW w:w="630" w:type="dxa"/>
          </w:tcPr>
          <w:p w:rsidR="00454BCE" w:rsidRPr="00F35F4B" w:rsidRDefault="00454BCE" w:rsidP="00943451">
            <w:pPr>
              <w:rPr>
                <w:b/>
                <w:sz w:val="18"/>
                <w:szCs w:val="18"/>
              </w:rPr>
            </w:pPr>
            <w:r w:rsidRPr="00F35F4B">
              <w:rPr>
                <w:b/>
                <w:sz w:val="18"/>
                <w:szCs w:val="18"/>
              </w:rPr>
              <w:t>2015</w:t>
            </w:r>
          </w:p>
        </w:tc>
        <w:tc>
          <w:tcPr>
            <w:tcW w:w="630" w:type="dxa"/>
          </w:tcPr>
          <w:p w:rsidR="00454BCE" w:rsidRPr="00783B28" w:rsidRDefault="00454BCE" w:rsidP="00943451">
            <w:pPr>
              <w:rPr>
                <w:b/>
                <w:sz w:val="18"/>
                <w:szCs w:val="18"/>
              </w:rPr>
            </w:pPr>
            <w:r w:rsidRPr="00783B28">
              <w:rPr>
                <w:b/>
                <w:sz w:val="18"/>
                <w:szCs w:val="18"/>
              </w:rPr>
              <w:t>2016</w:t>
            </w:r>
          </w:p>
        </w:tc>
        <w:tc>
          <w:tcPr>
            <w:tcW w:w="630" w:type="dxa"/>
          </w:tcPr>
          <w:p w:rsidR="00454BCE" w:rsidRPr="007F3437" w:rsidRDefault="00454BCE" w:rsidP="00943451">
            <w:pPr>
              <w:rPr>
                <w:b/>
                <w:sz w:val="18"/>
                <w:szCs w:val="18"/>
              </w:rPr>
            </w:pPr>
            <w:r w:rsidRPr="007F3437">
              <w:rPr>
                <w:b/>
                <w:sz w:val="18"/>
                <w:szCs w:val="18"/>
              </w:rPr>
              <w:t>2017</w:t>
            </w:r>
          </w:p>
        </w:tc>
        <w:tc>
          <w:tcPr>
            <w:tcW w:w="630" w:type="dxa"/>
          </w:tcPr>
          <w:p w:rsidR="00454BCE" w:rsidRPr="007F3437" w:rsidRDefault="00454BCE" w:rsidP="00943451">
            <w:pPr>
              <w:rPr>
                <w:b/>
                <w:sz w:val="18"/>
                <w:szCs w:val="18"/>
              </w:rPr>
            </w:pPr>
            <w:r w:rsidRPr="007F3437">
              <w:rPr>
                <w:b/>
                <w:sz w:val="18"/>
                <w:szCs w:val="18"/>
              </w:rPr>
              <w:t>2018</w:t>
            </w:r>
          </w:p>
        </w:tc>
        <w:tc>
          <w:tcPr>
            <w:tcW w:w="602" w:type="dxa"/>
          </w:tcPr>
          <w:p w:rsidR="00454BCE" w:rsidRPr="007F3437" w:rsidRDefault="00454BCE" w:rsidP="00943451">
            <w:pPr>
              <w:rPr>
                <w:b/>
                <w:sz w:val="18"/>
                <w:szCs w:val="18"/>
              </w:rPr>
            </w:pPr>
            <w:r w:rsidRPr="007F3437">
              <w:rPr>
                <w:b/>
                <w:sz w:val="18"/>
                <w:szCs w:val="18"/>
              </w:rPr>
              <w:t>2019</w:t>
            </w:r>
          </w:p>
        </w:tc>
        <w:tc>
          <w:tcPr>
            <w:tcW w:w="630" w:type="dxa"/>
          </w:tcPr>
          <w:p w:rsidR="00454BCE" w:rsidRPr="00E31D81" w:rsidRDefault="00454BCE" w:rsidP="00943451">
            <w:pPr>
              <w:rPr>
                <w:b/>
                <w:sz w:val="18"/>
                <w:szCs w:val="18"/>
              </w:rPr>
            </w:pPr>
            <w:r w:rsidRPr="00E31D81">
              <w:rPr>
                <w:b/>
                <w:sz w:val="18"/>
                <w:szCs w:val="18"/>
              </w:rPr>
              <w:t>2020</w:t>
            </w:r>
          </w:p>
        </w:tc>
        <w:tc>
          <w:tcPr>
            <w:tcW w:w="630" w:type="dxa"/>
          </w:tcPr>
          <w:p w:rsidR="00454BCE" w:rsidRPr="00E31D81" w:rsidRDefault="00454BCE" w:rsidP="00943451">
            <w:pPr>
              <w:rPr>
                <w:b/>
                <w:sz w:val="18"/>
                <w:szCs w:val="18"/>
              </w:rPr>
            </w:pPr>
            <w:r w:rsidRPr="00E31D81">
              <w:rPr>
                <w:b/>
                <w:sz w:val="18"/>
                <w:szCs w:val="18"/>
              </w:rPr>
              <w:t>2021</w:t>
            </w:r>
          </w:p>
        </w:tc>
        <w:tc>
          <w:tcPr>
            <w:tcW w:w="630" w:type="dxa"/>
          </w:tcPr>
          <w:p w:rsidR="00454BCE" w:rsidRPr="00E31D81" w:rsidRDefault="00454BCE" w:rsidP="00943451">
            <w:pPr>
              <w:rPr>
                <w:b/>
                <w:sz w:val="18"/>
                <w:szCs w:val="18"/>
              </w:rPr>
            </w:pPr>
            <w:r w:rsidRPr="00E31D81">
              <w:rPr>
                <w:b/>
                <w:sz w:val="18"/>
                <w:szCs w:val="18"/>
              </w:rPr>
              <w:t>2022</w:t>
            </w:r>
          </w:p>
        </w:tc>
        <w:tc>
          <w:tcPr>
            <w:tcW w:w="630" w:type="dxa"/>
          </w:tcPr>
          <w:p w:rsidR="00454BCE" w:rsidRPr="00E70515" w:rsidRDefault="00454BCE" w:rsidP="00943451">
            <w:pPr>
              <w:rPr>
                <w:b/>
                <w:sz w:val="18"/>
                <w:szCs w:val="18"/>
              </w:rPr>
            </w:pPr>
            <w:r w:rsidRPr="00E70515">
              <w:rPr>
                <w:b/>
                <w:sz w:val="18"/>
                <w:szCs w:val="18"/>
              </w:rPr>
              <w:t>2023</w:t>
            </w:r>
          </w:p>
        </w:tc>
        <w:tc>
          <w:tcPr>
            <w:tcW w:w="990" w:type="dxa"/>
            <w:vAlign w:val="center"/>
          </w:tcPr>
          <w:p w:rsidR="00454BCE" w:rsidRPr="00E70515" w:rsidRDefault="00454BCE" w:rsidP="00943451">
            <w:pPr>
              <w:jc w:val="center"/>
              <w:rPr>
                <w:b/>
                <w:sz w:val="18"/>
                <w:szCs w:val="18"/>
              </w:rPr>
            </w:pPr>
            <w:r w:rsidRPr="00E70515">
              <w:rPr>
                <w:b/>
                <w:sz w:val="18"/>
                <w:szCs w:val="18"/>
              </w:rPr>
              <w:t>Observații (dacă este necesar)</w:t>
            </w:r>
          </w:p>
        </w:tc>
      </w:tr>
      <w:tr w:rsidR="00271D01" w:rsidRPr="00F80C42" w:rsidTr="00F50D8B">
        <w:trPr>
          <w:trHeight w:val="333"/>
        </w:trPr>
        <w:tc>
          <w:tcPr>
            <w:tcW w:w="2178" w:type="dxa"/>
          </w:tcPr>
          <w:p w:rsidR="00454BCE" w:rsidRPr="00F80C42" w:rsidRDefault="00454BCE" w:rsidP="00C87FC6">
            <w:pPr>
              <w:jc w:val="both"/>
              <w:rPr>
                <w:sz w:val="18"/>
                <w:szCs w:val="18"/>
              </w:rPr>
            </w:pPr>
            <w:r w:rsidRPr="00F80C42">
              <w:rPr>
                <w:sz w:val="18"/>
                <w:szCs w:val="18"/>
              </w:rPr>
              <w:t>Val cumulată – operațiuni selectate (estimare furnizată de beneficiari</w:t>
            </w:r>
            <w:r w:rsidR="00EF494C">
              <w:rPr>
                <w:sz w:val="18"/>
                <w:szCs w:val="18"/>
              </w:rPr>
              <w:t>)</w:t>
            </w:r>
          </w:p>
        </w:tc>
        <w:tc>
          <w:tcPr>
            <w:tcW w:w="482" w:type="dxa"/>
            <w:vMerge w:val="restart"/>
          </w:tcPr>
          <w:p w:rsidR="00454BCE" w:rsidRPr="00F80C42" w:rsidRDefault="00454BCE" w:rsidP="00F50D8B">
            <w:pPr>
              <w:ind w:right="-108"/>
              <w:rPr>
                <w:sz w:val="18"/>
                <w:szCs w:val="18"/>
              </w:rPr>
            </w:pPr>
            <w:r w:rsidRPr="00F80C42">
              <w:rPr>
                <w:sz w:val="18"/>
                <w:szCs w:val="18"/>
              </w:rPr>
              <w:t>6S7</w:t>
            </w:r>
          </w:p>
        </w:tc>
        <w:tc>
          <w:tcPr>
            <w:tcW w:w="1800" w:type="dxa"/>
            <w:vMerge w:val="restart"/>
          </w:tcPr>
          <w:p w:rsidR="00454BCE" w:rsidRPr="00C87FC6" w:rsidRDefault="00454BCE" w:rsidP="00943451">
            <w:pPr>
              <w:pStyle w:val="Default"/>
              <w:rPr>
                <w:rFonts w:asciiTheme="minorHAnsi" w:hAnsiTheme="minorHAnsi"/>
                <w:sz w:val="18"/>
                <w:szCs w:val="18"/>
                <w:lang w:val="ro-RO"/>
              </w:rPr>
            </w:pPr>
            <w:r w:rsidRPr="00C87FC6">
              <w:rPr>
                <w:rFonts w:asciiTheme="minorHAnsi" w:hAnsiTheme="minorHAnsi"/>
                <w:sz w:val="18"/>
                <w:szCs w:val="18"/>
                <w:lang w:val="ro-RO"/>
              </w:rPr>
              <w:t xml:space="preserve">Zile participanți la instruire - beneficiari </w:t>
            </w:r>
          </w:p>
        </w:tc>
        <w:tc>
          <w:tcPr>
            <w:tcW w:w="810" w:type="dxa"/>
            <w:vMerge w:val="restart"/>
          </w:tcPr>
          <w:p w:rsidR="00454BCE" w:rsidRPr="00F80C42" w:rsidRDefault="00454BCE" w:rsidP="00943451">
            <w:pPr>
              <w:rPr>
                <w:sz w:val="18"/>
                <w:szCs w:val="18"/>
              </w:rPr>
            </w:pPr>
            <w:r w:rsidRPr="00F80C42">
              <w:rPr>
                <w:sz w:val="18"/>
                <w:szCs w:val="18"/>
              </w:rPr>
              <w:t>Nr.</w:t>
            </w:r>
          </w:p>
        </w:tc>
        <w:tc>
          <w:tcPr>
            <w:tcW w:w="630" w:type="dxa"/>
            <w:vMerge w:val="restart"/>
          </w:tcPr>
          <w:p w:rsidR="00454BCE" w:rsidRPr="00F35F4B" w:rsidRDefault="00454BCE" w:rsidP="00943451">
            <w:pPr>
              <w:rPr>
                <w:sz w:val="18"/>
                <w:szCs w:val="18"/>
              </w:rPr>
            </w:pPr>
            <w:r>
              <w:rPr>
                <w:sz w:val="18"/>
                <w:szCs w:val="18"/>
              </w:rPr>
              <w:t>FEDR</w:t>
            </w:r>
          </w:p>
        </w:tc>
        <w:tc>
          <w:tcPr>
            <w:tcW w:w="990" w:type="dxa"/>
            <w:vMerge w:val="restart"/>
          </w:tcPr>
          <w:p w:rsidR="00454BCE" w:rsidRPr="00F35F4B" w:rsidRDefault="00454BCE" w:rsidP="00943451">
            <w:pPr>
              <w:rPr>
                <w:sz w:val="18"/>
                <w:szCs w:val="18"/>
              </w:rPr>
            </w:pPr>
            <w:r w:rsidRPr="00F35F4B">
              <w:rPr>
                <w:sz w:val="18"/>
                <w:szCs w:val="18"/>
              </w:rPr>
              <w:t>N/A</w:t>
            </w:r>
          </w:p>
        </w:tc>
        <w:tc>
          <w:tcPr>
            <w:tcW w:w="990" w:type="dxa"/>
            <w:vMerge w:val="restart"/>
          </w:tcPr>
          <w:p w:rsidR="00454BCE" w:rsidRPr="007F3437" w:rsidRDefault="00454BCE" w:rsidP="00943451">
            <w:pPr>
              <w:rPr>
                <w:sz w:val="18"/>
                <w:szCs w:val="18"/>
              </w:rPr>
            </w:pPr>
            <w:r w:rsidRPr="007F3437">
              <w:rPr>
                <w:sz w:val="18"/>
                <w:szCs w:val="18"/>
              </w:rPr>
              <w:t>15.000</w:t>
            </w:r>
          </w:p>
        </w:tc>
        <w:tc>
          <w:tcPr>
            <w:tcW w:w="568" w:type="dxa"/>
          </w:tcPr>
          <w:p w:rsidR="00454BCE" w:rsidRPr="007F3437" w:rsidRDefault="00454BCE" w:rsidP="00943451">
            <w:pPr>
              <w:rPr>
                <w:sz w:val="18"/>
                <w:szCs w:val="18"/>
              </w:rPr>
            </w:pPr>
            <w:r w:rsidRPr="007F3437">
              <w:rPr>
                <w:sz w:val="18"/>
                <w:szCs w:val="18"/>
              </w:rPr>
              <w:t>0</w:t>
            </w:r>
          </w:p>
        </w:tc>
        <w:tc>
          <w:tcPr>
            <w:tcW w:w="630" w:type="dxa"/>
          </w:tcPr>
          <w:p w:rsidR="00454BCE" w:rsidRPr="00E31D81" w:rsidRDefault="00454BCE" w:rsidP="00943451">
            <w:pPr>
              <w:rPr>
                <w:sz w:val="18"/>
                <w:szCs w:val="18"/>
              </w:rPr>
            </w:pPr>
            <w:r w:rsidRPr="00E31D81">
              <w:rPr>
                <w:sz w:val="18"/>
                <w:szCs w:val="18"/>
              </w:rPr>
              <w:t>0</w:t>
            </w:r>
          </w:p>
        </w:tc>
        <w:tc>
          <w:tcPr>
            <w:tcW w:w="630" w:type="dxa"/>
          </w:tcPr>
          <w:p w:rsidR="00454BCE" w:rsidRPr="00E31D81" w:rsidRDefault="00454BCE" w:rsidP="00943451">
            <w:pPr>
              <w:rPr>
                <w:sz w:val="18"/>
                <w:szCs w:val="18"/>
              </w:rPr>
            </w:pPr>
          </w:p>
        </w:tc>
        <w:tc>
          <w:tcPr>
            <w:tcW w:w="630" w:type="dxa"/>
          </w:tcPr>
          <w:p w:rsidR="00454BCE" w:rsidRPr="00E31D81" w:rsidRDefault="00454BCE" w:rsidP="00943451">
            <w:pPr>
              <w:rPr>
                <w:sz w:val="18"/>
                <w:szCs w:val="18"/>
              </w:rPr>
            </w:pPr>
          </w:p>
        </w:tc>
        <w:tc>
          <w:tcPr>
            <w:tcW w:w="630" w:type="dxa"/>
          </w:tcPr>
          <w:p w:rsidR="00454BCE" w:rsidRPr="00E70515" w:rsidRDefault="00454BCE" w:rsidP="00943451">
            <w:pPr>
              <w:rPr>
                <w:sz w:val="18"/>
                <w:szCs w:val="18"/>
              </w:rPr>
            </w:pPr>
          </w:p>
        </w:tc>
        <w:tc>
          <w:tcPr>
            <w:tcW w:w="602" w:type="dxa"/>
          </w:tcPr>
          <w:p w:rsidR="00454BCE" w:rsidRPr="00E70515" w:rsidRDefault="00454BCE" w:rsidP="00943451">
            <w:pPr>
              <w:rPr>
                <w:sz w:val="18"/>
                <w:szCs w:val="18"/>
              </w:rPr>
            </w:pPr>
          </w:p>
        </w:tc>
        <w:tc>
          <w:tcPr>
            <w:tcW w:w="630" w:type="dxa"/>
          </w:tcPr>
          <w:p w:rsidR="00454BCE" w:rsidRPr="00E70515" w:rsidRDefault="00454BCE" w:rsidP="00943451">
            <w:pPr>
              <w:rPr>
                <w:sz w:val="18"/>
                <w:szCs w:val="18"/>
              </w:rPr>
            </w:pPr>
          </w:p>
        </w:tc>
        <w:tc>
          <w:tcPr>
            <w:tcW w:w="630" w:type="dxa"/>
          </w:tcPr>
          <w:p w:rsidR="00454BCE" w:rsidRPr="00E70515" w:rsidRDefault="00454BCE" w:rsidP="00943451">
            <w:pPr>
              <w:rPr>
                <w:sz w:val="18"/>
                <w:szCs w:val="18"/>
              </w:rPr>
            </w:pPr>
          </w:p>
        </w:tc>
        <w:tc>
          <w:tcPr>
            <w:tcW w:w="630" w:type="dxa"/>
          </w:tcPr>
          <w:p w:rsidR="00454BCE" w:rsidRPr="00E70515" w:rsidRDefault="00454BCE" w:rsidP="00943451">
            <w:pPr>
              <w:rPr>
                <w:sz w:val="18"/>
                <w:szCs w:val="18"/>
              </w:rPr>
            </w:pPr>
          </w:p>
        </w:tc>
        <w:tc>
          <w:tcPr>
            <w:tcW w:w="630" w:type="dxa"/>
          </w:tcPr>
          <w:p w:rsidR="00454BCE" w:rsidRPr="00E70515" w:rsidRDefault="00454BCE" w:rsidP="00943451">
            <w:pPr>
              <w:rPr>
                <w:sz w:val="18"/>
                <w:szCs w:val="18"/>
              </w:rPr>
            </w:pPr>
          </w:p>
        </w:tc>
        <w:tc>
          <w:tcPr>
            <w:tcW w:w="990" w:type="dxa"/>
            <w:vMerge w:val="restart"/>
          </w:tcPr>
          <w:p w:rsidR="00454BCE" w:rsidRPr="00E70515" w:rsidRDefault="00454BCE" w:rsidP="00943451">
            <w:pPr>
              <w:rPr>
                <w:sz w:val="18"/>
                <w:szCs w:val="18"/>
              </w:rPr>
            </w:pPr>
          </w:p>
        </w:tc>
      </w:tr>
      <w:tr w:rsidR="00271D01" w:rsidRPr="00F80C42" w:rsidTr="00F50D8B">
        <w:trPr>
          <w:trHeight w:val="333"/>
        </w:trPr>
        <w:tc>
          <w:tcPr>
            <w:tcW w:w="2178" w:type="dxa"/>
          </w:tcPr>
          <w:p w:rsidR="00454BCE" w:rsidRPr="00F80C42" w:rsidRDefault="00454BCE"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454BCE" w:rsidRPr="00F80C42" w:rsidRDefault="00454BCE" w:rsidP="00F50D8B">
            <w:pPr>
              <w:ind w:right="-108"/>
              <w:rPr>
                <w:sz w:val="18"/>
                <w:szCs w:val="18"/>
              </w:rPr>
            </w:pPr>
          </w:p>
        </w:tc>
        <w:tc>
          <w:tcPr>
            <w:tcW w:w="1800" w:type="dxa"/>
            <w:vMerge/>
          </w:tcPr>
          <w:p w:rsidR="00454BCE" w:rsidRPr="00C87FC6" w:rsidRDefault="00454BCE" w:rsidP="00943451">
            <w:pPr>
              <w:pStyle w:val="Default"/>
              <w:rPr>
                <w:rFonts w:asciiTheme="minorHAnsi" w:hAnsiTheme="minorHAnsi"/>
                <w:sz w:val="18"/>
                <w:szCs w:val="18"/>
                <w:lang w:val="ro-RO"/>
              </w:rPr>
            </w:pPr>
          </w:p>
        </w:tc>
        <w:tc>
          <w:tcPr>
            <w:tcW w:w="810" w:type="dxa"/>
            <w:vMerge/>
          </w:tcPr>
          <w:p w:rsidR="00454BCE" w:rsidRPr="00F80C42" w:rsidRDefault="00454BCE" w:rsidP="00943451">
            <w:pPr>
              <w:rPr>
                <w:sz w:val="18"/>
                <w:szCs w:val="18"/>
              </w:rPr>
            </w:pPr>
          </w:p>
        </w:tc>
        <w:tc>
          <w:tcPr>
            <w:tcW w:w="630" w:type="dxa"/>
            <w:vMerge/>
          </w:tcPr>
          <w:p w:rsidR="00454BCE" w:rsidRPr="00F80C42" w:rsidRDefault="00454BCE" w:rsidP="00943451">
            <w:pPr>
              <w:rPr>
                <w:sz w:val="18"/>
                <w:szCs w:val="18"/>
              </w:rPr>
            </w:pPr>
          </w:p>
        </w:tc>
        <w:tc>
          <w:tcPr>
            <w:tcW w:w="990" w:type="dxa"/>
            <w:vMerge/>
          </w:tcPr>
          <w:p w:rsidR="00454BCE" w:rsidRPr="00F80C42" w:rsidRDefault="00454BCE" w:rsidP="00943451">
            <w:pPr>
              <w:rPr>
                <w:sz w:val="18"/>
                <w:szCs w:val="18"/>
              </w:rPr>
            </w:pPr>
          </w:p>
        </w:tc>
        <w:tc>
          <w:tcPr>
            <w:tcW w:w="990" w:type="dxa"/>
            <w:vMerge/>
          </w:tcPr>
          <w:p w:rsidR="00454BCE" w:rsidRPr="00F80C42" w:rsidRDefault="00454BCE" w:rsidP="00943451">
            <w:pPr>
              <w:rPr>
                <w:sz w:val="18"/>
                <w:szCs w:val="18"/>
              </w:rPr>
            </w:pPr>
          </w:p>
        </w:tc>
        <w:tc>
          <w:tcPr>
            <w:tcW w:w="568" w:type="dxa"/>
          </w:tcPr>
          <w:p w:rsidR="00454BCE" w:rsidRPr="00F80C42" w:rsidRDefault="00454BCE" w:rsidP="00943451">
            <w:pPr>
              <w:rPr>
                <w:sz w:val="18"/>
                <w:szCs w:val="18"/>
              </w:rPr>
            </w:pPr>
            <w:r w:rsidRPr="00F80C42">
              <w:rPr>
                <w:sz w:val="18"/>
                <w:szCs w:val="18"/>
              </w:rPr>
              <w:t>0</w:t>
            </w:r>
          </w:p>
        </w:tc>
        <w:tc>
          <w:tcPr>
            <w:tcW w:w="630" w:type="dxa"/>
          </w:tcPr>
          <w:p w:rsidR="00454BCE" w:rsidRPr="00F80C42" w:rsidRDefault="00454BCE" w:rsidP="00943451">
            <w:pPr>
              <w:rPr>
                <w:sz w:val="18"/>
                <w:szCs w:val="18"/>
              </w:rPr>
            </w:pPr>
            <w:r w:rsidRPr="00F80C42">
              <w:rPr>
                <w:sz w:val="18"/>
                <w:szCs w:val="18"/>
              </w:rPr>
              <w:t>0</w:t>
            </w:r>
          </w:p>
        </w:tc>
        <w:tc>
          <w:tcPr>
            <w:tcW w:w="630" w:type="dxa"/>
          </w:tcPr>
          <w:p w:rsidR="00454BCE" w:rsidRPr="00F80C42" w:rsidRDefault="00454BCE" w:rsidP="00943451">
            <w:pPr>
              <w:rPr>
                <w:sz w:val="18"/>
                <w:szCs w:val="18"/>
              </w:rPr>
            </w:pPr>
          </w:p>
        </w:tc>
        <w:tc>
          <w:tcPr>
            <w:tcW w:w="630" w:type="dxa"/>
          </w:tcPr>
          <w:p w:rsidR="00454BCE" w:rsidRPr="00F80C42" w:rsidRDefault="00454BCE" w:rsidP="00943451">
            <w:pPr>
              <w:rPr>
                <w:sz w:val="18"/>
                <w:szCs w:val="18"/>
              </w:rPr>
            </w:pPr>
          </w:p>
        </w:tc>
        <w:tc>
          <w:tcPr>
            <w:tcW w:w="630" w:type="dxa"/>
          </w:tcPr>
          <w:p w:rsidR="00454BCE" w:rsidRPr="00F80C42" w:rsidRDefault="00454BCE" w:rsidP="00943451">
            <w:pPr>
              <w:rPr>
                <w:sz w:val="18"/>
                <w:szCs w:val="18"/>
              </w:rPr>
            </w:pPr>
          </w:p>
        </w:tc>
        <w:tc>
          <w:tcPr>
            <w:tcW w:w="602" w:type="dxa"/>
          </w:tcPr>
          <w:p w:rsidR="00454BCE" w:rsidRPr="00F80C42" w:rsidRDefault="00454BCE" w:rsidP="00943451">
            <w:pPr>
              <w:rPr>
                <w:sz w:val="18"/>
                <w:szCs w:val="18"/>
              </w:rPr>
            </w:pPr>
          </w:p>
        </w:tc>
        <w:tc>
          <w:tcPr>
            <w:tcW w:w="630" w:type="dxa"/>
          </w:tcPr>
          <w:p w:rsidR="00454BCE" w:rsidRPr="00F80C42" w:rsidRDefault="00454BCE" w:rsidP="00943451">
            <w:pPr>
              <w:rPr>
                <w:sz w:val="18"/>
                <w:szCs w:val="18"/>
              </w:rPr>
            </w:pPr>
          </w:p>
        </w:tc>
        <w:tc>
          <w:tcPr>
            <w:tcW w:w="630" w:type="dxa"/>
          </w:tcPr>
          <w:p w:rsidR="00454BCE" w:rsidRPr="00F80C42" w:rsidRDefault="00454BCE" w:rsidP="00943451">
            <w:pPr>
              <w:rPr>
                <w:sz w:val="18"/>
                <w:szCs w:val="18"/>
              </w:rPr>
            </w:pPr>
          </w:p>
        </w:tc>
        <w:tc>
          <w:tcPr>
            <w:tcW w:w="630" w:type="dxa"/>
          </w:tcPr>
          <w:p w:rsidR="00454BCE" w:rsidRPr="00F80C42" w:rsidRDefault="00454BCE" w:rsidP="00943451">
            <w:pPr>
              <w:rPr>
                <w:sz w:val="18"/>
                <w:szCs w:val="18"/>
              </w:rPr>
            </w:pPr>
          </w:p>
        </w:tc>
        <w:tc>
          <w:tcPr>
            <w:tcW w:w="630" w:type="dxa"/>
          </w:tcPr>
          <w:p w:rsidR="00454BCE" w:rsidRPr="00F80C42" w:rsidRDefault="00454BCE" w:rsidP="00943451">
            <w:pPr>
              <w:rPr>
                <w:sz w:val="18"/>
                <w:szCs w:val="18"/>
              </w:rPr>
            </w:pPr>
          </w:p>
        </w:tc>
        <w:tc>
          <w:tcPr>
            <w:tcW w:w="990" w:type="dxa"/>
            <w:vMerge/>
          </w:tcPr>
          <w:p w:rsidR="00454BCE" w:rsidRPr="00F80C42" w:rsidRDefault="00454BCE" w:rsidP="00943451">
            <w:pPr>
              <w:rPr>
                <w:sz w:val="18"/>
                <w:szCs w:val="18"/>
              </w:rPr>
            </w:pPr>
          </w:p>
        </w:tc>
      </w:tr>
      <w:tr w:rsidR="00F50D8B" w:rsidRPr="00F80C42" w:rsidTr="00F50D8B">
        <w:tc>
          <w:tcPr>
            <w:tcW w:w="2178" w:type="dxa"/>
          </w:tcPr>
          <w:p w:rsidR="00F50D8B" w:rsidRPr="00F80C42" w:rsidRDefault="00F50D8B" w:rsidP="00C87FC6">
            <w:pPr>
              <w:jc w:val="both"/>
              <w:rPr>
                <w:sz w:val="18"/>
                <w:szCs w:val="18"/>
              </w:rPr>
            </w:pPr>
            <w:r w:rsidRPr="00F80C42">
              <w:rPr>
                <w:sz w:val="18"/>
                <w:szCs w:val="18"/>
              </w:rPr>
              <w:t>Val cumulată – operațiuni selectate (estimare furnizată de beneficiari</w:t>
            </w:r>
          </w:p>
        </w:tc>
        <w:tc>
          <w:tcPr>
            <w:tcW w:w="482" w:type="dxa"/>
            <w:vMerge w:val="restart"/>
          </w:tcPr>
          <w:p w:rsidR="00F50D8B" w:rsidRPr="00F80C42" w:rsidRDefault="00F50D8B" w:rsidP="00F50D8B">
            <w:pPr>
              <w:ind w:right="-108"/>
              <w:rPr>
                <w:sz w:val="18"/>
                <w:szCs w:val="18"/>
              </w:rPr>
            </w:pPr>
            <w:r w:rsidRPr="00F80C42">
              <w:rPr>
                <w:sz w:val="18"/>
                <w:szCs w:val="18"/>
              </w:rPr>
              <w:t>6S8</w:t>
            </w:r>
          </w:p>
        </w:tc>
        <w:tc>
          <w:tcPr>
            <w:tcW w:w="1800" w:type="dxa"/>
            <w:vMerge w:val="restart"/>
          </w:tcPr>
          <w:p w:rsidR="00F50D8B" w:rsidRPr="00C87FC6" w:rsidRDefault="00F50D8B"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Aplicații de finanțare pentru proiecte de infrastructură finanțate din POIM și POC a căror dezvoltare a fost sprijinită din POAT </w:t>
            </w:r>
          </w:p>
        </w:tc>
        <w:tc>
          <w:tcPr>
            <w:tcW w:w="810" w:type="dxa"/>
            <w:vMerge w:val="restart"/>
          </w:tcPr>
          <w:p w:rsidR="00F50D8B" w:rsidRPr="00F80C42" w:rsidRDefault="00F50D8B" w:rsidP="00943451">
            <w:pPr>
              <w:rPr>
                <w:sz w:val="18"/>
                <w:szCs w:val="18"/>
              </w:rPr>
            </w:pPr>
            <w:r w:rsidRPr="00F80C42">
              <w:rPr>
                <w:sz w:val="18"/>
                <w:szCs w:val="18"/>
              </w:rPr>
              <w:t>Nr.</w:t>
            </w:r>
          </w:p>
        </w:tc>
        <w:tc>
          <w:tcPr>
            <w:tcW w:w="630" w:type="dxa"/>
            <w:vMerge w:val="restart"/>
          </w:tcPr>
          <w:p w:rsidR="00F50D8B" w:rsidRPr="00F35F4B" w:rsidRDefault="00F50D8B" w:rsidP="00943451">
            <w:pPr>
              <w:rPr>
                <w:sz w:val="18"/>
                <w:szCs w:val="18"/>
              </w:rPr>
            </w:pPr>
            <w:r>
              <w:rPr>
                <w:sz w:val="18"/>
                <w:szCs w:val="18"/>
              </w:rPr>
              <w:t>FEDR</w:t>
            </w:r>
          </w:p>
        </w:tc>
        <w:tc>
          <w:tcPr>
            <w:tcW w:w="990" w:type="dxa"/>
            <w:vMerge w:val="restart"/>
          </w:tcPr>
          <w:p w:rsidR="00F50D8B" w:rsidRPr="00F35F4B" w:rsidRDefault="00F50D8B" w:rsidP="00943451">
            <w:pPr>
              <w:rPr>
                <w:sz w:val="18"/>
                <w:szCs w:val="18"/>
              </w:rPr>
            </w:pPr>
            <w:r w:rsidRPr="00F35F4B">
              <w:rPr>
                <w:sz w:val="18"/>
                <w:szCs w:val="18"/>
              </w:rPr>
              <w:t>N/A</w:t>
            </w:r>
          </w:p>
        </w:tc>
        <w:tc>
          <w:tcPr>
            <w:tcW w:w="990" w:type="dxa"/>
            <w:vMerge w:val="restart"/>
          </w:tcPr>
          <w:p w:rsidR="00F50D8B" w:rsidRPr="00F35F4B" w:rsidRDefault="00F50D8B" w:rsidP="00943451">
            <w:pPr>
              <w:rPr>
                <w:sz w:val="18"/>
                <w:szCs w:val="18"/>
              </w:rPr>
            </w:pPr>
            <w:r w:rsidRPr="00F35F4B">
              <w:rPr>
                <w:sz w:val="18"/>
                <w:szCs w:val="18"/>
              </w:rPr>
              <w:t>10</w:t>
            </w:r>
          </w:p>
        </w:tc>
        <w:tc>
          <w:tcPr>
            <w:tcW w:w="568" w:type="dxa"/>
          </w:tcPr>
          <w:p w:rsidR="00F50D8B" w:rsidRPr="00783B28" w:rsidRDefault="00F50D8B" w:rsidP="00943451">
            <w:pPr>
              <w:rPr>
                <w:sz w:val="18"/>
                <w:szCs w:val="18"/>
              </w:rPr>
            </w:pPr>
            <w:r w:rsidRPr="00783B28">
              <w:rPr>
                <w:sz w:val="18"/>
                <w:szCs w:val="18"/>
              </w:rPr>
              <w:t>0</w:t>
            </w:r>
          </w:p>
        </w:tc>
        <w:tc>
          <w:tcPr>
            <w:tcW w:w="630" w:type="dxa"/>
          </w:tcPr>
          <w:p w:rsidR="00F50D8B" w:rsidRPr="007F3437" w:rsidRDefault="00F50D8B" w:rsidP="00943451">
            <w:pPr>
              <w:rPr>
                <w:sz w:val="18"/>
                <w:szCs w:val="18"/>
              </w:rPr>
            </w:pPr>
            <w:r w:rsidRPr="007F3437">
              <w:rPr>
                <w:sz w:val="18"/>
                <w:szCs w:val="18"/>
              </w:rPr>
              <w:t>0</w:t>
            </w:r>
          </w:p>
        </w:tc>
        <w:tc>
          <w:tcPr>
            <w:tcW w:w="630" w:type="dxa"/>
          </w:tcPr>
          <w:p w:rsidR="00F50D8B" w:rsidRPr="007F3437" w:rsidRDefault="00F50D8B" w:rsidP="00943451">
            <w:pPr>
              <w:rPr>
                <w:sz w:val="18"/>
                <w:szCs w:val="18"/>
              </w:rPr>
            </w:pPr>
          </w:p>
        </w:tc>
        <w:tc>
          <w:tcPr>
            <w:tcW w:w="630" w:type="dxa"/>
          </w:tcPr>
          <w:p w:rsidR="00F50D8B" w:rsidRPr="007F3437" w:rsidRDefault="00F50D8B" w:rsidP="00943451">
            <w:pPr>
              <w:rPr>
                <w:sz w:val="18"/>
                <w:szCs w:val="18"/>
              </w:rPr>
            </w:pPr>
          </w:p>
        </w:tc>
        <w:tc>
          <w:tcPr>
            <w:tcW w:w="630" w:type="dxa"/>
          </w:tcPr>
          <w:p w:rsidR="00F50D8B" w:rsidRPr="00E31D81" w:rsidRDefault="00F50D8B" w:rsidP="00943451">
            <w:pPr>
              <w:rPr>
                <w:sz w:val="18"/>
                <w:szCs w:val="18"/>
              </w:rPr>
            </w:pPr>
          </w:p>
        </w:tc>
        <w:tc>
          <w:tcPr>
            <w:tcW w:w="602" w:type="dxa"/>
          </w:tcPr>
          <w:p w:rsidR="00F50D8B" w:rsidRPr="00E31D81" w:rsidRDefault="00F50D8B" w:rsidP="00943451">
            <w:pPr>
              <w:rPr>
                <w:sz w:val="18"/>
                <w:szCs w:val="18"/>
              </w:rPr>
            </w:pPr>
          </w:p>
        </w:tc>
        <w:tc>
          <w:tcPr>
            <w:tcW w:w="630" w:type="dxa"/>
          </w:tcPr>
          <w:p w:rsidR="00F50D8B" w:rsidRPr="00E31D81" w:rsidRDefault="00F50D8B" w:rsidP="00943451">
            <w:pPr>
              <w:rPr>
                <w:sz w:val="18"/>
                <w:szCs w:val="18"/>
              </w:rPr>
            </w:pPr>
          </w:p>
        </w:tc>
        <w:tc>
          <w:tcPr>
            <w:tcW w:w="630" w:type="dxa"/>
          </w:tcPr>
          <w:p w:rsidR="00F50D8B" w:rsidRPr="00E70515" w:rsidRDefault="00F50D8B" w:rsidP="00943451">
            <w:pPr>
              <w:rPr>
                <w:sz w:val="18"/>
                <w:szCs w:val="18"/>
              </w:rPr>
            </w:pPr>
          </w:p>
        </w:tc>
        <w:tc>
          <w:tcPr>
            <w:tcW w:w="630" w:type="dxa"/>
          </w:tcPr>
          <w:p w:rsidR="00F50D8B" w:rsidRPr="00E70515" w:rsidRDefault="00F50D8B" w:rsidP="00943451">
            <w:pPr>
              <w:rPr>
                <w:sz w:val="18"/>
                <w:szCs w:val="18"/>
              </w:rPr>
            </w:pPr>
          </w:p>
        </w:tc>
        <w:tc>
          <w:tcPr>
            <w:tcW w:w="630" w:type="dxa"/>
          </w:tcPr>
          <w:p w:rsidR="00F50D8B" w:rsidRPr="00E70515" w:rsidRDefault="00F50D8B" w:rsidP="00943451">
            <w:pPr>
              <w:rPr>
                <w:sz w:val="18"/>
                <w:szCs w:val="18"/>
              </w:rPr>
            </w:pPr>
          </w:p>
        </w:tc>
        <w:tc>
          <w:tcPr>
            <w:tcW w:w="990" w:type="dxa"/>
          </w:tcPr>
          <w:p w:rsidR="00F50D8B" w:rsidRPr="00E70515" w:rsidRDefault="00F50D8B" w:rsidP="00943451">
            <w:pPr>
              <w:rPr>
                <w:sz w:val="18"/>
                <w:szCs w:val="18"/>
              </w:rPr>
            </w:pPr>
          </w:p>
        </w:tc>
      </w:tr>
      <w:tr w:rsidR="00F50D8B" w:rsidRPr="00F80C42" w:rsidTr="00F50D8B">
        <w:tc>
          <w:tcPr>
            <w:tcW w:w="2178" w:type="dxa"/>
          </w:tcPr>
          <w:p w:rsidR="00F50D8B" w:rsidRPr="00F80C42" w:rsidRDefault="00F50D8B"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F80C42" w:rsidRDefault="00F50D8B" w:rsidP="00943451">
            <w:pPr>
              <w:pStyle w:val="Default"/>
              <w:rPr>
                <w:rFonts w:asciiTheme="minorHAnsi" w:hAnsiTheme="minorHAnsi"/>
                <w:sz w:val="18"/>
                <w:szCs w:val="18"/>
                <w:lang w:val="ro-RO"/>
              </w:rPr>
            </w:pPr>
          </w:p>
        </w:tc>
        <w:tc>
          <w:tcPr>
            <w:tcW w:w="810" w:type="dxa"/>
            <w:vMerge/>
          </w:tcPr>
          <w:p w:rsidR="00F50D8B" w:rsidRPr="00F80C42" w:rsidRDefault="00F50D8B" w:rsidP="00943451">
            <w:pPr>
              <w:rPr>
                <w:sz w:val="18"/>
                <w:szCs w:val="18"/>
              </w:rPr>
            </w:pPr>
          </w:p>
        </w:tc>
        <w:tc>
          <w:tcPr>
            <w:tcW w:w="630" w:type="dxa"/>
            <w:vMerge/>
          </w:tcPr>
          <w:p w:rsidR="00F50D8B" w:rsidRDefault="00F50D8B" w:rsidP="00943451">
            <w:pPr>
              <w:rPr>
                <w:sz w:val="18"/>
                <w:szCs w:val="18"/>
              </w:rPr>
            </w:pPr>
          </w:p>
        </w:tc>
        <w:tc>
          <w:tcPr>
            <w:tcW w:w="990" w:type="dxa"/>
            <w:vMerge/>
          </w:tcPr>
          <w:p w:rsidR="00F50D8B" w:rsidRPr="00F35F4B" w:rsidRDefault="00F50D8B" w:rsidP="00943451">
            <w:pPr>
              <w:rPr>
                <w:sz w:val="18"/>
                <w:szCs w:val="18"/>
              </w:rPr>
            </w:pPr>
          </w:p>
        </w:tc>
        <w:tc>
          <w:tcPr>
            <w:tcW w:w="990" w:type="dxa"/>
            <w:vMerge/>
          </w:tcPr>
          <w:p w:rsidR="00F50D8B" w:rsidRPr="00F35F4B" w:rsidRDefault="00F50D8B" w:rsidP="00943451">
            <w:pPr>
              <w:rPr>
                <w:sz w:val="18"/>
                <w:szCs w:val="18"/>
              </w:rPr>
            </w:pPr>
          </w:p>
        </w:tc>
        <w:tc>
          <w:tcPr>
            <w:tcW w:w="568" w:type="dxa"/>
          </w:tcPr>
          <w:p w:rsidR="00F50D8B" w:rsidRPr="00783B28" w:rsidRDefault="00F50D8B" w:rsidP="00943451">
            <w:pPr>
              <w:rPr>
                <w:sz w:val="18"/>
                <w:szCs w:val="18"/>
              </w:rPr>
            </w:pPr>
            <w:r>
              <w:rPr>
                <w:sz w:val="18"/>
                <w:szCs w:val="18"/>
              </w:rPr>
              <w:t>0</w:t>
            </w:r>
          </w:p>
        </w:tc>
        <w:tc>
          <w:tcPr>
            <w:tcW w:w="630" w:type="dxa"/>
          </w:tcPr>
          <w:p w:rsidR="00F50D8B" w:rsidRPr="007F3437" w:rsidRDefault="00F50D8B" w:rsidP="00943451">
            <w:pPr>
              <w:rPr>
                <w:sz w:val="18"/>
                <w:szCs w:val="18"/>
              </w:rPr>
            </w:pPr>
            <w:r>
              <w:rPr>
                <w:sz w:val="18"/>
                <w:szCs w:val="18"/>
              </w:rPr>
              <w:t>0</w:t>
            </w:r>
          </w:p>
        </w:tc>
        <w:tc>
          <w:tcPr>
            <w:tcW w:w="630" w:type="dxa"/>
          </w:tcPr>
          <w:p w:rsidR="00F50D8B" w:rsidRPr="007F3437" w:rsidRDefault="00F50D8B" w:rsidP="00943451">
            <w:pPr>
              <w:rPr>
                <w:sz w:val="18"/>
                <w:szCs w:val="18"/>
              </w:rPr>
            </w:pPr>
          </w:p>
        </w:tc>
        <w:tc>
          <w:tcPr>
            <w:tcW w:w="630" w:type="dxa"/>
          </w:tcPr>
          <w:p w:rsidR="00F50D8B" w:rsidRPr="007F3437" w:rsidRDefault="00F50D8B" w:rsidP="00943451">
            <w:pPr>
              <w:rPr>
                <w:sz w:val="18"/>
                <w:szCs w:val="18"/>
              </w:rPr>
            </w:pPr>
          </w:p>
        </w:tc>
        <w:tc>
          <w:tcPr>
            <w:tcW w:w="630" w:type="dxa"/>
          </w:tcPr>
          <w:p w:rsidR="00F50D8B" w:rsidRPr="00E31D81" w:rsidRDefault="00F50D8B" w:rsidP="00943451">
            <w:pPr>
              <w:rPr>
                <w:sz w:val="18"/>
                <w:szCs w:val="18"/>
              </w:rPr>
            </w:pPr>
          </w:p>
        </w:tc>
        <w:tc>
          <w:tcPr>
            <w:tcW w:w="602" w:type="dxa"/>
          </w:tcPr>
          <w:p w:rsidR="00F50D8B" w:rsidRPr="00E31D81" w:rsidRDefault="00F50D8B" w:rsidP="00943451">
            <w:pPr>
              <w:rPr>
                <w:sz w:val="18"/>
                <w:szCs w:val="18"/>
              </w:rPr>
            </w:pPr>
          </w:p>
        </w:tc>
        <w:tc>
          <w:tcPr>
            <w:tcW w:w="630" w:type="dxa"/>
          </w:tcPr>
          <w:p w:rsidR="00F50D8B" w:rsidRPr="00E31D81" w:rsidRDefault="00F50D8B" w:rsidP="00943451">
            <w:pPr>
              <w:rPr>
                <w:sz w:val="18"/>
                <w:szCs w:val="18"/>
              </w:rPr>
            </w:pPr>
          </w:p>
        </w:tc>
        <w:tc>
          <w:tcPr>
            <w:tcW w:w="630" w:type="dxa"/>
          </w:tcPr>
          <w:p w:rsidR="00F50D8B" w:rsidRPr="00E70515" w:rsidRDefault="00F50D8B" w:rsidP="00943451">
            <w:pPr>
              <w:rPr>
                <w:sz w:val="18"/>
                <w:szCs w:val="18"/>
              </w:rPr>
            </w:pPr>
          </w:p>
        </w:tc>
        <w:tc>
          <w:tcPr>
            <w:tcW w:w="630" w:type="dxa"/>
          </w:tcPr>
          <w:p w:rsidR="00F50D8B" w:rsidRPr="00E70515" w:rsidRDefault="00F50D8B" w:rsidP="00943451">
            <w:pPr>
              <w:rPr>
                <w:sz w:val="18"/>
                <w:szCs w:val="18"/>
              </w:rPr>
            </w:pPr>
          </w:p>
        </w:tc>
        <w:tc>
          <w:tcPr>
            <w:tcW w:w="630" w:type="dxa"/>
          </w:tcPr>
          <w:p w:rsidR="00F50D8B" w:rsidRPr="00E70515" w:rsidRDefault="00F50D8B" w:rsidP="00943451">
            <w:pPr>
              <w:rPr>
                <w:sz w:val="18"/>
                <w:szCs w:val="18"/>
              </w:rPr>
            </w:pPr>
          </w:p>
        </w:tc>
        <w:tc>
          <w:tcPr>
            <w:tcW w:w="990" w:type="dxa"/>
          </w:tcPr>
          <w:p w:rsidR="00F50D8B" w:rsidRPr="00E70515" w:rsidRDefault="00F50D8B" w:rsidP="00943451">
            <w:pPr>
              <w:rPr>
                <w:sz w:val="18"/>
                <w:szCs w:val="18"/>
              </w:rPr>
            </w:pPr>
          </w:p>
        </w:tc>
      </w:tr>
      <w:tr w:rsidR="00F50D8B" w:rsidRPr="00F80C42" w:rsidTr="00F50D8B">
        <w:tc>
          <w:tcPr>
            <w:tcW w:w="2178" w:type="dxa"/>
          </w:tcPr>
          <w:p w:rsidR="00F50D8B" w:rsidRPr="00F80C42" w:rsidRDefault="00F50D8B" w:rsidP="00C87FC6">
            <w:pPr>
              <w:jc w:val="both"/>
              <w:rPr>
                <w:sz w:val="18"/>
                <w:szCs w:val="18"/>
              </w:rPr>
            </w:pPr>
            <w:r w:rsidRPr="00F80C42">
              <w:rPr>
                <w:sz w:val="18"/>
                <w:szCs w:val="18"/>
              </w:rPr>
              <w:t>Val cumulată – operațiuni selectate (estimare furnizată de beneficiari</w:t>
            </w:r>
            <w:r>
              <w:rPr>
                <w:sz w:val="18"/>
                <w:szCs w:val="18"/>
              </w:rPr>
              <w:t>)</w:t>
            </w:r>
          </w:p>
        </w:tc>
        <w:tc>
          <w:tcPr>
            <w:tcW w:w="482" w:type="dxa"/>
            <w:vMerge w:val="restart"/>
          </w:tcPr>
          <w:p w:rsidR="00F50D8B" w:rsidRPr="00F80C42" w:rsidRDefault="00F50D8B" w:rsidP="00F50D8B">
            <w:pPr>
              <w:ind w:right="-108"/>
              <w:rPr>
                <w:sz w:val="18"/>
                <w:szCs w:val="18"/>
              </w:rPr>
            </w:pPr>
            <w:r w:rsidRPr="00F80C42">
              <w:rPr>
                <w:sz w:val="18"/>
                <w:szCs w:val="18"/>
              </w:rPr>
              <w:t>6S9</w:t>
            </w:r>
          </w:p>
        </w:tc>
        <w:tc>
          <w:tcPr>
            <w:tcW w:w="1800" w:type="dxa"/>
            <w:vMerge w:val="restart"/>
          </w:tcPr>
          <w:p w:rsidR="00F50D8B" w:rsidRPr="00C87FC6" w:rsidRDefault="00F50D8B"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Număr personal din structura care coordonează ITI, ale căror salarii sunt cofinanțate din POAT – echivalent normă întreagă anual (full </w:t>
            </w:r>
            <w:proofErr w:type="spellStart"/>
            <w:r w:rsidRPr="00C87FC6">
              <w:rPr>
                <w:rFonts w:asciiTheme="minorHAnsi" w:hAnsiTheme="minorHAnsi"/>
                <w:sz w:val="18"/>
                <w:szCs w:val="18"/>
                <w:lang w:val="ro-RO"/>
              </w:rPr>
              <w:t>time</w:t>
            </w:r>
            <w:proofErr w:type="spellEnd"/>
            <w:r w:rsidRPr="00C87FC6">
              <w:rPr>
                <w:rFonts w:asciiTheme="minorHAnsi" w:hAnsiTheme="minorHAnsi"/>
                <w:sz w:val="18"/>
                <w:szCs w:val="18"/>
                <w:lang w:val="ro-RO"/>
              </w:rPr>
              <w:t xml:space="preserve"> </w:t>
            </w:r>
            <w:proofErr w:type="spellStart"/>
            <w:r w:rsidRPr="00C87FC6">
              <w:rPr>
                <w:rFonts w:asciiTheme="minorHAnsi" w:hAnsiTheme="minorHAnsi"/>
                <w:sz w:val="18"/>
                <w:szCs w:val="18"/>
                <w:lang w:val="ro-RO"/>
              </w:rPr>
              <w:t>equivalents</w:t>
            </w:r>
            <w:proofErr w:type="spellEnd"/>
            <w:r w:rsidRPr="00C87FC6">
              <w:rPr>
                <w:rFonts w:asciiTheme="minorHAnsi" w:hAnsiTheme="minorHAnsi"/>
                <w:sz w:val="18"/>
                <w:szCs w:val="18"/>
                <w:lang w:val="ro-RO"/>
              </w:rPr>
              <w:t xml:space="preserve">) </w:t>
            </w:r>
          </w:p>
        </w:tc>
        <w:tc>
          <w:tcPr>
            <w:tcW w:w="810" w:type="dxa"/>
            <w:vMerge w:val="restart"/>
          </w:tcPr>
          <w:p w:rsidR="00F50D8B" w:rsidRPr="00F80C42" w:rsidRDefault="00F50D8B" w:rsidP="00454BCE">
            <w:pPr>
              <w:rPr>
                <w:sz w:val="18"/>
                <w:szCs w:val="18"/>
              </w:rPr>
            </w:pPr>
            <w:r w:rsidRPr="00F80C42">
              <w:rPr>
                <w:sz w:val="18"/>
                <w:szCs w:val="18"/>
              </w:rPr>
              <w:t>Nr.</w:t>
            </w:r>
          </w:p>
        </w:tc>
        <w:tc>
          <w:tcPr>
            <w:tcW w:w="630" w:type="dxa"/>
            <w:vMerge w:val="restart"/>
          </w:tcPr>
          <w:p w:rsidR="00F50D8B" w:rsidRPr="00F35F4B" w:rsidRDefault="00F50D8B" w:rsidP="00454BCE">
            <w:pPr>
              <w:rPr>
                <w:sz w:val="18"/>
                <w:szCs w:val="18"/>
              </w:rPr>
            </w:pPr>
            <w:r w:rsidRPr="00627EC6">
              <w:rPr>
                <w:sz w:val="18"/>
                <w:szCs w:val="18"/>
              </w:rPr>
              <w:t>FEDR</w:t>
            </w:r>
          </w:p>
        </w:tc>
        <w:tc>
          <w:tcPr>
            <w:tcW w:w="990" w:type="dxa"/>
            <w:vMerge w:val="restart"/>
          </w:tcPr>
          <w:p w:rsidR="00F50D8B" w:rsidRPr="00F35F4B" w:rsidRDefault="00F50D8B" w:rsidP="00454BCE">
            <w:pPr>
              <w:rPr>
                <w:sz w:val="18"/>
                <w:szCs w:val="18"/>
              </w:rPr>
            </w:pPr>
            <w:r w:rsidRPr="00F35F4B">
              <w:rPr>
                <w:sz w:val="18"/>
                <w:szCs w:val="18"/>
              </w:rPr>
              <w:t>N/A</w:t>
            </w:r>
          </w:p>
        </w:tc>
        <w:tc>
          <w:tcPr>
            <w:tcW w:w="990" w:type="dxa"/>
            <w:vMerge w:val="restart"/>
          </w:tcPr>
          <w:p w:rsidR="00F50D8B" w:rsidRPr="00F35F4B" w:rsidRDefault="00F50D8B" w:rsidP="00454BCE">
            <w:pPr>
              <w:rPr>
                <w:sz w:val="18"/>
                <w:szCs w:val="18"/>
              </w:rPr>
            </w:pPr>
            <w:r w:rsidRPr="00F35F4B">
              <w:rPr>
                <w:sz w:val="18"/>
                <w:szCs w:val="18"/>
              </w:rPr>
              <w:t>19</w:t>
            </w:r>
          </w:p>
        </w:tc>
        <w:tc>
          <w:tcPr>
            <w:tcW w:w="568" w:type="dxa"/>
          </w:tcPr>
          <w:p w:rsidR="00F50D8B" w:rsidRPr="00783B28" w:rsidRDefault="00F50D8B" w:rsidP="00454BCE">
            <w:pPr>
              <w:rPr>
                <w:sz w:val="18"/>
                <w:szCs w:val="18"/>
              </w:rPr>
            </w:pPr>
            <w:r w:rsidRPr="00783B28">
              <w:rPr>
                <w:sz w:val="18"/>
                <w:szCs w:val="18"/>
              </w:rPr>
              <w:t>0</w:t>
            </w:r>
          </w:p>
        </w:tc>
        <w:tc>
          <w:tcPr>
            <w:tcW w:w="630" w:type="dxa"/>
          </w:tcPr>
          <w:p w:rsidR="00F50D8B" w:rsidRPr="007F3437" w:rsidRDefault="00F50D8B" w:rsidP="00454BCE">
            <w:pPr>
              <w:rPr>
                <w:sz w:val="18"/>
                <w:szCs w:val="18"/>
              </w:rPr>
            </w:pPr>
            <w:r w:rsidRPr="007F3437">
              <w:rPr>
                <w:sz w:val="18"/>
                <w:szCs w:val="18"/>
              </w:rPr>
              <w:t>0</w:t>
            </w:r>
          </w:p>
        </w:tc>
        <w:tc>
          <w:tcPr>
            <w:tcW w:w="630" w:type="dxa"/>
          </w:tcPr>
          <w:p w:rsidR="00F50D8B" w:rsidRPr="007F3437" w:rsidRDefault="00F50D8B" w:rsidP="00454BCE">
            <w:pPr>
              <w:rPr>
                <w:sz w:val="18"/>
                <w:szCs w:val="18"/>
              </w:rPr>
            </w:pPr>
          </w:p>
        </w:tc>
        <w:tc>
          <w:tcPr>
            <w:tcW w:w="630" w:type="dxa"/>
          </w:tcPr>
          <w:p w:rsidR="00F50D8B" w:rsidRPr="007F3437" w:rsidRDefault="00F50D8B" w:rsidP="00454BCE">
            <w:pPr>
              <w:rPr>
                <w:sz w:val="18"/>
                <w:szCs w:val="18"/>
              </w:rPr>
            </w:pPr>
          </w:p>
        </w:tc>
        <w:tc>
          <w:tcPr>
            <w:tcW w:w="630" w:type="dxa"/>
          </w:tcPr>
          <w:p w:rsidR="00F50D8B" w:rsidRPr="00E31D81" w:rsidRDefault="00F50D8B" w:rsidP="00454BCE">
            <w:pPr>
              <w:rPr>
                <w:sz w:val="18"/>
                <w:szCs w:val="18"/>
              </w:rPr>
            </w:pPr>
          </w:p>
        </w:tc>
        <w:tc>
          <w:tcPr>
            <w:tcW w:w="602" w:type="dxa"/>
          </w:tcPr>
          <w:p w:rsidR="00F50D8B" w:rsidRPr="00E31D81" w:rsidRDefault="00F50D8B" w:rsidP="00454BCE">
            <w:pPr>
              <w:rPr>
                <w:sz w:val="18"/>
                <w:szCs w:val="18"/>
              </w:rPr>
            </w:pPr>
          </w:p>
        </w:tc>
        <w:tc>
          <w:tcPr>
            <w:tcW w:w="630" w:type="dxa"/>
          </w:tcPr>
          <w:p w:rsidR="00F50D8B" w:rsidRPr="00E31D81" w:rsidRDefault="00F50D8B" w:rsidP="00454BCE">
            <w:pPr>
              <w:rPr>
                <w:sz w:val="18"/>
                <w:szCs w:val="18"/>
              </w:rPr>
            </w:pPr>
          </w:p>
        </w:tc>
        <w:tc>
          <w:tcPr>
            <w:tcW w:w="630" w:type="dxa"/>
          </w:tcPr>
          <w:p w:rsidR="00F50D8B" w:rsidRPr="00E70515" w:rsidRDefault="00F50D8B" w:rsidP="00454BCE">
            <w:pPr>
              <w:rPr>
                <w:sz w:val="18"/>
                <w:szCs w:val="18"/>
              </w:rPr>
            </w:pPr>
          </w:p>
        </w:tc>
        <w:tc>
          <w:tcPr>
            <w:tcW w:w="630" w:type="dxa"/>
          </w:tcPr>
          <w:p w:rsidR="00F50D8B" w:rsidRPr="00E70515" w:rsidRDefault="00F50D8B" w:rsidP="00454BCE">
            <w:pPr>
              <w:rPr>
                <w:sz w:val="18"/>
                <w:szCs w:val="18"/>
              </w:rPr>
            </w:pPr>
          </w:p>
        </w:tc>
        <w:tc>
          <w:tcPr>
            <w:tcW w:w="630" w:type="dxa"/>
          </w:tcPr>
          <w:p w:rsidR="00F50D8B" w:rsidRPr="00E70515" w:rsidRDefault="00F50D8B" w:rsidP="00454BCE">
            <w:pPr>
              <w:rPr>
                <w:sz w:val="18"/>
                <w:szCs w:val="18"/>
              </w:rPr>
            </w:pPr>
          </w:p>
        </w:tc>
        <w:tc>
          <w:tcPr>
            <w:tcW w:w="990" w:type="dxa"/>
          </w:tcPr>
          <w:p w:rsidR="00F50D8B" w:rsidRPr="00E70515" w:rsidRDefault="00F50D8B" w:rsidP="00454BCE">
            <w:pPr>
              <w:rPr>
                <w:sz w:val="18"/>
                <w:szCs w:val="18"/>
              </w:rPr>
            </w:pPr>
          </w:p>
        </w:tc>
      </w:tr>
      <w:tr w:rsidR="00F50D8B" w:rsidRPr="00F80C42" w:rsidTr="00F50D8B">
        <w:tc>
          <w:tcPr>
            <w:tcW w:w="2178" w:type="dxa"/>
          </w:tcPr>
          <w:p w:rsidR="00F50D8B" w:rsidRPr="00F80C42" w:rsidRDefault="00F50D8B"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F80C42" w:rsidRDefault="00F50D8B" w:rsidP="000F732E">
            <w:pPr>
              <w:pStyle w:val="Default"/>
              <w:rPr>
                <w:rFonts w:asciiTheme="minorHAnsi" w:hAnsiTheme="minorHAnsi"/>
                <w:sz w:val="18"/>
                <w:szCs w:val="18"/>
                <w:lang w:val="ro-RO"/>
              </w:rPr>
            </w:pPr>
          </w:p>
        </w:tc>
        <w:tc>
          <w:tcPr>
            <w:tcW w:w="810" w:type="dxa"/>
            <w:vMerge/>
          </w:tcPr>
          <w:p w:rsidR="00F50D8B" w:rsidRPr="00F80C42" w:rsidRDefault="00F50D8B" w:rsidP="000F732E">
            <w:pPr>
              <w:rPr>
                <w:sz w:val="18"/>
                <w:szCs w:val="18"/>
              </w:rPr>
            </w:pPr>
          </w:p>
        </w:tc>
        <w:tc>
          <w:tcPr>
            <w:tcW w:w="630" w:type="dxa"/>
            <w:vMerge/>
          </w:tcPr>
          <w:p w:rsidR="00F50D8B" w:rsidRPr="00627EC6" w:rsidRDefault="00F50D8B" w:rsidP="000F732E">
            <w:pPr>
              <w:rPr>
                <w:sz w:val="18"/>
                <w:szCs w:val="18"/>
              </w:rPr>
            </w:pPr>
          </w:p>
        </w:tc>
        <w:tc>
          <w:tcPr>
            <w:tcW w:w="990" w:type="dxa"/>
            <w:vMerge/>
          </w:tcPr>
          <w:p w:rsidR="00F50D8B" w:rsidRPr="00F35F4B" w:rsidRDefault="00F50D8B" w:rsidP="000F732E">
            <w:pPr>
              <w:rPr>
                <w:sz w:val="18"/>
                <w:szCs w:val="18"/>
              </w:rPr>
            </w:pPr>
          </w:p>
        </w:tc>
        <w:tc>
          <w:tcPr>
            <w:tcW w:w="990" w:type="dxa"/>
            <w:vMerge/>
          </w:tcPr>
          <w:p w:rsidR="00F50D8B" w:rsidRPr="00F35F4B" w:rsidRDefault="00F50D8B" w:rsidP="000F732E">
            <w:pPr>
              <w:rPr>
                <w:sz w:val="18"/>
                <w:szCs w:val="18"/>
              </w:rPr>
            </w:pPr>
          </w:p>
        </w:tc>
        <w:tc>
          <w:tcPr>
            <w:tcW w:w="568" w:type="dxa"/>
          </w:tcPr>
          <w:p w:rsidR="00F50D8B" w:rsidRPr="00783B28"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E31D81" w:rsidRDefault="00F50D8B" w:rsidP="000F732E">
            <w:pPr>
              <w:rPr>
                <w:sz w:val="18"/>
                <w:szCs w:val="18"/>
              </w:rPr>
            </w:pPr>
          </w:p>
        </w:tc>
        <w:tc>
          <w:tcPr>
            <w:tcW w:w="602"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990" w:type="dxa"/>
          </w:tcPr>
          <w:p w:rsidR="00F50D8B" w:rsidRPr="00E70515" w:rsidRDefault="00F50D8B" w:rsidP="000F732E">
            <w:pPr>
              <w:rPr>
                <w:sz w:val="18"/>
                <w:szCs w:val="18"/>
              </w:rPr>
            </w:pPr>
          </w:p>
        </w:tc>
      </w:tr>
      <w:tr w:rsidR="00F50D8B" w:rsidRPr="00F80C42" w:rsidTr="00F50D8B">
        <w:tc>
          <w:tcPr>
            <w:tcW w:w="2178" w:type="dxa"/>
          </w:tcPr>
          <w:p w:rsidR="00F50D8B" w:rsidRPr="00F80C42" w:rsidRDefault="00F50D8B" w:rsidP="00C87FC6">
            <w:pPr>
              <w:jc w:val="both"/>
              <w:rPr>
                <w:sz w:val="18"/>
                <w:szCs w:val="18"/>
              </w:rPr>
            </w:pPr>
            <w:r w:rsidRPr="00F80C42">
              <w:rPr>
                <w:sz w:val="18"/>
                <w:szCs w:val="18"/>
              </w:rPr>
              <w:t>Val cumulată – operațiuni selectate (estimare furnizată de beneficiari</w:t>
            </w:r>
            <w:r>
              <w:rPr>
                <w:sz w:val="18"/>
                <w:szCs w:val="18"/>
              </w:rPr>
              <w:t>)</w:t>
            </w:r>
          </w:p>
        </w:tc>
        <w:tc>
          <w:tcPr>
            <w:tcW w:w="482" w:type="dxa"/>
            <w:vMerge w:val="restart"/>
          </w:tcPr>
          <w:p w:rsidR="00F50D8B" w:rsidRPr="00F80C42" w:rsidRDefault="00F50D8B" w:rsidP="00F50D8B">
            <w:pPr>
              <w:ind w:right="-108"/>
              <w:rPr>
                <w:sz w:val="18"/>
                <w:szCs w:val="18"/>
              </w:rPr>
            </w:pPr>
            <w:r w:rsidRPr="00F80C42">
              <w:rPr>
                <w:sz w:val="18"/>
                <w:szCs w:val="18"/>
              </w:rPr>
              <w:t>6S10</w:t>
            </w:r>
          </w:p>
        </w:tc>
        <w:tc>
          <w:tcPr>
            <w:tcW w:w="1800" w:type="dxa"/>
            <w:vMerge w:val="restart"/>
          </w:tcPr>
          <w:p w:rsidR="00F50D8B" w:rsidRPr="00C87FC6" w:rsidRDefault="00F50D8B"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Materiale de informare și publicitate elaborate - ediții </w:t>
            </w:r>
          </w:p>
        </w:tc>
        <w:tc>
          <w:tcPr>
            <w:tcW w:w="810" w:type="dxa"/>
            <w:vMerge w:val="restart"/>
          </w:tcPr>
          <w:p w:rsidR="00F50D8B" w:rsidRPr="00F80C42" w:rsidRDefault="00F50D8B" w:rsidP="00454BCE">
            <w:pPr>
              <w:rPr>
                <w:sz w:val="18"/>
                <w:szCs w:val="18"/>
              </w:rPr>
            </w:pPr>
            <w:r w:rsidRPr="00F80C42">
              <w:rPr>
                <w:sz w:val="18"/>
                <w:szCs w:val="18"/>
              </w:rPr>
              <w:t>Nr.</w:t>
            </w:r>
          </w:p>
        </w:tc>
        <w:tc>
          <w:tcPr>
            <w:tcW w:w="630" w:type="dxa"/>
            <w:vMerge w:val="restart"/>
          </w:tcPr>
          <w:p w:rsidR="00F50D8B" w:rsidRPr="00F35F4B" w:rsidRDefault="00F50D8B" w:rsidP="00454BCE">
            <w:pPr>
              <w:rPr>
                <w:sz w:val="18"/>
                <w:szCs w:val="18"/>
              </w:rPr>
            </w:pPr>
            <w:r w:rsidRPr="00627EC6">
              <w:rPr>
                <w:sz w:val="18"/>
                <w:szCs w:val="18"/>
              </w:rPr>
              <w:t>FEDR</w:t>
            </w:r>
          </w:p>
        </w:tc>
        <w:tc>
          <w:tcPr>
            <w:tcW w:w="990" w:type="dxa"/>
            <w:vMerge w:val="restart"/>
          </w:tcPr>
          <w:p w:rsidR="00F50D8B" w:rsidRPr="00F35F4B" w:rsidRDefault="00F50D8B" w:rsidP="00454BCE">
            <w:pPr>
              <w:rPr>
                <w:sz w:val="18"/>
                <w:szCs w:val="18"/>
              </w:rPr>
            </w:pPr>
            <w:r w:rsidRPr="00F35F4B">
              <w:rPr>
                <w:sz w:val="18"/>
                <w:szCs w:val="18"/>
              </w:rPr>
              <w:t xml:space="preserve">N/A </w:t>
            </w:r>
          </w:p>
        </w:tc>
        <w:tc>
          <w:tcPr>
            <w:tcW w:w="990" w:type="dxa"/>
            <w:vMerge w:val="restart"/>
          </w:tcPr>
          <w:p w:rsidR="00F50D8B" w:rsidRPr="00F35F4B" w:rsidRDefault="00F50D8B" w:rsidP="00454BCE">
            <w:pPr>
              <w:rPr>
                <w:sz w:val="18"/>
                <w:szCs w:val="18"/>
              </w:rPr>
            </w:pPr>
            <w:r w:rsidRPr="00F35F4B">
              <w:rPr>
                <w:sz w:val="18"/>
                <w:szCs w:val="18"/>
              </w:rPr>
              <w:t>30</w:t>
            </w:r>
          </w:p>
        </w:tc>
        <w:tc>
          <w:tcPr>
            <w:tcW w:w="568" w:type="dxa"/>
          </w:tcPr>
          <w:p w:rsidR="00F50D8B" w:rsidRPr="00F35F4B" w:rsidRDefault="00F50D8B" w:rsidP="00454BCE">
            <w:pPr>
              <w:rPr>
                <w:sz w:val="18"/>
                <w:szCs w:val="18"/>
              </w:rPr>
            </w:pPr>
            <w:r w:rsidRPr="00F35F4B">
              <w:rPr>
                <w:sz w:val="18"/>
                <w:szCs w:val="18"/>
              </w:rPr>
              <w:t>0</w:t>
            </w:r>
          </w:p>
        </w:tc>
        <w:tc>
          <w:tcPr>
            <w:tcW w:w="630" w:type="dxa"/>
          </w:tcPr>
          <w:p w:rsidR="00F50D8B" w:rsidRPr="00783B28" w:rsidRDefault="00F50D8B" w:rsidP="00454BCE">
            <w:pPr>
              <w:rPr>
                <w:sz w:val="18"/>
                <w:szCs w:val="18"/>
              </w:rPr>
            </w:pPr>
            <w:r w:rsidRPr="00783B28">
              <w:rPr>
                <w:sz w:val="18"/>
                <w:szCs w:val="18"/>
              </w:rPr>
              <w:t>0</w:t>
            </w:r>
          </w:p>
        </w:tc>
        <w:tc>
          <w:tcPr>
            <w:tcW w:w="630" w:type="dxa"/>
          </w:tcPr>
          <w:p w:rsidR="00F50D8B" w:rsidRPr="007F3437" w:rsidRDefault="00F50D8B" w:rsidP="00454BCE">
            <w:pPr>
              <w:rPr>
                <w:sz w:val="18"/>
                <w:szCs w:val="18"/>
              </w:rPr>
            </w:pPr>
          </w:p>
        </w:tc>
        <w:tc>
          <w:tcPr>
            <w:tcW w:w="630" w:type="dxa"/>
          </w:tcPr>
          <w:p w:rsidR="00F50D8B" w:rsidRPr="007F3437" w:rsidRDefault="00F50D8B" w:rsidP="00454BCE">
            <w:pPr>
              <w:rPr>
                <w:sz w:val="18"/>
                <w:szCs w:val="18"/>
              </w:rPr>
            </w:pPr>
          </w:p>
        </w:tc>
        <w:tc>
          <w:tcPr>
            <w:tcW w:w="630" w:type="dxa"/>
          </w:tcPr>
          <w:p w:rsidR="00F50D8B" w:rsidRPr="007F3437" w:rsidRDefault="00F50D8B" w:rsidP="00454BCE">
            <w:pPr>
              <w:rPr>
                <w:sz w:val="18"/>
                <w:szCs w:val="18"/>
              </w:rPr>
            </w:pPr>
          </w:p>
        </w:tc>
        <w:tc>
          <w:tcPr>
            <w:tcW w:w="602" w:type="dxa"/>
          </w:tcPr>
          <w:p w:rsidR="00F50D8B" w:rsidRPr="00E31D81" w:rsidRDefault="00F50D8B" w:rsidP="00454BCE">
            <w:pPr>
              <w:rPr>
                <w:sz w:val="18"/>
                <w:szCs w:val="18"/>
              </w:rPr>
            </w:pPr>
          </w:p>
        </w:tc>
        <w:tc>
          <w:tcPr>
            <w:tcW w:w="630" w:type="dxa"/>
          </w:tcPr>
          <w:p w:rsidR="00F50D8B" w:rsidRPr="00E31D81" w:rsidRDefault="00F50D8B" w:rsidP="00454BCE">
            <w:pPr>
              <w:rPr>
                <w:sz w:val="18"/>
                <w:szCs w:val="18"/>
              </w:rPr>
            </w:pPr>
          </w:p>
        </w:tc>
        <w:tc>
          <w:tcPr>
            <w:tcW w:w="630" w:type="dxa"/>
          </w:tcPr>
          <w:p w:rsidR="00F50D8B" w:rsidRPr="00E31D81" w:rsidRDefault="00F50D8B" w:rsidP="00454BCE">
            <w:pPr>
              <w:rPr>
                <w:sz w:val="18"/>
                <w:szCs w:val="18"/>
              </w:rPr>
            </w:pPr>
          </w:p>
        </w:tc>
        <w:tc>
          <w:tcPr>
            <w:tcW w:w="630" w:type="dxa"/>
          </w:tcPr>
          <w:p w:rsidR="00F50D8B" w:rsidRPr="00E70515" w:rsidRDefault="00F50D8B" w:rsidP="00454BCE">
            <w:pPr>
              <w:rPr>
                <w:sz w:val="18"/>
                <w:szCs w:val="18"/>
              </w:rPr>
            </w:pPr>
          </w:p>
        </w:tc>
        <w:tc>
          <w:tcPr>
            <w:tcW w:w="630" w:type="dxa"/>
          </w:tcPr>
          <w:p w:rsidR="00F50D8B" w:rsidRPr="00E70515" w:rsidRDefault="00F50D8B" w:rsidP="00454BCE">
            <w:pPr>
              <w:rPr>
                <w:sz w:val="18"/>
                <w:szCs w:val="18"/>
              </w:rPr>
            </w:pPr>
          </w:p>
        </w:tc>
        <w:tc>
          <w:tcPr>
            <w:tcW w:w="990" w:type="dxa"/>
          </w:tcPr>
          <w:p w:rsidR="00F50D8B" w:rsidRPr="00E70515" w:rsidRDefault="00F50D8B" w:rsidP="00454BCE">
            <w:pPr>
              <w:rPr>
                <w:sz w:val="18"/>
                <w:szCs w:val="18"/>
              </w:rPr>
            </w:pPr>
          </w:p>
        </w:tc>
      </w:tr>
      <w:tr w:rsidR="00F50D8B" w:rsidRPr="00F80C42" w:rsidTr="00F50D8B">
        <w:tc>
          <w:tcPr>
            <w:tcW w:w="2178" w:type="dxa"/>
          </w:tcPr>
          <w:p w:rsidR="00F50D8B" w:rsidRPr="00F80C42" w:rsidRDefault="00F50D8B"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F80C42" w:rsidRDefault="00F50D8B" w:rsidP="000F732E">
            <w:pPr>
              <w:pStyle w:val="Default"/>
              <w:rPr>
                <w:rFonts w:asciiTheme="minorHAnsi" w:hAnsiTheme="minorHAnsi"/>
                <w:sz w:val="18"/>
                <w:szCs w:val="18"/>
                <w:lang w:val="ro-RO"/>
              </w:rPr>
            </w:pPr>
          </w:p>
        </w:tc>
        <w:tc>
          <w:tcPr>
            <w:tcW w:w="810" w:type="dxa"/>
            <w:vMerge/>
          </w:tcPr>
          <w:p w:rsidR="00F50D8B" w:rsidRPr="00F80C42" w:rsidRDefault="00F50D8B" w:rsidP="000F732E">
            <w:pPr>
              <w:rPr>
                <w:sz w:val="18"/>
                <w:szCs w:val="18"/>
              </w:rPr>
            </w:pPr>
          </w:p>
        </w:tc>
        <w:tc>
          <w:tcPr>
            <w:tcW w:w="630" w:type="dxa"/>
            <w:vMerge/>
          </w:tcPr>
          <w:p w:rsidR="00F50D8B" w:rsidRPr="00627EC6" w:rsidRDefault="00F50D8B" w:rsidP="000F732E">
            <w:pPr>
              <w:rPr>
                <w:sz w:val="18"/>
                <w:szCs w:val="18"/>
              </w:rPr>
            </w:pPr>
          </w:p>
        </w:tc>
        <w:tc>
          <w:tcPr>
            <w:tcW w:w="990" w:type="dxa"/>
            <w:vMerge/>
          </w:tcPr>
          <w:p w:rsidR="00F50D8B" w:rsidRPr="00F35F4B" w:rsidRDefault="00F50D8B" w:rsidP="000F732E">
            <w:pPr>
              <w:rPr>
                <w:sz w:val="18"/>
                <w:szCs w:val="18"/>
              </w:rPr>
            </w:pPr>
          </w:p>
        </w:tc>
        <w:tc>
          <w:tcPr>
            <w:tcW w:w="990" w:type="dxa"/>
            <w:vMerge/>
          </w:tcPr>
          <w:p w:rsidR="00F50D8B" w:rsidRPr="00F35F4B" w:rsidRDefault="00F50D8B" w:rsidP="000F732E">
            <w:pPr>
              <w:rPr>
                <w:sz w:val="18"/>
                <w:szCs w:val="18"/>
              </w:rPr>
            </w:pPr>
          </w:p>
        </w:tc>
        <w:tc>
          <w:tcPr>
            <w:tcW w:w="568" w:type="dxa"/>
          </w:tcPr>
          <w:p w:rsidR="00F50D8B" w:rsidRPr="00F35F4B" w:rsidRDefault="00F50D8B" w:rsidP="000F732E">
            <w:pPr>
              <w:rPr>
                <w:sz w:val="18"/>
                <w:szCs w:val="18"/>
              </w:rPr>
            </w:pPr>
            <w:r>
              <w:rPr>
                <w:sz w:val="18"/>
                <w:szCs w:val="18"/>
              </w:rPr>
              <w:t>0</w:t>
            </w:r>
          </w:p>
        </w:tc>
        <w:tc>
          <w:tcPr>
            <w:tcW w:w="630" w:type="dxa"/>
          </w:tcPr>
          <w:p w:rsidR="00F50D8B" w:rsidRPr="00783B28"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02"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990" w:type="dxa"/>
          </w:tcPr>
          <w:p w:rsidR="00F50D8B" w:rsidRPr="00E70515" w:rsidRDefault="00F50D8B" w:rsidP="000F732E">
            <w:pPr>
              <w:rPr>
                <w:sz w:val="18"/>
                <w:szCs w:val="18"/>
              </w:rPr>
            </w:pPr>
          </w:p>
        </w:tc>
      </w:tr>
      <w:tr w:rsidR="00F50D8B" w:rsidRPr="00F80C42" w:rsidTr="00F50D8B">
        <w:tc>
          <w:tcPr>
            <w:tcW w:w="2178" w:type="dxa"/>
          </w:tcPr>
          <w:p w:rsidR="00F50D8B" w:rsidRPr="00F80C42" w:rsidRDefault="00F50D8B" w:rsidP="00C87FC6">
            <w:pPr>
              <w:jc w:val="both"/>
              <w:rPr>
                <w:sz w:val="18"/>
                <w:szCs w:val="18"/>
              </w:rPr>
            </w:pPr>
            <w:r w:rsidRPr="00F80C42">
              <w:rPr>
                <w:sz w:val="18"/>
                <w:szCs w:val="18"/>
              </w:rPr>
              <w:t>Val cumulată – operațiuni selectate (estimare furnizată de beneficiari</w:t>
            </w:r>
            <w:r>
              <w:rPr>
                <w:sz w:val="18"/>
                <w:szCs w:val="18"/>
              </w:rPr>
              <w:t>)</w:t>
            </w:r>
          </w:p>
        </w:tc>
        <w:tc>
          <w:tcPr>
            <w:tcW w:w="482" w:type="dxa"/>
            <w:vMerge w:val="restart"/>
          </w:tcPr>
          <w:p w:rsidR="00F50D8B" w:rsidRPr="00F80C42" w:rsidRDefault="00F50D8B" w:rsidP="00F50D8B">
            <w:pPr>
              <w:ind w:right="-108"/>
              <w:rPr>
                <w:sz w:val="18"/>
                <w:szCs w:val="18"/>
              </w:rPr>
            </w:pPr>
            <w:r w:rsidRPr="00F80C42">
              <w:rPr>
                <w:sz w:val="18"/>
                <w:szCs w:val="18"/>
              </w:rPr>
              <w:t>6S11</w:t>
            </w:r>
          </w:p>
        </w:tc>
        <w:tc>
          <w:tcPr>
            <w:tcW w:w="1800" w:type="dxa"/>
            <w:vMerge w:val="restart"/>
          </w:tcPr>
          <w:p w:rsidR="00F50D8B" w:rsidRPr="00C87FC6" w:rsidRDefault="00F50D8B"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Campanii organizate </w:t>
            </w:r>
          </w:p>
        </w:tc>
        <w:tc>
          <w:tcPr>
            <w:tcW w:w="810" w:type="dxa"/>
            <w:vMerge w:val="restart"/>
          </w:tcPr>
          <w:p w:rsidR="00F50D8B" w:rsidRPr="00F35F4B" w:rsidRDefault="00F50D8B" w:rsidP="00454BCE">
            <w:pPr>
              <w:rPr>
                <w:sz w:val="18"/>
                <w:szCs w:val="18"/>
              </w:rPr>
            </w:pPr>
            <w:r w:rsidRPr="00F80C42">
              <w:rPr>
                <w:sz w:val="18"/>
                <w:szCs w:val="18"/>
              </w:rPr>
              <w:t>Nr.</w:t>
            </w:r>
          </w:p>
        </w:tc>
        <w:tc>
          <w:tcPr>
            <w:tcW w:w="630" w:type="dxa"/>
            <w:vMerge w:val="restart"/>
          </w:tcPr>
          <w:p w:rsidR="00F50D8B" w:rsidRPr="00F35F4B" w:rsidRDefault="00F50D8B" w:rsidP="00454BCE">
            <w:pPr>
              <w:rPr>
                <w:sz w:val="18"/>
                <w:szCs w:val="18"/>
              </w:rPr>
            </w:pPr>
            <w:r w:rsidRPr="00627EC6">
              <w:rPr>
                <w:sz w:val="18"/>
                <w:szCs w:val="18"/>
              </w:rPr>
              <w:t>FEDR</w:t>
            </w:r>
          </w:p>
        </w:tc>
        <w:tc>
          <w:tcPr>
            <w:tcW w:w="990" w:type="dxa"/>
            <w:vMerge w:val="restart"/>
          </w:tcPr>
          <w:p w:rsidR="00F50D8B" w:rsidRPr="00F35F4B" w:rsidRDefault="00F50D8B" w:rsidP="00454BCE">
            <w:pPr>
              <w:rPr>
                <w:sz w:val="18"/>
                <w:szCs w:val="18"/>
              </w:rPr>
            </w:pPr>
            <w:r w:rsidRPr="00EA0FBB">
              <w:rPr>
                <w:sz w:val="18"/>
                <w:szCs w:val="18"/>
              </w:rPr>
              <w:t xml:space="preserve">N/A </w:t>
            </w:r>
          </w:p>
        </w:tc>
        <w:tc>
          <w:tcPr>
            <w:tcW w:w="990" w:type="dxa"/>
            <w:vMerge w:val="restart"/>
          </w:tcPr>
          <w:p w:rsidR="00F50D8B" w:rsidRPr="00F35F4B" w:rsidRDefault="00F50D8B" w:rsidP="00454BCE">
            <w:pPr>
              <w:rPr>
                <w:sz w:val="18"/>
                <w:szCs w:val="18"/>
              </w:rPr>
            </w:pPr>
            <w:r w:rsidRPr="00F35F4B">
              <w:rPr>
                <w:sz w:val="18"/>
                <w:szCs w:val="18"/>
              </w:rPr>
              <w:t>3</w:t>
            </w:r>
          </w:p>
        </w:tc>
        <w:tc>
          <w:tcPr>
            <w:tcW w:w="568" w:type="dxa"/>
          </w:tcPr>
          <w:p w:rsidR="00F50D8B" w:rsidRPr="00783B28" w:rsidRDefault="00F50D8B" w:rsidP="00454BCE">
            <w:pPr>
              <w:rPr>
                <w:sz w:val="18"/>
                <w:szCs w:val="18"/>
              </w:rPr>
            </w:pPr>
            <w:r w:rsidRPr="00783B28">
              <w:rPr>
                <w:sz w:val="18"/>
                <w:szCs w:val="18"/>
              </w:rPr>
              <w:t>0</w:t>
            </w:r>
          </w:p>
        </w:tc>
        <w:tc>
          <w:tcPr>
            <w:tcW w:w="630" w:type="dxa"/>
          </w:tcPr>
          <w:p w:rsidR="00F50D8B" w:rsidRPr="007F3437" w:rsidRDefault="00F50D8B" w:rsidP="00454BCE">
            <w:pPr>
              <w:rPr>
                <w:sz w:val="18"/>
                <w:szCs w:val="18"/>
              </w:rPr>
            </w:pPr>
            <w:r w:rsidRPr="007F3437">
              <w:rPr>
                <w:sz w:val="18"/>
                <w:szCs w:val="18"/>
              </w:rPr>
              <w:t>0</w:t>
            </w:r>
          </w:p>
        </w:tc>
        <w:tc>
          <w:tcPr>
            <w:tcW w:w="630" w:type="dxa"/>
          </w:tcPr>
          <w:p w:rsidR="00F50D8B" w:rsidRPr="007F3437" w:rsidRDefault="00F50D8B" w:rsidP="00454BCE">
            <w:pPr>
              <w:rPr>
                <w:sz w:val="18"/>
                <w:szCs w:val="18"/>
              </w:rPr>
            </w:pPr>
          </w:p>
        </w:tc>
        <w:tc>
          <w:tcPr>
            <w:tcW w:w="630" w:type="dxa"/>
          </w:tcPr>
          <w:p w:rsidR="00F50D8B" w:rsidRPr="007F3437" w:rsidRDefault="00F50D8B" w:rsidP="00454BCE">
            <w:pPr>
              <w:rPr>
                <w:sz w:val="18"/>
                <w:szCs w:val="18"/>
              </w:rPr>
            </w:pPr>
          </w:p>
        </w:tc>
        <w:tc>
          <w:tcPr>
            <w:tcW w:w="630" w:type="dxa"/>
          </w:tcPr>
          <w:p w:rsidR="00F50D8B" w:rsidRPr="00E31D81" w:rsidRDefault="00F50D8B" w:rsidP="00454BCE">
            <w:pPr>
              <w:rPr>
                <w:sz w:val="18"/>
                <w:szCs w:val="18"/>
              </w:rPr>
            </w:pPr>
          </w:p>
        </w:tc>
        <w:tc>
          <w:tcPr>
            <w:tcW w:w="602" w:type="dxa"/>
          </w:tcPr>
          <w:p w:rsidR="00F50D8B" w:rsidRPr="00E31D81" w:rsidRDefault="00F50D8B" w:rsidP="00454BCE">
            <w:pPr>
              <w:rPr>
                <w:sz w:val="18"/>
                <w:szCs w:val="18"/>
              </w:rPr>
            </w:pPr>
          </w:p>
        </w:tc>
        <w:tc>
          <w:tcPr>
            <w:tcW w:w="630" w:type="dxa"/>
          </w:tcPr>
          <w:p w:rsidR="00F50D8B" w:rsidRPr="00E31D81" w:rsidRDefault="00F50D8B" w:rsidP="00454BCE">
            <w:pPr>
              <w:rPr>
                <w:sz w:val="18"/>
                <w:szCs w:val="18"/>
              </w:rPr>
            </w:pPr>
          </w:p>
        </w:tc>
        <w:tc>
          <w:tcPr>
            <w:tcW w:w="630" w:type="dxa"/>
          </w:tcPr>
          <w:p w:rsidR="00F50D8B" w:rsidRPr="00E70515" w:rsidRDefault="00F50D8B" w:rsidP="00454BCE">
            <w:pPr>
              <w:rPr>
                <w:sz w:val="18"/>
                <w:szCs w:val="18"/>
              </w:rPr>
            </w:pPr>
          </w:p>
        </w:tc>
        <w:tc>
          <w:tcPr>
            <w:tcW w:w="630" w:type="dxa"/>
          </w:tcPr>
          <w:p w:rsidR="00F50D8B" w:rsidRPr="00E70515" w:rsidRDefault="00F50D8B" w:rsidP="00454BCE">
            <w:pPr>
              <w:rPr>
                <w:sz w:val="18"/>
                <w:szCs w:val="18"/>
              </w:rPr>
            </w:pPr>
          </w:p>
        </w:tc>
        <w:tc>
          <w:tcPr>
            <w:tcW w:w="630" w:type="dxa"/>
          </w:tcPr>
          <w:p w:rsidR="00F50D8B" w:rsidRPr="00E70515" w:rsidRDefault="00F50D8B" w:rsidP="00454BCE">
            <w:pPr>
              <w:rPr>
                <w:sz w:val="18"/>
                <w:szCs w:val="18"/>
              </w:rPr>
            </w:pPr>
          </w:p>
        </w:tc>
        <w:tc>
          <w:tcPr>
            <w:tcW w:w="990" w:type="dxa"/>
          </w:tcPr>
          <w:p w:rsidR="00F50D8B" w:rsidRPr="00E70515" w:rsidRDefault="00F50D8B" w:rsidP="00454BC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lastRenderedPageBreak/>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DA591E" w:rsidRDefault="00F50D8B" w:rsidP="000F732E">
            <w:pPr>
              <w:pStyle w:val="Default"/>
              <w:rPr>
                <w:rFonts w:asciiTheme="minorHAnsi" w:hAnsiTheme="minorHAnsi"/>
                <w:sz w:val="18"/>
                <w:szCs w:val="18"/>
                <w:lang w:val="ro-RO"/>
              </w:rPr>
            </w:pPr>
          </w:p>
        </w:tc>
        <w:tc>
          <w:tcPr>
            <w:tcW w:w="810" w:type="dxa"/>
            <w:vMerge/>
          </w:tcPr>
          <w:p w:rsidR="00F50D8B" w:rsidRPr="00F80C42" w:rsidRDefault="00F50D8B" w:rsidP="000F732E">
            <w:pPr>
              <w:rPr>
                <w:sz w:val="18"/>
                <w:szCs w:val="18"/>
              </w:rPr>
            </w:pPr>
          </w:p>
        </w:tc>
        <w:tc>
          <w:tcPr>
            <w:tcW w:w="630" w:type="dxa"/>
            <w:vMerge/>
          </w:tcPr>
          <w:p w:rsidR="00F50D8B" w:rsidRPr="00627EC6" w:rsidRDefault="00F50D8B" w:rsidP="000F732E">
            <w:pPr>
              <w:rPr>
                <w:sz w:val="18"/>
                <w:szCs w:val="18"/>
              </w:rPr>
            </w:pPr>
          </w:p>
        </w:tc>
        <w:tc>
          <w:tcPr>
            <w:tcW w:w="990" w:type="dxa"/>
            <w:vMerge/>
          </w:tcPr>
          <w:p w:rsidR="00F50D8B" w:rsidRPr="00EA0FBB" w:rsidRDefault="00F50D8B" w:rsidP="000F732E">
            <w:pPr>
              <w:rPr>
                <w:sz w:val="18"/>
                <w:szCs w:val="18"/>
              </w:rPr>
            </w:pPr>
          </w:p>
        </w:tc>
        <w:tc>
          <w:tcPr>
            <w:tcW w:w="990" w:type="dxa"/>
            <w:vMerge/>
          </w:tcPr>
          <w:p w:rsidR="00F50D8B" w:rsidRPr="00F35F4B" w:rsidRDefault="00F50D8B" w:rsidP="000F732E">
            <w:pPr>
              <w:rPr>
                <w:sz w:val="18"/>
                <w:szCs w:val="18"/>
              </w:rPr>
            </w:pPr>
          </w:p>
        </w:tc>
        <w:tc>
          <w:tcPr>
            <w:tcW w:w="568" w:type="dxa"/>
          </w:tcPr>
          <w:p w:rsidR="00F50D8B" w:rsidRPr="00783B28"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E31D81" w:rsidRDefault="00F50D8B" w:rsidP="000F732E">
            <w:pPr>
              <w:rPr>
                <w:sz w:val="18"/>
                <w:szCs w:val="18"/>
              </w:rPr>
            </w:pPr>
          </w:p>
        </w:tc>
        <w:tc>
          <w:tcPr>
            <w:tcW w:w="602"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990" w:type="dxa"/>
          </w:tcPr>
          <w:p w:rsidR="00F50D8B" w:rsidRPr="00E70515" w:rsidRDefault="00F50D8B" w:rsidP="000F732E">
            <w:pPr>
              <w:rPr>
                <w:sz w:val="18"/>
                <w:szCs w:val="18"/>
              </w:rPr>
            </w:pPr>
          </w:p>
        </w:tc>
      </w:tr>
      <w:tr w:rsidR="00DA591E" w:rsidRPr="00F80C42" w:rsidTr="00F50D8B">
        <w:tc>
          <w:tcPr>
            <w:tcW w:w="2178" w:type="dxa"/>
          </w:tcPr>
          <w:p w:rsidR="00DA591E" w:rsidRPr="00F80C42" w:rsidRDefault="00DA591E" w:rsidP="00C87FC6">
            <w:pPr>
              <w:jc w:val="both"/>
              <w:rPr>
                <w:sz w:val="18"/>
                <w:szCs w:val="18"/>
              </w:rPr>
            </w:pPr>
            <w:r w:rsidRPr="00F80C42">
              <w:rPr>
                <w:sz w:val="18"/>
                <w:szCs w:val="18"/>
              </w:rPr>
              <w:t>Val cumulată – operațiuni selectate (estimare furnizată de beneficiari</w:t>
            </w:r>
            <w:r w:rsidR="00EF494C">
              <w:rPr>
                <w:sz w:val="18"/>
                <w:szCs w:val="18"/>
              </w:rPr>
              <w:t>)</w:t>
            </w:r>
          </w:p>
        </w:tc>
        <w:tc>
          <w:tcPr>
            <w:tcW w:w="482" w:type="dxa"/>
            <w:vMerge w:val="restart"/>
          </w:tcPr>
          <w:p w:rsidR="00DA591E" w:rsidRPr="00F80C42" w:rsidRDefault="00DA591E" w:rsidP="00F50D8B">
            <w:pPr>
              <w:ind w:right="-108"/>
              <w:rPr>
                <w:sz w:val="18"/>
                <w:szCs w:val="18"/>
              </w:rPr>
            </w:pPr>
            <w:r w:rsidRPr="00F80C42">
              <w:rPr>
                <w:sz w:val="18"/>
                <w:szCs w:val="18"/>
              </w:rPr>
              <w:t>6S12</w:t>
            </w:r>
          </w:p>
        </w:tc>
        <w:tc>
          <w:tcPr>
            <w:tcW w:w="1800" w:type="dxa"/>
            <w:vMerge w:val="restart"/>
          </w:tcPr>
          <w:p w:rsidR="00DA591E" w:rsidRPr="00C87FC6" w:rsidRDefault="00DA591E"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Solicitări care au fost soluționate de rețeaua de Centre de informare </w:t>
            </w:r>
          </w:p>
        </w:tc>
        <w:tc>
          <w:tcPr>
            <w:tcW w:w="810" w:type="dxa"/>
            <w:vMerge w:val="restart"/>
          </w:tcPr>
          <w:p w:rsidR="00DA591E" w:rsidRPr="00F80C42" w:rsidRDefault="00DA591E" w:rsidP="00454BCE">
            <w:pPr>
              <w:rPr>
                <w:sz w:val="18"/>
                <w:szCs w:val="18"/>
              </w:rPr>
            </w:pPr>
            <w:r w:rsidRPr="00F80C42">
              <w:rPr>
                <w:sz w:val="18"/>
                <w:szCs w:val="18"/>
              </w:rPr>
              <w:t>Nr.</w:t>
            </w:r>
          </w:p>
        </w:tc>
        <w:tc>
          <w:tcPr>
            <w:tcW w:w="630" w:type="dxa"/>
            <w:vMerge w:val="restart"/>
          </w:tcPr>
          <w:p w:rsidR="00DA591E" w:rsidRPr="00F35F4B" w:rsidRDefault="00DA591E" w:rsidP="00454BCE">
            <w:pPr>
              <w:rPr>
                <w:sz w:val="18"/>
                <w:szCs w:val="18"/>
              </w:rPr>
            </w:pPr>
            <w:r w:rsidRPr="00627EC6">
              <w:rPr>
                <w:sz w:val="18"/>
                <w:szCs w:val="18"/>
              </w:rPr>
              <w:t>FEDR</w:t>
            </w:r>
          </w:p>
        </w:tc>
        <w:tc>
          <w:tcPr>
            <w:tcW w:w="990" w:type="dxa"/>
            <w:vMerge w:val="restart"/>
          </w:tcPr>
          <w:p w:rsidR="00DA591E" w:rsidRPr="00F35F4B" w:rsidRDefault="00DA591E" w:rsidP="00454BCE">
            <w:pPr>
              <w:rPr>
                <w:sz w:val="18"/>
                <w:szCs w:val="18"/>
              </w:rPr>
            </w:pPr>
            <w:r w:rsidRPr="00EA0FBB">
              <w:rPr>
                <w:sz w:val="18"/>
                <w:szCs w:val="18"/>
              </w:rPr>
              <w:t xml:space="preserve">N/A </w:t>
            </w:r>
          </w:p>
        </w:tc>
        <w:tc>
          <w:tcPr>
            <w:tcW w:w="990" w:type="dxa"/>
            <w:vMerge w:val="restart"/>
          </w:tcPr>
          <w:p w:rsidR="00DA591E" w:rsidRPr="00F35F4B" w:rsidRDefault="00DA591E" w:rsidP="00454BCE">
            <w:pPr>
              <w:rPr>
                <w:sz w:val="18"/>
                <w:szCs w:val="18"/>
              </w:rPr>
            </w:pPr>
            <w:r w:rsidRPr="00F35F4B">
              <w:rPr>
                <w:sz w:val="18"/>
                <w:szCs w:val="18"/>
              </w:rPr>
              <w:t>25.000</w:t>
            </w:r>
          </w:p>
        </w:tc>
        <w:tc>
          <w:tcPr>
            <w:tcW w:w="568" w:type="dxa"/>
          </w:tcPr>
          <w:p w:rsidR="00DA591E" w:rsidRPr="00F35F4B" w:rsidRDefault="00DA591E" w:rsidP="00454BCE">
            <w:pPr>
              <w:rPr>
                <w:sz w:val="18"/>
                <w:szCs w:val="18"/>
              </w:rPr>
            </w:pPr>
            <w:r w:rsidRPr="00F35F4B">
              <w:rPr>
                <w:sz w:val="18"/>
                <w:szCs w:val="18"/>
              </w:rPr>
              <w:t>0</w:t>
            </w:r>
          </w:p>
        </w:tc>
        <w:tc>
          <w:tcPr>
            <w:tcW w:w="630" w:type="dxa"/>
          </w:tcPr>
          <w:p w:rsidR="00DA591E" w:rsidRPr="00783B28" w:rsidRDefault="00DA591E" w:rsidP="00454BCE">
            <w:pPr>
              <w:rPr>
                <w:sz w:val="18"/>
                <w:szCs w:val="18"/>
              </w:rPr>
            </w:pPr>
            <w:r w:rsidRPr="00783B28">
              <w:rPr>
                <w:sz w:val="18"/>
                <w:szCs w:val="18"/>
              </w:rPr>
              <w:t>0</w:t>
            </w:r>
          </w:p>
        </w:tc>
        <w:tc>
          <w:tcPr>
            <w:tcW w:w="630" w:type="dxa"/>
          </w:tcPr>
          <w:p w:rsidR="00DA591E" w:rsidRPr="007F3437" w:rsidRDefault="00DA591E" w:rsidP="00454BCE">
            <w:pPr>
              <w:rPr>
                <w:sz w:val="18"/>
                <w:szCs w:val="18"/>
              </w:rPr>
            </w:pPr>
          </w:p>
        </w:tc>
        <w:tc>
          <w:tcPr>
            <w:tcW w:w="630" w:type="dxa"/>
          </w:tcPr>
          <w:p w:rsidR="00DA591E" w:rsidRPr="007F3437" w:rsidRDefault="00DA591E" w:rsidP="00454BCE">
            <w:pPr>
              <w:rPr>
                <w:sz w:val="18"/>
                <w:szCs w:val="18"/>
              </w:rPr>
            </w:pPr>
          </w:p>
        </w:tc>
        <w:tc>
          <w:tcPr>
            <w:tcW w:w="630" w:type="dxa"/>
          </w:tcPr>
          <w:p w:rsidR="00DA591E" w:rsidRPr="007F3437" w:rsidRDefault="00DA591E" w:rsidP="00454BCE">
            <w:pPr>
              <w:rPr>
                <w:sz w:val="18"/>
                <w:szCs w:val="18"/>
              </w:rPr>
            </w:pPr>
          </w:p>
        </w:tc>
        <w:tc>
          <w:tcPr>
            <w:tcW w:w="602" w:type="dxa"/>
          </w:tcPr>
          <w:p w:rsidR="00DA591E" w:rsidRPr="00E31D81" w:rsidRDefault="00DA591E" w:rsidP="00454BCE">
            <w:pPr>
              <w:rPr>
                <w:sz w:val="18"/>
                <w:szCs w:val="18"/>
              </w:rPr>
            </w:pPr>
          </w:p>
        </w:tc>
        <w:tc>
          <w:tcPr>
            <w:tcW w:w="630" w:type="dxa"/>
          </w:tcPr>
          <w:p w:rsidR="00DA591E" w:rsidRPr="00E31D81" w:rsidRDefault="00DA591E" w:rsidP="00454BCE">
            <w:pPr>
              <w:rPr>
                <w:sz w:val="18"/>
                <w:szCs w:val="18"/>
              </w:rPr>
            </w:pPr>
          </w:p>
        </w:tc>
        <w:tc>
          <w:tcPr>
            <w:tcW w:w="630" w:type="dxa"/>
          </w:tcPr>
          <w:p w:rsidR="00DA591E" w:rsidRPr="00E31D81" w:rsidRDefault="00DA591E" w:rsidP="00454BCE">
            <w:pPr>
              <w:rPr>
                <w:sz w:val="18"/>
                <w:szCs w:val="18"/>
              </w:rPr>
            </w:pPr>
          </w:p>
        </w:tc>
        <w:tc>
          <w:tcPr>
            <w:tcW w:w="630" w:type="dxa"/>
          </w:tcPr>
          <w:p w:rsidR="00DA591E" w:rsidRPr="00E70515" w:rsidRDefault="00DA591E" w:rsidP="00454BCE">
            <w:pPr>
              <w:rPr>
                <w:sz w:val="18"/>
                <w:szCs w:val="18"/>
              </w:rPr>
            </w:pPr>
          </w:p>
        </w:tc>
        <w:tc>
          <w:tcPr>
            <w:tcW w:w="630" w:type="dxa"/>
          </w:tcPr>
          <w:p w:rsidR="00DA591E" w:rsidRPr="00E70515" w:rsidRDefault="00DA591E" w:rsidP="00454BCE">
            <w:pPr>
              <w:rPr>
                <w:sz w:val="18"/>
                <w:szCs w:val="18"/>
              </w:rPr>
            </w:pPr>
          </w:p>
        </w:tc>
        <w:tc>
          <w:tcPr>
            <w:tcW w:w="990" w:type="dxa"/>
          </w:tcPr>
          <w:p w:rsidR="00DA591E" w:rsidRPr="00E70515" w:rsidRDefault="00DA591E" w:rsidP="00454BCE">
            <w:pPr>
              <w:rPr>
                <w:sz w:val="18"/>
                <w:szCs w:val="18"/>
              </w:rPr>
            </w:pPr>
          </w:p>
        </w:tc>
      </w:tr>
      <w:tr w:rsidR="00DA591E" w:rsidRPr="00F80C42" w:rsidTr="00F50D8B">
        <w:tc>
          <w:tcPr>
            <w:tcW w:w="2178" w:type="dxa"/>
          </w:tcPr>
          <w:p w:rsidR="00DA591E" w:rsidRPr="00F80C42" w:rsidRDefault="00DA591E"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DA591E" w:rsidRPr="00F80C42" w:rsidRDefault="00DA591E" w:rsidP="00F50D8B">
            <w:pPr>
              <w:ind w:right="-108"/>
              <w:rPr>
                <w:sz w:val="18"/>
                <w:szCs w:val="18"/>
              </w:rPr>
            </w:pPr>
          </w:p>
        </w:tc>
        <w:tc>
          <w:tcPr>
            <w:tcW w:w="1800" w:type="dxa"/>
            <w:vMerge/>
          </w:tcPr>
          <w:p w:rsidR="00DA591E" w:rsidRPr="00F80C42" w:rsidRDefault="00DA591E" w:rsidP="00C87FC6">
            <w:pPr>
              <w:pStyle w:val="Default"/>
              <w:jc w:val="both"/>
              <w:rPr>
                <w:rFonts w:asciiTheme="minorHAnsi" w:hAnsiTheme="minorHAnsi"/>
                <w:sz w:val="18"/>
                <w:szCs w:val="18"/>
                <w:lang w:val="ro-RO"/>
              </w:rPr>
            </w:pPr>
          </w:p>
        </w:tc>
        <w:tc>
          <w:tcPr>
            <w:tcW w:w="810" w:type="dxa"/>
            <w:vMerge/>
          </w:tcPr>
          <w:p w:rsidR="00DA591E" w:rsidRPr="00F80C42" w:rsidRDefault="00DA591E" w:rsidP="000F732E">
            <w:pPr>
              <w:rPr>
                <w:sz w:val="18"/>
                <w:szCs w:val="18"/>
              </w:rPr>
            </w:pPr>
          </w:p>
        </w:tc>
        <w:tc>
          <w:tcPr>
            <w:tcW w:w="630" w:type="dxa"/>
            <w:vMerge/>
          </w:tcPr>
          <w:p w:rsidR="00DA591E" w:rsidRPr="00627EC6" w:rsidRDefault="00DA591E" w:rsidP="000F732E">
            <w:pPr>
              <w:rPr>
                <w:sz w:val="18"/>
                <w:szCs w:val="18"/>
              </w:rPr>
            </w:pPr>
          </w:p>
        </w:tc>
        <w:tc>
          <w:tcPr>
            <w:tcW w:w="990" w:type="dxa"/>
            <w:vMerge/>
          </w:tcPr>
          <w:p w:rsidR="00DA591E" w:rsidRPr="00EA0FBB" w:rsidRDefault="00DA591E" w:rsidP="000F732E">
            <w:pPr>
              <w:rPr>
                <w:sz w:val="18"/>
                <w:szCs w:val="18"/>
              </w:rPr>
            </w:pPr>
          </w:p>
        </w:tc>
        <w:tc>
          <w:tcPr>
            <w:tcW w:w="990" w:type="dxa"/>
            <w:vMerge/>
          </w:tcPr>
          <w:p w:rsidR="00DA591E" w:rsidRPr="00F35F4B" w:rsidRDefault="00DA591E" w:rsidP="000F732E">
            <w:pPr>
              <w:rPr>
                <w:sz w:val="18"/>
                <w:szCs w:val="18"/>
              </w:rPr>
            </w:pPr>
          </w:p>
        </w:tc>
        <w:tc>
          <w:tcPr>
            <w:tcW w:w="568" w:type="dxa"/>
          </w:tcPr>
          <w:p w:rsidR="00DA591E" w:rsidRPr="00F35F4B" w:rsidRDefault="00DA591E" w:rsidP="000F732E">
            <w:pPr>
              <w:rPr>
                <w:sz w:val="18"/>
                <w:szCs w:val="18"/>
              </w:rPr>
            </w:pPr>
            <w:r>
              <w:rPr>
                <w:sz w:val="18"/>
                <w:szCs w:val="18"/>
              </w:rPr>
              <w:t>0</w:t>
            </w:r>
          </w:p>
        </w:tc>
        <w:tc>
          <w:tcPr>
            <w:tcW w:w="630" w:type="dxa"/>
          </w:tcPr>
          <w:p w:rsidR="00DA591E" w:rsidRPr="00783B28" w:rsidRDefault="00DA591E" w:rsidP="000F732E">
            <w:pPr>
              <w:rPr>
                <w:sz w:val="18"/>
                <w:szCs w:val="18"/>
              </w:rPr>
            </w:pPr>
            <w:r>
              <w:rPr>
                <w:sz w:val="18"/>
                <w:szCs w:val="18"/>
              </w:rPr>
              <w:t>0</w:t>
            </w: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DA591E" w:rsidRPr="00F80C42" w:rsidTr="00F50D8B">
        <w:tc>
          <w:tcPr>
            <w:tcW w:w="2178" w:type="dxa"/>
          </w:tcPr>
          <w:p w:rsidR="00DA591E" w:rsidRPr="00F80C42" w:rsidRDefault="00DA591E" w:rsidP="00C87FC6">
            <w:pPr>
              <w:jc w:val="both"/>
              <w:rPr>
                <w:sz w:val="18"/>
                <w:szCs w:val="18"/>
              </w:rPr>
            </w:pPr>
            <w:r w:rsidRPr="00F80C42">
              <w:rPr>
                <w:sz w:val="18"/>
                <w:szCs w:val="18"/>
              </w:rPr>
              <w:t>Val cumulată – operațiuni selectate (estimare furnizată de beneficiari</w:t>
            </w:r>
            <w:r w:rsidR="00EF494C">
              <w:rPr>
                <w:sz w:val="18"/>
                <w:szCs w:val="18"/>
              </w:rPr>
              <w:t>)</w:t>
            </w:r>
          </w:p>
        </w:tc>
        <w:tc>
          <w:tcPr>
            <w:tcW w:w="482" w:type="dxa"/>
            <w:vMerge w:val="restart"/>
          </w:tcPr>
          <w:p w:rsidR="00DA591E" w:rsidRPr="00F80C42" w:rsidRDefault="00DA591E" w:rsidP="00F50D8B">
            <w:pPr>
              <w:ind w:right="-108"/>
              <w:rPr>
                <w:sz w:val="18"/>
                <w:szCs w:val="18"/>
              </w:rPr>
            </w:pPr>
            <w:r w:rsidRPr="00F80C42">
              <w:rPr>
                <w:sz w:val="18"/>
                <w:szCs w:val="18"/>
              </w:rPr>
              <w:t>6S13</w:t>
            </w:r>
          </w:p>
        </w:tc>
        <w:tc>
          <w:tcPr>
            <w:tcW w:w="1800" w:type="dxa"/>
            <w:vMerge w:val="restart"/>
          </w:tcPr>
          <w:p w:rsidR="00DA591E" w:rsidRDefault="00DA591E"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Sesiuni pe site/portal înregistrat</w:t>
            </w:r>
          </w:p>
          <w:p w:rsidR="00DA591E" w:rsidRPr="00C87FC6" w:rsidRDefault="00DA591E"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e </w:t>
            </w:r>
          </w:p>
        </w:tc>
        <w:tc>
          <w:tcPr>
            <w:tcW w:w="810" w:type="dxa"/>
            <w:vMerge w:val="restart"/>
          </w:tcPr>
          <w:p w:rsidR="00DA591E" w:rsidRPr="00C87FC6" w:rsidRDefault="00DA591E" w:rsidP="000F732E">
            <w:pPr>
              <w:rPr>
                <w:sz w:val="18"/>
                <w:szCs w:val="18"/>
              </w:rPr>
            </w:pPr>
            <w:r w:rsidRPr="00C87FC6">
              <w:rPr>
                <w:sz w:val="18"/>
                <w:szCs w:val="18"/>
              </w:rPr>
              <w:t>Nr. vizite</w:t>
            </w:r>
          </w:p>
        </w:tc>
        <w:tc>
          <w:tcPr>
            <w:tcW w:w="630" w:type="dxa"/>
            <w:vMerge w:val="restart"/>
          </w:tcPr>
          <w:p w:rsidR="00DA591E" w:rsidRPr="00F80C42" w:rsidRDefault="00DA591E" w:rsidP="000F732E">
            <w:pPr>
              <w:rPr>
                <w:sz w:val="18"/>
                <w:szCs w:val="18"/>
              </w:rPr>
            </w:pPr>
            <w:r>
              <w:rPr>
                <w:sz w:val="18"/>
                <w:szCs w:val="18"/>
              </w:rPr>
              <w:t>FEDR</w:t>
            </w:r>
          </w:p>
        </w:tc>
        <w:tc>
          <w:tcPr>
            <w:tcW w:w="990" w:type="dxa"/>
            <w:vMerge w:val="restart"/>
          </w:tcPr>
          <w:p w:rsidR="00DA591E" w:rsidRPr="00F35F4B" w:rsidRDefault="00DA591E" w:rsidP="000F732E">
            <w:pPr>
              <w:rPr>
                <w:sz w:val="18"/>
                <w:szCs w:val="18"/>
              </w:rPr>
            </w:pPr>
            <w:r w:rsidRPr="00EA0FBB">
              <w:rPr>
                <w:sz w:val="18"/>
                <w:szCs w:val="18"/>
              </w:rPr>
              <w:t xml:space="preserve">N/A </w:t>
            </w:r>
          </w:p>
        </w:tc>
        <w:tc>
          <w:tcPr>
            <w:tcW w:w="990" w:type="dxa"/>
            <w:vMerge w:val="restart"/>
          </w:tcPr>
          <w:p w:rsidR="00DA591E" w:rsidRPr="00F35F4B" w:rsidRDefault="00DA591E" w:rsidP="000F732E">
            <w:pPr>
              <w:rPr>
                <w:sz w:val="18"/>
                <w:szCs w:val="18"/>
              </w:rPr>
            </w:pPr>
            <w:r w:rsidRPr="00F35F4B">
              <w:rPr>
                <w:sz w:val="18"/>
                <w:szCs w:val="18"/>
              </w:rPr>
              <w:t>2.000.000</w:t>
            </w:r>
          </w:p>
        </w:tc>
        <w:tc>
          <w:tcPr>
            <w:tcW w:w="568" w:type="dxa"/>
          </w:tcPr>
          <w:p w:rsidR="00DA591E" w:rsidRPr="00F35F4B" w:rsidRDefault="00DA591E" w:rsidP="000F732E">
            <w:pPr>
              <w:rPr>
                <w:sz w:val="18"/>
                <w:szCs w:val="18"/>
              </w:rPr>
            </w:pPr>
            <w:r w:rsidRPr="00F35F4B">
              <w:rPr>
                <w:sz w:val="18"/>
                <w:szCs w:val="18"/>
              </w:rPr>
              <w:t>0</w:t>
            </w:r>
          </w:p>
        </w:tc>
        <w:tc>
          <w:tcPr>
            <w:tcW w:w="630" w:type="dxa"/>
          </w:tcPr>
          <w:p w:rsidR="00DA591E" w:rsidRPr="00783B28" w:rsidRDefault="00DA591E" w:rsidP="000F732E">
            <w:pPr>
              <w:rPr>
                <w:sz w:val="18"/>
                <w:szCs w:val="18"/>
              </w:rPr>
            </w:pPr>
            <w:r w:rsidRPr="00783B28">
              <w:rPr>
                <w:sz w:val="18"/>
                <w:szCs w:val="18"/>
              </w:rPr>
              <w:t>0</w:t>
            </w: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DA591E" w:rsidRPr="00F80C42" w:rsidTr="00F50D8B">
        <w:tc>
          <w:tcPr>
            <w:tcW w:w="2178" w:type="dxa"/>
          </w:tcPr>
          <w:p w:rsidR="00DA591E" w:rsidRPr="00F80C42" w:rsidRDefault="00DA591E"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DA591E" w:rsidRPr="00F80C42" w:rsidRDefault="00DA591E" w:rsidP="00F50D8B">
            <w:pPr>
              <w:ind w:right="-108"/>
              <w:rPr>
                <w:sz w:val="18"/>
                <w:szCs w:val="18"/>
              </w:rPr>
            </w:pPr>
          </w:p>
        </w:tc>
        <w:tc>
          <w:tcPr>
            <w:tcW w:w="1800" w:type="dxa"/>
            <w:vMerge/>
          </w:tcPr>
          <w:p w:rsidR="00DA591E" w:rsidRPr="00F80C42" w:rsidRDefault="00DA591E" w:rsidP="00C87FC6">
            <w:pPr>
              <w:pStyle w:val="Default"/>
              <w:jc w:val="both"/>
              <w:rPr>
                <w:rFonts w:asciiTheme="minorHAnsi" w:hAnsiTheme="minorHAnsi"/>
                <w:sz w:val="18"/>
                <w:szCs w:val="18"/>
                <w:lang w:val="ro-RO"/>
              </w:rPr>
            </w:pPr>
          </w:p>
        </w:tc>
        <w:tc>
          <w:tcPr>
            <w:tcW w:w="810" w:type="dxa"/>
            <w:vMerge/>
          </w:tcPr>
          <w:p w:rsidR="00DA591E" w:rsidRPr="00F80C42" w:rsidRDefault="00DA591E" w:rsidP="000F732E">
            <w:pPr>
              <w:rPr>
                <w:sz w:val="18"/>
                <w:szCs w:val="18"/>
              </w:rPr>
            </w:pPr>
          </w:p>
        </w:tc>
        <w:tc>
          <w:tcPr>
            <w:tcW w:w="630" w:type="dxa"/>
            <w:vMerge/>
          </w:tcPr>
          <w:p w:rsidR="00DA591E" w:rsidRDefault="00DA591E" w:rsidP="000F732E">
            <w:pPr>
              <w:rPr>
                <w:sz w:val="18"/>
                <w:szCs w:val="18"/>
              </w:rPr>
            </w:pPr>
          </w:p>
        </w:tc>
        <w:tc>
          <w:tcPr>
            <w:tcW w:w="990" w:type="dxa"/>
            <w:vMerge/>
          </w:tcPr>
          <w:p w:rsidR="00DA591E" w:rsidRPr="00EA0FBB" w:rsidRDefault="00DA591E" w:rsidP="000F732E">
            <w:pPr>
              <w:rPr>
                <w:sz w:val="18"/>
                <w:szCs w:val="18"/>
              </w:rPr>
            </w:pPr>
          </w:p>
        </w:tc>
        <w:tc>
          <w:tcPr>
            <w:tcW w:w="990" w:type="dxa"/>
            <w:vMerge/>
          </w:tcPr>
          <w:p w:rsidR="00DA591E" w:rsidRPr="00F35F4B" w:rsidRDefault="00DA591E" w:rsidP="000F732E">
            <w:pPr>
              <w:rPr>
                <w:sz w:val="18"/>
                <w:szCs w:val="18"/>
              </w:rPr>
            </w:pPr>
          </w:p>
        </w:tc>
        <w:tc>
          <w:tcPr>
            <w:tcW w:w="568" w:type="dxa"/>
          </w:tcPr>
          <w:p w:rsidR="00DA591E" w:rsidRPr="00F35F4B" w:rsidRDefault="00DA591E" w:rsidP="000F732E">
            <w:pPr>
              <w:rPr>
                <w:sz w:val="18"/>
                <w:szCs w:val="18"/>
              </w:rPr>
            </w:pPr>
            <w:r>
              <w:rPr>
                <w:sz w:val="18"/>
                <w:szCs w:val="18"/>
              </w:rPr>
              <w:t>0</w:t>
            </w:r>
          </w:p>
        </w:tc>
        <w:tc>
          <w:tcPr>
            <w:tcW w:w="630" w:type="dxa"/>
          </w:tcPr>
          <w:p w:rsidR="00DA591E" w:rsidRPr="00783B28" w:rsidRDefault="00DA591E" w:rsidP="000F732E">
            <w:pPr>
              <w:rPr>
                <w:sz w:val="18"/>
                <w:szCs w:val="18"/>
              </w:rPr>
            </w:pPr>
            <w:r>
              <w:rPr>
                <w:sz w:val="18"/>
                <w:szCs w:val="18"/>
              </w:rPr>
              <w:t>0</w:t>
            </w: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DA591E" w:rsidRPr="00F80C42" w:rsidTr="00F50D8B">
        <w:tc>
          <w:tcPr>
            <w:tcW w:w="2178" w:type="dxa"/>
          </w:tcPr>
          <w:p w:rsidR="00DA591E" w:rsidRPr="00F80C42" w:rsidRDefault="00DA591E" w:rsidP="00C87FC6">
            <w:pPr>
              <w:jc w:val="both"/>
              <w:rPr>
                <w:sz w:val="18"/>
                <w:szCs w:val="18"/>
              </w:rPr>
            </w:pPr>
            <w:r w:rsidRPr="00F80C42">
              <w:rPr>
                <w:sz w:val="18"/>
                <w:szCs w:val="18"/>
              </w:rPr>
              <w:t>Val cumulată – operațiuni selectate (estimare furnizată de beneficiari</w:t>
            </w:r>
            <w:r w:rsidR="00EF494C">
              <w:rPr>
                <w:sz w:val="18"/>
                <w:szCs w:val="18"/>
              </w:rPr>
              <w:t>)</w:t>
            </w:r>
          </w:p>
        </w:tc>
        <w:tc>
          <w:tcPr>
            <w:tcW w:w="482" w:type="dxa"/>
            <w:vMerge w:val="restart"/>
          </w:tcPr>
          <w:p w:rsidR="00DA591E" w:rsidRPr="00F80C42" w:rsidRDefault="00DA591E" w:rsidP="00F50D8B">
            <w:pPr>
              <w:ind w:right="-108"/>
              <w:rPr>
                <w:sz w:val="18"/>
                <w:szCs w:val="18"/>
              </w:rPr>
            </w:pPr>
            <w:r w:rsidRPr="00F80C42">
              <w:rPr>
                <w:sz w:val="18"/>
                <w:szCs w:val="18"/>
              </w:rPr>
              <w:t>6S14</w:t>
            </w:r>
          </w:p>
        </w:tc>
        <w:tc>
          <w:tcPr>
            <w:tcW w:w="1800" w:type="dxa"/>
            <w:vMerge w:val="restart"/>
          </w:tcPr>
          <w:p w:rsidR="00DA591E" w:rsidRPr="00C87FC6" w:rsidRDefault="00DA591E"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Evaluări </w:t>
            </w:r>
            <w:proofErr w:type="spellStart"/>
            <w:r w:rsidRPr="00C87FC6">
              <w:rPr>
                <w:rFonts w:asciiTheme="minorHAnsi" w:hAnsiTheme="minorHAnsi"/>
                <w:sz w:val="18"/>
                <w:szCs w:val="18"/>
                <w:lang w:val="ro-RO"/>
              </w:rPr>
              <w:t>şi</w:t>
            </w:r>
            <w:proofErr w:type="spellEnd"/>
            <w:r w:rsidRPr="00C87FC6">
              <w:rPr>
                <w:rFonts w:asciiTheme="minorHAnsi" w:hAnsiTheme="minorHAnsi"/>
                <w:sz w:val="18"/>
                <w:szCs w:val="18"/>
                <w:lang w:val="ro-RO"/>
              </w:rPr>
              <w:t xml:space="preserve"> studii elaborate </w:t>
            </w:r>
          </w:p>
        </w:tc>
        <w:tc>
          <w:tcPr>
            <w:tcW w:w="810" w:type="dxa"/>
            <w:vMerge w:val="restart"/>
          </w:tcPr>
          <w:p w:rsidR="00DA591E" w:rsidRPr="00F80C42" w:rsidRDefault="00DA591E" w:rsidP="000F732E">
            <w:pPr>
              <w:rPr>
                <w:sz w:val="18"/>
                <w:szCs w:val="18"/>
              </w:rPr>
            </w:pPr>
            <w:r w:rsidRPr="00F80C42">
              <w:rPr>
                <w:sz w:val="18"/>
                <w:szCs w:val="18"/>
              </w:rPr>
              <w:t>Nr.</w:t>
            </w:r>
          </w:p>
        </w:tc>
        <w:tc>
          <w:tcPr>
            <w:tcW w:w="630" w:type="dxa"/>
            <w:vMerge w:val="restart"/>
          </w:tcPr>
          <w:p w:rsidR="00DA591E" w:rsidRPr="00F35F4B" w:rsidRDefault="00DA591E" w:rsidP="000F732E">
            <w:pPr>
              <w:rPr>
                <w:sz w:val="18"/>
                <w:szCs w:val="18"/>
              </w:rPr>
            </w:pPr>
            <w:r>
              <w:rPr>
                <w:sz w:val="18"/>
                <w:szCs w:val="18"/>
              </w:rPr>
              <w:t>FEDR</w:t>
            </w:r>
          </w:p>
        </w:tc>
        <w:tc>
          <w:tcPr>
            <w:tcW w:w="990" w:type="dxa"/>
            <w:vMerge w:val="restart"/>
          </w:tcPr>
          <w:p w:rsidR="00DA591E" w:rsidRPr="00F35F4B" w:rsidRDefault="00DA591E" w:rsidP="000F732E">
            <w:pPr>
              <w:rPr>
                <w:sz w:val="18"/>
                <w:szCs w:val="18"/>
              </w:rPr>
            </w:pPr>
            <w:r w:rsidRPr="00E04A0D">
              <w:rPr>
                <w:sz w:val="18"/>
                <w:szCs w:val="18"/>
              </w:rPr>
              <w:t xml:space="preserve">N/A </w:t>
            </w:r>
          </w:p>
        </w:tc>
        <w:tc>
          <w:tcPr>
            <w:tcW w:w="990" w:type="dxa"/>
            <w:vMerge w:val="restart"/>
          </w:tcPr>
          <w:p w:rsidR="00DA591E" w:rsidRPr="00F35F4B" w:rsidRDefault="00DA591E" w:rsidP="000F732E">
            <w:pPr>
              <w:rPr>
                <w:sz w:val="18"/>
                <w:szCs w:val="18"/>
              </w:rPr>
            </w:pPr>
            <w:r w:rsidRPr="00F35F4B">
              <w:rPr>
                <w:sz w:val="18"/>
                <w:szCs w:val="18"/>
              </w:rPr>
              <w:t>30</w:t>
            </w:r>
          </w:p>
        </w:tc>
        <w:tc>
          <w:tcPr>
            <w:tcW w:w="568" w:type="dxa"/>
          </w:tcPr>
          <w:p w:rsidR="00DA591E" w:rsidRPr="00F35F4B" w:rsidRDefault="00DA591E" w:rsidP="000F732E">
            <w:pPr>
              <w:rPr>
                <w:sz w:val="18"/>
                <w:szCs w:val="18"/>
              </w:rPr>
            </w:pPr>
            <w:r w:rsidRPr="00F35F4B">
              <w:rPr>
                <w:sz w:val="18"/>
                <w:szCs w:val="18"/>
              </w:rPr>
              <w:t>0</w:t>
            </w:r>
          </w:p>
        </w:tc>
        <w:tc>
          <w:tcPr>
            <w:tcW w:w="630" w:type="dxa"/>
          </w:tcPr>
          <w:p w:rsidR="00DA591E" w:rsidRPr="00783B28" w:rsidRDefault="00DA591E" w:rsidP="000F732E">
            <w:pPr>
              <w:rPr>
                <w:sz w:val="18"/>
                <w:szCs w:val="18"/>
              </w:rPr>
            </w:pPr>
            <w:r w:rsidRPr="00783B28">
              <w:rPr>
                <w:sz w:val="18"/>
                <w:szCs w:val="18"/>
              </w:rPr>
              <w:t>0</w:t>
            </w: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DA591E" w:rsidRPr="00F80C42" w:rsidTr="00F50D8B">
        <w:tc>
          <w:tcPr>
            <w:tcW w:w="2178" w:type="dxa"/>
          </w:tcPr>
          <w:p w:rsidR="00DA591E" w:rsidRPr="00F80C42" w:rsidRDefault="00DA591E"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DA591E" w:rsidRPr="00F80C42" w:rsidRDefault="00DA591E" w:rsidP="00F50D8B">
            <w:pPr>
              <w:ind w:right="-108"/>
              <w:rPr>
                <w:sz w:val="18"/>
                <w:szCs w:val="18"/>
              </w:rPr>
            </w:pPr>
          </w:p>
        </w:tc>
        <w:tc>
          <w:tcPr>
            <w:tcW w:w="1800" w:type="dxa"/>
            <w:vMerge/>
          </w:tcPr>
          <w:p w:rsidR="00DA591E" w:rsidRPr="00F80C42" w:rsidRDefault="00DA591E" w:rsidP="00C87FC6">
            <w:pPr>
              <w:pStyle w:val="Default"/>
              <w:jc w:val="both"/>
              <w:rPr>
                <w:rFonts w:asciiTheme="minorHAnsi" w:hAnsiTheme="minorHAnsi"/>
                <w:sz w:val="18"/>
                <w:szCs w:val="18"/>
                <w:lang w:val="ro-RO"/>
              </w:rPr>
            </w:pPr>
          </w:p>
        </w:tc>
        <w:tc>
          <w:tcPr>
            <w:tcW w:w="810" w:type="dxa"/>
            <w:vMerge/>
          </w:tcPr>
          <w:p w:rsidR="00DA591E" w:rsidRPr="00F80C42" w:rsidRDefault="00DA591E" w:rsidP="000F732E">
            <w:pPr>
              <w:rPr>
                <w:sz w:val="18"/>
                <w:szCs w:val="18"/>
              </w:rPr>
            </w:pPr>
          </w:p>
        </w:tc>
        <w:tc>
          <w:tcPr>
            <w:tcW w:w="630" w:type="dxa"/>
            <w:vMerge/>
          </w:tcPr>
          <w:p w:rsidR="00DA591E" w:rsidRDefault="00DA591E" w:rsidP="000F732E">
            <w:pPr>
              <w:rPr>
                <w:sz w:val="18"/>
                <w:szCs w:val="18"/>
              </w:rPr>
            </w:pPr>
          </w:p>
        </w:tc>
        <w:tc>
          <w:tcPr>
            <w:tcW w:w="990" w:type="dxa"/>
            <w:vMerge/>
          </w:tcPr>
          <w:p w:rsidR="00DA591E" w:rsidRPr="00E04A0D" w:rsidRDefault="00DA591E" w:rsidP="000F732E">
            <w:pPr>
              <w:rPr>
                <w:sz w:val="18"/>
                <w:szCs w:val="18"/>
              </w:rPr>
            </w:pPr>
          </w:p>
        </w:tc>
        <w:tc>
          <w:tcPr>
            <w:tcW w:w="990" w:type="dxa"/>
            <w:vMerge/>
          </w:tcPr>
          <w:p w:rsidR="00DA591E" w:rsidRPr="00F35F4B" w:rsidRDefault="00DA591E" w:rsidP="000F732E">
            <w:pPr>
              <w:rPr>
                <w:sz w:val="18"/>
                <w:szCs w:val="18"/>
              </w:rPr>
            </w:pPr>
          </w:p>
        </w:tc>
        <w:tc>
          <w:tcPr>
            <w:tcW w:w="568" w:type="dxa"/>
          </w:tcPr>
          <w:p w:rsidR="00DA591E" w:rsidRPr="00F35F4B" w:rsidRDefault="00DA591E" w:rsidP="000F732E">
            <w:pPr>
              <w:rPr>
                <w:sz w:val="18"/>
                <w:szCs w:val="18"/>
              </w:rPr>
            </w:pPr>
            <w:r>
              <w:rPr>
                <w:sz w:val="18"/>
                <w:szCs w:val="18"/>
              </w:rPr>
              <w:t>0</w:t>
            </w:r>
          </w:p>
        </w:tc>
        <w:tc>
          <w:tcPr>
            <w:tcW w:w="630" w:type="dxa"/>
          </w:tcPr>
          <w:p w:rsidR="00DA591E" w:rsidRPr="00783B28" w:rsidRDefault="00DA591E" w:rsidP="000F732E">
            <w:pPr>
              <w:rPr>
                <w:sz w:val="18"/>
                <w:szCs w:val="18"/>
              </w:rPr>
            </w:pPr>
            <w:r>
              <w:rPr>
                <w:sz w:val="18"/>
                <w:szCs w:val="18"/>
              </w:rPr>
              <w:t>0</w:t>
            </w: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DA591E" w:rsidRPr="00F80C42" w:rsidTr="00F50D8B">
        <w:tc>
          <w:tcPr>
            <w:tcW w:w="2178" w:type="dxa"/>
          </w:tcPr>
          <w:p w:rsidR="00DA591E" w:rsidRPr="00F80C42" w:rsidRDefault="00DA591E" w:rsidP="00C87FC6">
            <w:pPr>
              <w:jc w:val="both"/>
              <w:rPr>
                <w:sz w:val="18"/>
                <w:szCs w:val="18"/>
              </w:rPr>
            </w:pPr>
            <w:r w:rsidRPr="00F80C42">
              <w:rPr>
                <w:sz w:val="18"/>
                <w:szCs w:val="18"/>
              </w:rPr>
              <w:t>Val cumulată – operațiuni selectate (estimare furnizată de beneficiari</w:t>
            </w:r>
            <w:r w:rsidR="00EF494C">
              <w:rPr>
                <w:sz w:val="18"/>
                <w:szCs w:val="18"/>
              </w:rPr>
              <w:t>)</w:t>
            </w:r>
          </w:p>
        </w:tc>
        <w:tc>
          <w:tcPr>
            <w:tcW w:w="482" w:type="dxa"/>
            <w:vMerge w:val="restart"/>
          </w:tcPr>
          <w:p w:rsidR="00DA591E" w:rsidRPr="00F80C42" w:rsidRDefault="00DA591E" w:rsidP="00F50D8B">
            <w:pPr>
              <w:ind w:right="-108"/>
              <w:rPr>
                <w:sz w:val="18"/>
                <w:szCs w:val="18"/>
              </w:rPr>
            </w:pPr>
            <w:r w:rsidRPr="00F80C42">
              <w:rPr>
                <w:sz w:val="18"/>
                <w:szCs w:val="18"/>
              </w:rPr>
              <w:t>6S15</w:t>
            </w:r>
          </w:p>
        </w:tc>
        <w:tc>
          <w:tcPr>
            <w:tcW w:w="1800" w:type="dxa"/>
            <w:vMerge w:val="restart"/>
          </w:tcPr>
          <w:p w:rsidR="00DA591E" w:rsidRPr="00C87FC6" w:rsidRDefault="00DA591E"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Structuri de coordonare/ gestionare/control FESI ale căror logistică și funcționare a fost sprijinită anual, inclusiv cu echipamente și licențe pentru funcționarea SMIS 2014+ </w:t>
            </w:r>
          </w:p>
        </w:tc>
        <w:tc>
          <w:tcPr>
            <w:tcW w:w="810" w:type="dxa"/>
            <w:vMerge w:val="restart"/>
          </w:tcPr>
          <w:p w:rsidR="00DA591E" w:rsidRPr="00F80C42" w:rsidRDefault="00DA591E" w:rsidP="000F732E">
            <w:pPr>
              <w:rPr>
                <w:sz w:val="18"/>
                <w:szCs w:val="18"/>
              </w:rPr>
            </w:pPr>
            <w:r w:rsidRPr="00F80C42">
              <w:rPr>
                <w:sz w:val="18"/>
                <w:szCs w:val="18"/>
              </w:rPr>
              <w:t>Nr.</w:t>
            </w:r>
          </w:p>
        </w:tc>
        <w:tc>
          <w:tcPr>
            <w:tcW w:w="630" w:type="dxa"/>
            <w:vMerge w:val="restart"/>
          </w:tcPr>
          <w:p w:rsidR="00DA591E" w:rsidRPr="00F35F4B" w:rsidRDefault="00DA591E" w:rsidP="000F732E">
            <w:pPr>
              <w:rPr>
                <w:sz w:val="18"/>
                <w:szCs w:val="18"/>
              </w:rPr>
            </w:pPr>
            <w:r>
              <w:rPr>
                <w:sz w:val="18"/>
                <w:szCs w:val="18"/>
              </w:rPr>
              <w:t>FEDR</w:t>
            </w:r>
          </w:p>
        </w:tc>
        <w:tc>
          <w:tcPr>
            <w:tcW w:w="990" w:type="dxa"/>
            <w:vMerge w:val="restart"/>
          </w:tcPr>
          <w:p w:rsidR="00DA591E" w:rsidRPr="00F35F4B" w:rsidRDefault="00DA591E" w:rsidP="000F732E">
            <w:pPr>
              <w:rPr>
                <w:sz w:val="18"/>
                <w:szCs w:val="18"/>
              </w:rPr>
            </w:pPr>
            <w:r w:rsidRPr="00E04A0D">
              <w:rPr>
                <w:sz w:val="18"/>
                <w:szCs w:val="18"/>
              </w:rPr>
              <w:t xml:space="preserve">N/A </w:t>
            </w:r>
          </w:p>
        </w:tc>
        <w:tc>
          <w:tcPr>
            <w:tcW w:w="990" w:type="dxa"/>
            <w:vMerge w:val="restart"/>
          </w:tcPr>
          <w:p w:rsidR="00DA591E" w:rsidRPr="00F35F4B" w:rsidRDefault="00DA591E" w:rsidP="000F732E">
            <w:pPr>
              <w:rPr>
                <w:sz w:val="18"/>
                <w:szCs w:val="18"/>
              </w:rPr>
            </w:pPr>
            <w:r w:rsidRPr="00F35F4B">
              <w:rPr>
                <w:sz w:val="18"/>
                <w:szCs w:val="18"/>
              </w:rPr>
              <w:t>14</w:t>
            </w:r>
          </w:p>
        </w:tc>
        <w:tc>
          <w:tcPr>
            <w:tcW w:w="568" w:type="dxa"/>
          </w:tcPr>
          <w:p w:rsidR="00DA591E" w:rsidRPr="00783B28" w:rsidRDefault="00DA591E" w:rsidP="000F732E">
            <w:pPr>
              <w:rPr>
                <w:sz w:val="18"/>
                <w:szCs w:val="18"/>
              </w:rPr>
            </w:pPr>
            <w:r w:rsidRPr="00783B28">
              <w:rPr>
                <w:sz w:val="18"/>
                <w:szCs w:val="18"/>
              </w:rPr>
              <w:t>0</w:t>
            </w:r>
          </w:p>
        </w:tc>
        <w:tc>
          <w:tcPr>
            <w:tcW w:w="630" w:type="dxa"/>
          </w:tcPr>
          <w:p w:rsidR="00DA591E" w:rsidRPr="007F3437" w:rsidRDefault="00DA591E" w:rsidP="000F732E">
            <w:pPr>
              <w:rPr>
                <w:sz w:val="18"/>
                <w:szCs w:val="18"/>
              </w:rPr>
            </w:pPr>
            <w:r w:rsidRPr="007F3437">
              <w:rPr>
                <w:sz w:val="18"/>
                <w:szCs w:val="18"/>
              </w:rPr>
              <w:t>0</w:t>
            </w: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E31D81"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DA591E" w:rsidRPr="00F80C42" w:rsidTr="00F50D8B">
        <w:tc>
          <w:tcPr>
            <w:tcW w:w="2178" w:type="dxa"/>
          </w:tcPr>
          <w:p w:rsidR="00DA591E" w:rsidRPr="00F80C42" w:rsidRDefault="00DA591E" w:rsidP="00DA591E">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DA591E" w:rsidRPr="00F80C42" w:rsidRDefault="00DA591E" w:rsidP="00F50D8B">
            <w:pPr>
              <w:ind w:right="-108"/>
              <w:rPr>
                <w:sz w:val="18"/>
                <w:szCs w:val="18"/>
              </w:rPr>
            </w:pPr>
          </w:p>
        </w:tc>
        <w:tc>
          <w:tcPr>
            <w:tcW w:w="1800" w:type="dxa"/>
            <w:vMerge/>
          </w:tcPr>
          <w:p w:rsidR="00DA591E" w:rsidRPr="00F80C42" w:rsidRDefault="00DA591E" w:rsidP="00DA591E">
            <w:pPr>
              <w:pStyle w:val="Default"/>
              <w:jc w:val="both"/>
              <w:rPr>
                <w:rFonts w:asciiTheme="minorHAnsi" w:hAnsiTheme="minorHAnsi"/>
                <w:sz w:val="18"/>
                <w:szCs w:val="18"/>
                <w:lang w:val="ro-RO"/>
              </w:rPr>
            </w:pPr>
          </w:p>
        </w:tc>
        <w:tc>
          <w:tcPr>
            <w:tcW w:w="810" w:type="dxa"/>
            <w:vMerge/>
          </w:tcPr>
          <w:p w:rsidR="00DA591E" w:rsidRPr="00F80C42" w:rsidRDefault="00DA591E" w:rsidP="000F732E">
            <w:pPr>
              <w:rPr>
                <w:sz w:val="18"/>
                <w:szCs w:val="18"/>
              </w:rPr>
            </w:pPr>
          </w:p>
        </w:tc>
        <w:tc>
          <w:tcPr>
            <w:tcW w:w="630" w:type="dxa"/>
            <w:vMerge/>
          </w:tcPr>
          <w:p w:rsidR="00DA591E" w:rsidRDefault="00DA591E" w:rsidP="000F732E">
            <w:pPr>
              <w:rPr>
                <w:sz w:val="18"/>
                <w:szCs w:val="18"/>
              </w:rPr>
            </w:pPr>
          </w:p>
        </w:tc>
        <w:tc>
          <w:tcPr>
            <w:tcW w:w="990" w:type="dxa"/>
            <w:vMerge/>
          </w:tcPr>
          <w:p w:rsidR="00DA591E" w:rsidRPr="00E04A0D" w:rsidRDefault="00DA591E" w:rsidP="000F732E">
            <w:pPr>
              <w:rPr>
                <w:sz w:val="18"/>
                <w:szCs w:val="18"/>
              </w:rPr>
            </w:pPr>
          </w:p>
        </w:tc>
        <w:tc>
          <w:tcPr>
            <w:tcW w:w="990" w:type="dxa"/>
            <w:vMerge/>
          </w:tcPr>
          <w:p w:rsidR="00DA591E" w:rsidRPr="00F35F4B" w:rsidRDefault="00DA591E" w:rsidP="000F732E">
            <w:pPr>
              <w:rPr>
                <w:sz w:val="18"/>
                <w:szCs w:val="18"/>
              </w:rPr>
            </w:pPr>
          </w:p>
        </w:tc>
        <w:tc>
          <w:tcPr>
            <w:tcW w:w="568" w:type="dxa"/>
          </w:tcPr>
          <w:p w:rsidR="00DA591E" w:rsidRPr="00783B28"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E31D81"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567636" w:rsidRPr="00F80C42" w:rsidTr="00F50D8B">
        <w:tc>
          <w:tcPr>
            <w:tcW w:w="2178" w:type="dxa"/>
          </w:tcPr>
          <w:p w:rsidR="00567636" w:rsidRPr="00F80C42" w:rsidRDefault="00DA591E" w:rsidP="00C87FC6">
            <w:pPr>
              <w:jc w:val="both"/>
              <w:rPr>
                <w:sz w:val="18"/>
                <w:szCs w:val="18"/>
              </w:rPr>
            </w:pPr>
            <w:r w:rsidRPr="00F80C42">
              <w:rPr>
                <w:sz w:val="18"/>
                <w:szCs w:val="18"/>
              </w:rPr>
              <w:t>Val cumulată – operațiuni selectate (estimare furnizată de beneficiari</w:t>
            </w:r>
            <w:r w:rsidR="00EF494C">
              <w:rPr>
                <w:sz w:val="18"/>
                <w:szCs w:val="18"/>
              </w:rPr>
              <w:t>)</w:t>
            </w:r>
          </w:p>
        </w:tc>
        <w:tc>
          <w:tcPr>
            <w:tcW w:w="482" w:type="dxa"/>
            <w:vMerge w:val="restart"/>
          </w:tcPr>
          <w:p w:rsidR="00567636" w:rsidRPr="00F80C42" w:rsidRDefault="00567636" w:rsidP="00F50D8B">
            <w:pPr>
              <w:ind w:right="-108"/>
              <w:rPr>
                <w:sz w:val="18"/>
                <w:szCs w:val="18"/>
              </w:rPr>
            </w:pPr>
            <w:r w:rsidRPr="00F80C42">
              <w:rPr>
                <w:sz w:val="18"/>
                <w:szCs w:val="18"/>
              </w:rPr>
              <w:t>6S16</w:t>
            </w:r>
          </w:p>
        </w:tc>
        <w:tc>
          <w:tcPr>
            <w:tcW w:w="1800" w:type="dxa"/>
            <w:vMerge w:val="restart"/>
          </w:tcPr>
          <w:p w:rsidR="00567636" w:rsidRPr="00DA591E" w:rsidRDefault="00567636"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Proiecte a căror evaluare/ contractare/ monitorizare/ control a fost asigurată </w:t>
            </w:r>
          </w:p>
        </w:tc>
        <w:tc>
          <w:tcPr>
            <w:tcW w:w="810" w:type="dxa"/>
            <w:vMerge w:val="restart"/>
          </w:tcPr>
          <w:p w:rsidR="00567636" w:rsidRPr="00F80C42" w:rsidRDefault="00567636" w:rsidP="000F732E">
            <w:pPr>
              <w:rPr>
                <w:sz w:val="18"/>
                <w:szCs w:val="18"/>
              </w:rPr>
            </w:pPr>
            <w:r w:rsidRPr="00F80C42">
              <w:rPr>
                <w:sz w:val="18"/>
                <w:szCs w:val="18"/>
              </w:rPr>
              <w:t>Nr.</w:t>
            </w:r>
          </w:p>
        </w:tc>
        <w:tc>
          <w:tcPr>
            <w:tcW w:w="630" w:type="dxa"/>
            <w:vMerge w:val="restart"/>
          </w:tcPr>
          <w:p w:rsidR="00567636" w:rsidRDefault="00567636" w:rsidP="000F732E">
            <w:pPr>
              <w:rPr>
                <w:sz w:val="18"/>
                <w:szCs w:val="18"/>
              </w:rPr>
            </w:pPr>
            <w:r>
              <w:rPr>
                <w:sz w:val="18"/>
                <w:szCs w:val="18"/>
              </w:rPr>
              <w:t>FEDR</w:t>
            </w:r>
          </w:p>
        </w:tc>
        <w:tc>
          <w:tcPr>
            <w:tcW w:w="990" w:type="dxa"/>
            <w:vMerge w:val="restart"/>
          </w:tcPr>
          <w:p w:rsidR="00567636" w:rsidRPr="00E04A0D" w:rsidRDefault="00567636" w:rsidP="000F732E">
            <w:pPr>
              <w:rPr>
                <w:sz w:val="18"/>
                <w:szCs w:val="18"/>
              </w:rPr>
            </w:pPr>
            <w:r w:rsidRPr="00F35F4B">
              <w:rPr>
                <w:sz w:val="18"/>
                <w:szCs w:val="18"/>
              </w:rPr>
              <w:t>N/A</w:t>
            </w:r>
            <w:r w:rsidRPr="00F35F4B" w:rsidDel="00454BCE">
              <w:rPr>
                <w:sz w:val="18"/>
                <w:szCs w:val="18"/>
              </w:rPr>
              <w:t xml:space="preserve"> </w:t>
            </w:r>
          </w:p>
        </w:tc>
        <w:tc>
          <w:tcPr>
            <w:tcW w:w="990" w:type="dxa"/>
            <w:vMerge w:val="restart"/>
          </w:tcPr>
          <w:p w:rsidR="00567636" w:rsidRPr="00F35F4B" w:rsidRDefault="00567636" w:rsidP="000F732E">
            <w:pPr>
              <w:rPr>
                <w:sz w:val="18"/>
                <w:szCs w:val="18"/>
              </w:rPr>
            </w:pPr>
            <w:r w:rsidRPr="00F35F4B">
              <w:rPr>
                <w:sz w:val="18"/>
                <w:szCs w:val="18"/>
              </w:rPr>
              <w:t>10.000</w:t>
            </w:r>
          </w:p>
        </w:tc>
        <w:tc>
          <w:tcPr>
            <w:tcW w:w="568" w:type="dxa"/>
          </w:tcPr>
          <w:p w:rsidR="00567636" w:rsidRPr="00783B28" w:rsidRDefault="00567636" w:rsidP="000F732E">
            <w:pPr>
              <w:rPr>
                <w:sz w:val="18"/>
                <w:szCs w:val="18"/>
              </w:rPr>
            </w:pPr>
            <w:r>
              <w:rPr>
                <w:sz w:val="18"/>
                <w:szCs w:val="18"/>
              </w:rPr>
              <w:t>0</w:t>
            </w:r>
          </w:p>
        </w:tc>
        <w:tc>
          <w:tcPr>
            <w:tcW w:w="630" w:type="dxa"/>
          </w:tcPr>
          <w:p w:rsidR="00567636" w:rsidRPr="007F3437" w:rsidRDefault="00567636" w:rsidP="000F732E">
            <w:pPr>
              <w:rPr>
                <w:sz w:val="18"/>
                <w:szCs w:val="18"/>
              </w:rPr>
            </w:pPr>
            <w:r>
              <w:rPr>
                <w:sz w:val="18"/>
                <w:szCs w:val="18"/>
              </w:rPr>
              <w:t>0</w:t>
            </w:r>
          </w:p>
        </w:tc>
        <w:tc>
          <w:tcPr>
            <w:tcW w:w="630" w:type="dxa"/>
          </w:tcPr>
          <w:p w:rsidR="00567636" w:rsidRPr="007F3437" w:rsidRDefault="00567636" w:rsidP="000F732E">
            <w:pPr>
              <w:rPr>
                <w:sz w:val="18"/>
                <w:szCs w:val="18"/>
              </w:rPr>
            </w:pPr>
          </w:p>
        </w:tc>
        <w:tc>
          <w:tcPr>
            <w:tcW w:w="630" w:type="dxa"/>
          </w:tcPr>
          <w:p w:rsidR="00567636" w:rsidRPr="007F3437" w:rsidRDefault="00567636" w:rsidP="000F732E">
            <w:pPr>
              <w:rPr>
                <w:sz w:val="18"/>
                <w:szCs w:val="18"/>
              </w:rPr>
            </w:pPr>
          </w:p>
        </w:tc>
        <w:tc>
          <w:tcPr>
            <w:tcW w:w="630" w:type="dxa"/>
          </w:tcPr>
          <w:p w:rsidR="00567636" w:rsidRPr="00E31D81" w:rsidRDefault="00567636" w:rsidP="000F732E">
            <w:pPr>
              <w:rPr>
                <w:sz w:val="18"/>
                <w:szCs w:val="18"/>
              </w:rPr>
            </w:pPr>
          </w:p>
        </w:tc>
        <w:tc>
          <w:tcPr>
            <w:tcW w:w="602" w:type="dxa"/>
          </w:tcPr>
          <w:p w:rsidR="00567636" w:rsidRPr="00E31D81" w:rsidRDefault="00567636" w:rsidP="000F732E">
            <w:pPr>
              <w:rPr>
                <w:sz w:val="18"/>
                <w:szCs w:val="18"/>
              </w:rPr>
            </w:pPr>
          </w:p>
        </w:tc>
        <w:tc>
          <w:tcPr>
            <w:tcW w:w="630" w:type="dxa"/>
          </w:tcPr>
          <w:p w:rsidR="00567636" w:rsidRPr="00E31D81" w:rsidRDefault="00567636" w:rsidP="000F732E">
            <w:pPr>
              <w:rPr>
                <w:sz w:val="18"/>
                <w:szCs w:val="18"/>
              </w:rPr>
            </w:pPr>
          </w:p>
        </w:tc>
        <w:tc>
          <w:tcPr>
            <w:tcW w:w="630" w:type="dxa"/>
          </w:tcPr>
          <w:p w:rsidR="00567636" w:rsidRPr="00E70515" w:rsidRDefault="00567636" w:rsidP="000F732E">
            <w:pPr>
              <w:rPr>
                <w:sz w:val="18"/>
                <w:szCs w:val="18"/>
              </w:rPr>
            </w:pPr>
          </w:p>
        </w:tc>
        <w:tc>
          <w:tcPr>
            <w:tcW w:w="630" w:type="dxa"/>
          </w:tcPr>
          <w:p w:rsidR="00567636" w:rsidRPr="00E70515" w:rsidRDefault="00567636" w:rsidP="000F732E">
            <w:pPr>
              <w:rPr>
                <w:sz w:val="18"/>
                <w:szCs w:val="18"/>
              </w:rPr>
            </w:pPr>
          </w:p>
        </w:tc>
        <w:tc>
          <w:tcPr>
            <w:tcW w:w="630" w:type="dxa"/>
          </w:tcPr>
          <w:p w:rsidR="00567636" w:rsidRPr="00E70515" w:rsidRDefault="00567636" w:rsidP="000F732E">
            <w:pPr>
              <w:rPr>
                <w:sz w:val="18"/>
                <w:szCs w:val="18"/>
              </w:rPr>
            </w:pPr>
          </w:p>
        </w:tc>
        <w:tc>
          <w:tcPr>
            <w:tcW w:w="990" w:type="dxa"/>
          </w:tcPr>
          <w:p w:rsidR="00567636" w:rsidRPr="00E70515" w:rsidRDefault="00567636" w:rsidP="000F732E">
            <w:pPr>
              <w:rPr>
                <w:sz w:val="18"/>
                <w:szCs w:val="18"/>
              </w:rPr>
            </w:pPr>
          </w:p>
        </w:tc>
      </w:tr>
      <w:tr w:rsidR="00567636" w:rsidRPr="00F80C42" w:rsidTr="00F50D8B">
        <w:tc>
          <w:tcPr>
            <w:tcW w:w="2178" w:type="dxa"/>
          </w:tcPr>
          <w:p w:rsidR="00567636" w:rsidRPr="00F80C42" w:rsidRDefault="00DA591E" w:rsidP="00C87FC6">
            <w:pPr>
              <w:jc w:val="both"/>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567636" w:rsidRPr="00F80C42" w:rsidRDefault="00567636" w:rsidP="00F50D8B">
            <w:pPr>
              <w:ind w:right="-108"/>
              <w:rPr>
                <w:sz w:val="18"/>
                <w:szCs w:val="18"/>
              </w:rPr>
            </w:pPr>
          </w:p>
        </w:tc>
        <w:tc>
          <w:tcPr>
            <w:tcW w:w="1800" w:type="dxa"/>
            <w:vMerge/>
          </w:tcPr>
          <w:p w:rsidR="00567636" w:rsidRPr="00C87FC6" w:rsidRDefault="00567636" w:rsidP="000F732E">
            <w:pPr>
              <w:pStyle w:val="Default"/>
              <w:rPr>
                <w:rFonts w:asciiTheme="minorHAnsi" w:hAnsiTheme="minorHAnsi"/>
                <w:sz w:val="18"/>
                <w:szCs w:val="18"/>
                <w:lang w:val="ro-RO"/>
              </w:rPr>
            </w:pPr>
          </w:p>
        </w:tc>
        <w:tc>
          <w:tcPr>
            <w:tcW w:w="810" w:type="dxa"/>
            <w:vMerge/>
          </w:tcPr>
          <w:p w:rsidR="00567636" w:rsidRPr="00F80C42" w:rsidRDefault="00567636" w:rsidP="000F732E">
            <w:pPr>
              <w:rPr>
                <w:sz w:val="18"/>
                <w:szCs w:val="18"/>
              </w:rPr>
            </w:pPr>
          </w:p>
        </w:tc>
        <w:tc>
          <w:tcPr>
            <w:tcW w:w="630" w:type="dxa"/>
            <w:vMerge/>
          </w:tcPr>
          <w:p w:rsidR="00567636" w:rsidRPr="00F35F4B" w:rsidRDefault="00567636" w:rsidP="000F732E">
            <w:pPr>
              <w:rPr>
                <w:sz w:val="18"/>
                <w:szCs w:val="18"/>
              </w:rPr>
            </w:pPr>
          </w:p>
        </w:tc>
        <w:tc>
          <w:tcPr>
            <w:tcW w:w="990" w:type="dxa"/>
            <w:vMerge/>
          </w:tcPr>
          <w:p w:rsidR="00567636" w:rsidRPr="00F35F4B" w:rsidRDefault="00567636" w:rsidP="000F732E">
            <w:pPr>
              <w:rPr>
                <w:sz w:val="18"/>
                <w:szCs w:val="18"/>
              </w:rPr>
            </w:pPr>
          </w:p>
        </w:tc>
        <w:tc>
          <w:tcPr>
            <w:tcW w:w="990" w:type="dxa"/>
            <w:vMerge/>
          </w:tcPr>
          <w:p w:rsidR="00567636" w:rsidRPr="00F35F4B" w:rsidRDefault="00567636" w:rsidP="000F732E">
            <w:pPr>
              <w:rPr>
                <w:sz w:val="18"/>
                <w:szCs w:val="18"/>
              </w:rPr>
            </w:pPr>
          </w:p>
        </w:tc>
        <w:tc>
          <w:tcPr>
            <w:tcW w:w="568" w:type="dxa"/>
          </w:tcPr>
          <w:p w:rsidR="00567636" w:rsidRPr="00783B28" w:rsidRDefault="00567636" w:rsidP="000F732E">
            <w:pPr>
              <w:rPr>
                <w:sz w:val="18"/>
                <w:szCs w:val="18"/>
              </w:rPr>
            </w:pPr>
            <w:r w:rsidRPr="00783B28">
              <w:rPr>
                <w:sz w:val="18"/>
                <w:szCs w:val="18"/>
              </w:rPr>
              <w:t>0</w:t>
            </w:r>
          </w:p>
        </w:tc>
        <w:tc>
          <w:tcPr>
            <w:tcW w:w="630" w:type="dxa"/>
          </w:tcPr>
          <w:p w:rsidR="00567636" w:rsidRPr="007F3437" w:rsidRDefault="00567636" w:rsidP="000F732E">
            <w:pPr>
              <w:rPr>
                <w:sz w:val="18"/>
                <w:szCs w:val="18"/>
              </w:rPr>
            </w:pPr>
            <w:r w:rsidRPr="007F3437">
              <w:rPr>
                <w:sz w:val="18"/>
                <w:szCs w:val="18"/>
              </w:rPr>
              <w:t>0</w:t>
            </w:r>
          </w:p>
        </w:tc>
        <w:tc>
          <w:tcPr>
            <w:tcW w:w="630" w:type="dxa"/>
          </w:tcPr>
          <w:p w:rsidR="00567636" w:rsidRPr="007F3437" w:rsidRDefault="00567636" w:rsidP="000F732E">
            <w:pPr>
              <w:rPr>
                <w:sz w:val="18"/>
                <w:szCs w:val="18"/>
              </w:rPr>
            </w:pPr>
          </w:p>
        </w:tc>
        <w:tc>
          <w:tcPr>
            <w:tcW w:w="630" w:type="dxa"/>
          </w:tcPr>
          <w:p w:rsidR="00567636" w:rsidRPr="007F3437" w:rsidRDefault="00567636" w:rsidP="000F732E">
            <w:pPr>
              <w:rPr>
                <w:sz w:val="18"/>
                <w:szCs w:val="18"/>
              </w:rPr>
            </w:pPr>
          </w:p>
        </w:tc>
        <w:tc>
          <w:tcPr>
            <w:tcW w:w="630" w:type="dxa"/>
          </w:tcPr>
          <w:p w:rsidR="00567636" w:rsidRPr="00E31D81" w:rsidRDefault="00567636" w:rsidP="000F732E">
            <w:pPr>
              <w:rPr>
                <w:sz w:val="18"/>
                <w:szCs w:val="18"/>
              </w:rPr>
            </w:pPr>
          </w:p>
        </w:tc>
        <w:tc>
          <w:tcPr>
            <w:tcW w:w="602" w:type="dxa"/>
          </w:tcPr>
          <w:p w:rsidR="00567636" w:rsidRPr="00E31D81" w:rsidRDefault="00567636" w:rsidP="000F732E">
            <w:pPr>
              <w:rPr>
                <w:sz w:val="18"/>
                <w:szCs w:val="18"/>
              </w:rPr>
            </w:pPr>
          </w:p>
        </w:tc>
        <w:tc>
          <w:tcPr>
            <w:tcW w:w="630" w:type="dxa"/>
          </w:tcPr>
          <w:p w:rsidR="00567636" w:rsidRPr="00E31D81" w:rsidRDefault="00567636" w:rsidP="000F732E">
            <w:pPr>
              <w:rPr>
                <w:sz w:val="18"/>
                <w:szCs w:val="18"/>
              </w:rPr>
            </w:pPr>
          </w:p>
        </w:tc>
        <w:tc>
          <w:tcPr>
            <w:tcW w:w="630" w:type="dxa"/>
          </w:tcPr>
          <w:p w:rsidR="00567636" w:rsidRPr="00E70515" w:rsidRDefault="00567636" w:rsidP="000F732E">
            <w:pPr>
              <w:rPr>
                <w:sz w:val="18"/>
                <w:szCs w:val="18"/>
              </w:rPr>
            </w:pPr>
          </w:p>
        </w:tc>
        <w:tc>
          <w:tcPr>
            <w:tcW w:w="630" w:type="dxa"/>
          </w:tcPr>
          <w:p w:rsidR="00567636" w:rsidRPr="00E70515" w:rsidRDefault="00567636" w:rsidP="000F732E">
            <w:pPr>
              <w:rPr>
                <w:sz w:val="18"/>
                <w:szCs w:val="18"/>
              </w:rPr>
            </w:pPr>
          </w:p>
        </w:tc>
        <w:tc>
          <w:tcPr>
            <w:tcW w:w="630" w:type="dxa"/>
          </w:tcPr>
          <w:p w:rsidR="00567636" w:rsidRPr="00E70515" w:rsidRDefault="00567636" w:rsidP="000F732E">
            <w:pPr>
              <w:rPr>
                <w:sz w:val="18"/>
                <w:szCs w:val="18"/>
              </w:rPr>
            </w:pPr>
          </w:p>
        </w:tc>
        <w:tc>
          <w:tcPr>
            <w:tcW w:w="990" w:type="dxa"/>
          </w:tcPr>
          <w:p w:rsidR="00567636" w:rsidRPr="00E70515" w:rsidRDefault="00567636" w:rsidP="000F732E">
            <w:pPr>
              <w:rPr>
                <w:sz w:val="18"/>
                <w:szCs w:val="18"/>
              </w:rPr>
            </w:pPr>
          </w:p>
        </w:tc>
      </w:tr>
      <w:tr w:rsidR="00DA591E" w:rsidRPr="00F80C42" w:rsidTr="00F50D8B">
        <w:tc>
          <w:tcPr>
            <w:tcW w:w="2178" w:type="dxa"/>
          </w:tcPr>
          <w:p w:rsidR="00DA591E" w:rsidRPr="00F80C42" w:rsidRDefault="00DA591E" w:rsidP="000F732E">
            <w:pPr>
              <w:rPr>
                <w:sz w:val="18"/>
                <w:szCs w:val="18"/>
              </w:rPr>
            </w:pPr>
            <w:r w:rsidRPr="00F80C42">
              <w:rPr>
                <w:sz w:val="18"/>
                <w:szCs w:val="18"/>
              </w:rPr>
              <w:lastRenderedPageBreak/>
              <w:t>Val cumulată – operațiuni selectate (estimare furnizată de beneficiari</w:t>
            </w:r>
            <w:r w:rsidR="00EF494C">
              <w:rPr>
                <w:sz w:val="18"/>
                <w:szCs w:val="18"/>
              </w:rPr>
              <w:t>)</w:t>
            </w:r>
          </w:p>
        </w:tc>
        <w:tc>
          <w:tcPr>
            <w:tcW w:w="482" w:type="dxa"/>
            <w:vMerge w:val="restart"/>
          </w:tcPr>
          <w:p w:rsidR="00DA591E" w:rsidRPr="00F80C42" w:rsidRDefault="00DA591E" w:rsidP="00F50D8B">
            <w:pPr>
              <w:ind w:right="-108"/>
              <w:rPr>
                <w:sz w:val="18"/>
                <w:szCs w:val="18"/>
              </w:rPr>
            </w:pPr>
            <w:r w:rsidRPr="00F80C42">
              <w:rPr>
                <w:sz w:val="18"/>
                <w:szCs w:val="18"/>
              </w:rPr>
              <w:t>6S17</w:t>
            </w:r>
          </w:p>
        </w:tc>
        <w:tc>
          <w:tcPr>
            <w:tcW w:w="1800" w:type="dxa"/>
            <w:vMerge w:val="restart"/>
          </w:tcPr>
          <w:p w:rsidR="00DA591E" w:rsidRPr="00DA591E" w:rsidRDefault="00DA591E"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Disponibilitatea rețelei SMIS 2014+ mai mare de </w:t>
            </w:r>
          </w:p>
        </w:tc>
        <w:tc>
          <w:tcPr>
            <w:tcW w:w="810" w:type="dxa"/>
            <w:vMerge w:val="restart"/>
          </w:tcPr>
          <w:p w:rsidR="00DA591E" w:rsidRPr="00F80C42" w:rsidRDefault="00DA591E" w:rsidP="000F732E">
            <w:pPr>
              <w:rPr>
                <w:sz w:val="18"/>
                <w:szCs w:val="18"/>
              </w:rPr>
            </w:pPr>
            <w:r w:rsidRPr="00F80C42">
              <w:rPr>
                <w:sz w:val="18"/>
                <w:szCs w:val="18"/>
              </w:rPr>
              <w:t>%</w:t>
            </w:r>
          </w:p>
        </w:tc>
        <w:tc>
          <w:tcPr>
            <w:tcW w:w="630" w:type="dxa"/>
            <w:vMerge w:val="restart"/>
          </w:tcPr>
          <w:p w:rsidR="00DA591E" w:rsidRDefault="00DA591E" w:rsidP="000F732E">
            <w:pPr>
              <w:rPr>
                <w:sz w:val="18"/>
                <w:szCs w:val="18"/>
              </w:rPr>
            </w:pPr>
            <w:r>
              <w:rPr>
                <w:sz w:val="18"/>
                <w:szCs w:val="18"/>
              </w:rPr>
              <w:t>FEDR</w:t>
            </w:r>
          </w:p>
        </w:tc>
        <w:tc>
          <w:tcPr>
            <w:tcW w:w="990" w:type="dxa"/>
            <w:vMerge w:val="restart"/>
          </w:tcPr>
          <w:p w:rsidR="00DA591E" w:rsidRPr="00F35F4B" w:rsidRDefault="00DA591E" w:rsidP="000F732E">
            <w:pPr>
              <w:rPr>
                <w:sz w:val="18"/>
                <w:szCs w:val="18"/>
              </w:rPr>
            </w:pPr>
            <w:r w:rsidRPr="00F35F4B">
              <w:rPr>
                <w:sz w:val="18"/>
                <w:szCs w:val="18"/>
              </w:rPr>
              <w:t>N/A</w:t>
            </w:r>
            <w:r w:rsidRPr="00F35F4B" w:rsidDel="00454BCE">
              <w:rPr>
                <w:sz w:val="18"/>
                <w:szCs w:val="18"/>
              </w:rPr>
              <w:t xml:space="preserve"> </w:t>
            </w:r>
          </w:p>
        </w:tc>
        <w:tc>
          <w:tcPr>
            <w:tcW w:w="990" w:type="dxa"/>
            <w:vMerge w:val="restart"/>
          </w:tcPr>
          <w:p w:rsidR="00DA591E" w:rsidRPr="00F35F4B" w:rsidRDefault="00DA591E" w:rsidP="000F732E">
            <w:pPr>
              <w:pStyle w:val="Default"/>
              <w:rPr>
                <w:sz w:val="18"/>
                <w:szCs w:val="18"/>
              </w:rPr>
            </w:pPr>
            <w:r w:rsidRPr="00C87FC6">
              <w:rPr>
                <w:rFonts w:asciiTheme="minorHAnsi" w:hAnsiTheme="minorHAnsi"/>
                <w:sz w:val="18"/>
                <w:szCs w:val="18"/>
                <w:lang w:val="ro-RO"/>
              </w:rPr>
              <w:t>&gt; 99,5</w:t>
            </w:r>
          </w:p>
        </w:tc>
        <w:tc>
          <w:tcPr>
            <w:tcW w:w="568" w:type="dxa"/>
          </w:tcPr>
          <w:p w:rsidR="00DA591E" w:rsidRPr="00783B28" w:rsidRDefault="00DA591E" w:rsidP="000F732E">
            <w:pPr>
              <w:rPr>
                <w:sz w:val="18"/>
                <w:szCs w:val="18"/>
              </w:rPr>
            </w:pPr>
            <w:r>
              <w:rPr>
                <w:sz w:val="18"/>
                <w:szCs w:val="18"/>
              </w:rPr>
              <w:t>0</w:t>
            </w:r>
          </w:p>
        </w:tc>
        <w:tc>
          <w:tcPr>
            <w:tcW w:w="630" w:type="dxa"/>
          </w:tcPr>
          <w:p w:rsidR="00DA591E" w:rsidRPr="007F3437" w:rsidRDefault="00DA591E" w:rsidP="000F732E">
            <w:pPr>
              <w:rPr>
                <w:sz w:val="18"/>
                <w:szCs w:val="18"/>
              </w:rPr>
            </w:pPr>
            <w:r>
              <w:rPr>
                <w:sz w:val="18"/>
                <w:szCs w:val="18"/>
              </w:rPr>
              <w:t>0</w:t>
            </w:r>
          </w:p>
        </w:tc>
        <w:tc>
          <w:tcPr>
            <w:tcW w:w="630" w:type="dxa"/>
          </w:tcPr>
          <w:p w:rsidR="00DA591E" w:rsidRPr="007F3437" w:rsidRDefault="00DA591E" w:rsidP="000F732E">
            <w:pPr>
              <w:rPr>
                <w:sz w:val="18"/>
                <w:szCs w:val="18"/>
              </w:rPr>
            </w:pPr>
          </w:p>
        </w:tc>
        <w:tc>
          <w:tcPr>
            <w:tcW w:w="630" w:type="dxa"/>
          </w:tcPr>
          <w:p w:rsidR="00DA591E" w:rsidRPr="007F3437" w:rsidRDefault="00DA591E" w:rsidP="000F732E">
            <w:pPr>
              <w:rPr>
                <w:sz w:val="18"/>
                <w:szCs w:val="18"/>
              </w:rPr>
            </w:pPr>
          </w:p>
        </w:tc>
        <w:tc>
          <w:tcPr>
            <w:tcW w:w="630" w:type="dxa"/>
          </w:tcPr>
          <w:p w:rsidR="00DA591E" w:rsidRPr="00E31D81" w:rsidRDefault="00DA591E" w:rsidP="000F732E">
            <w:pPr>
              <w:rPr>
                <w:sz w:val="18"/>
                <w:szCs w:val="18"/>
              </w:rPr>
            </w:pPr>
          </w:p>
        </w:tc>
        <w:tc>
          <w:tcPr>
            <w:tcW w:w="602" w:type="dxa"/>
          </w:tcPr>
          <w:p w:rsidR="00DA591E" w:rsidRPr="00E31D81" w:rsidRDefault="00DA591E" w:rsidP="000F732E">
            <w:pPr>
              <w:rPr>
                <w:sz w:val="18"/>
                <w:szCs w:val="18"/>
              </w:rPr>
            </w:pPr>
          </w:p>
        </w:tc>
        <w:tc>
          <w:tcPr>
            <w:tcW w:w="630" w:type="dxa"/>
          </w:tcPr>
          <w:p w:rsidR="00DA591E" w:rsidRPr="00E31D81"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630" w:type="dxa"/>
          </w:tcPr>
          <w:p w:rsidR="00DA591E" w:rsidRPr="00E70515" w:rsidRDefault="00DA591E" w:rsidP="000F732E">
            <w:pPr>
              <w:rPr>
                <w:sz w:val="18"/>
                <w:szCs w:val="18"/>
              </w:rPr>
            </w:pPr>
          </w:p>
        </w:tc>
        <w:tc>
          <w:tcPr>
            <w:tcW w:w="990" w:type="dxa"/>
          </w:tcPr>
          <w:p w:rsidR="00DA591E" w:rsidRPr="00E70515" w:rsidRDefault="00DA591E" w:rsidP="000F732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C87FC6" w:rsidRDefault="00F50D8B" w:rsidP="000F732E">
            <w:pPr>
              <w:pStyle w:val="Default"/>
              <w:rPr>
                <w:rFonts w:asciiTheme="minorHAnsi" w:hAnsiTheme="minorHAnsi"/>
                <w:sz w:val="18"/>
                <w:szCs w:val="18"/>
                <w:lang w:val="ro-RO"/>
              </w:rPr>
            </w:pPr>
          </w:p>
        </w:tc>
        <w:tc>
          <w:tcPr>
            <w:tcW w:w="810" w:type="dxa"/>
            <w:vMerge/>
          </w:tcPr>
          <w:p w:rsidR="00F50D8B" w:rsidRPr="00F80C42" w:rsidRDefault="00F50D8B" w:rsidP="000F732E">
            <w:pPr>
              <w:rPr>
                <w:sz w:val="18"/>
                <w:szCs w:val="18"/>
              </w:rPr>
            </w:pPr>
          </w:p>
        </w:tc>
        <w:tc>
          <w:tcPr>
            <w:tcW w:w="630" w:type="dxa"/>
            <w:vMerge/>
          </w:tcPr>
          <w:p w:rsidR="00F50D8B" w:rsidRPr="00F35F4B" w:rsidRDefault="00F50D8B" w:rsidP="000F732E">
            <w:pPr>
              <w:rPr>
                <w:sz w:val="18"/>
                <w:szCs w:val="18"/>
              </w:rPr>
            </w:pPr>
          </w:p>
        </w:tc>
        <w:tc>
          <w:tcPr>
            <w:tcW w:w="990" w:type="dxa"/>
            <w:vMerge/>
          </w:tcPr>
          <w:p w:rsidR="00F50D8B" w:rsidRPr="00F35F4B" w:rsidRDefault="00F50D8B" w:rsidP="000F732E">
            <w:pPr>
              <w:rPr>
                <w:sz w:val="18"/>
                <w:szCs w:val="18"/>
              </w:rPr>
            </w:pPr>
          </w:p>
        </w:tc>
        <w:tc>
          <w:tcPr>
            <w:tcW w:w="990" w:type="dxa"/>
            <w:vMerge/>
          </w:tcPr>
          <w:p w:rsidR="00F50D8B" w:rsidRPr="00C87FC6" w:rsidRDefault="00F50D8B" w:rsidP="000F732E">
            <w:pPr>
              <w:pStyle w:val="Default"/>
              <w:rPr>
                <w:rFonts w:asciiTheme="minorHAnsi" w:hAnsiTheme="minorHAnsi"/>
                <w:sz w:val="18"/>
                <w:szCs w:val="18"/>
                <w:lang w:val="ro-RO"/>
              </w:rPr>
            </w:pPr>
          </w:p>
        </w:tc>
        <w:tc>
          <w:tcPr>
            <w:tcW w:w="568" w:type="dxa"/>
          </w:tcPr>
          <w:p w:rsidR="00F50D8B" w:rsidRPr="00F80C42" w:rsidRDefault="00F50D8B" w:rsidP="000F732E">
            <w:pPr>
              <w:rPr>
                <w:sz w:val="18"/>
                <w:szCs w:val="18"/>
              </w:rPr>
            </w:pPr>
            <w:r w:rsidRPr="00F80C42">
              <w:rPr>
                <w:sz w:val="18"/>
                <w:szCs w:val="18"/>
              </w:rPr>
              <w:t>0</w:t>
            </w:r>
          </w:p>
        </w:tc>
        <w:tc>
          <w:tcPr>
            <w:tcW w:w="630" w:type="dxa"/>
          </w:tcPr>
          <w:p w:rsidR="00F50D8B" w:rsidRPr="00F35F4B" w:rsidRDefault="00F50D8B" w:rsidP="000F732E">
            <w:pPr>
              <w:rPr>
                <w:sz w:val="18"/>
                <w:szCs w:val="18"/>
              </w:rPr>
            </w:pPr>
            <w:r w:rsidRPr="00F35F4B">
              <w:rPr>
                <w:sz w:val="18"/>
                <w:szCs w:val="18"/>
              </w:rPr>
              <w:t>0</w:t>
            </w:r>
          </w:p>
        </w:tc>
        <w:tc>
          <w:tcPr>
            <w:tcW w:w="630" w:type="dxa"/>
          </w:tcPr>
          <w:p w:rsidR="00F50D8B" w:rsidRPr="00F35F4B" w:rsidRDefault="00F50D8B" w:rsidP="000F732E">
            <w:pPr>
              <w:rPr>
                <w:sz w:val="18"/>
                <w:szCs w:val="18"/>
              </w:rPr>
            </w:pPr>
          </w:p>
        </w:tc>
        <w:tc>
          <w:tcPr>
            <w:tcW w:w="630" w:type="dxa"/>
          </w:tcPr>
          <w:p w:rsidR="00F50D8B" w:rsidRPr="00F35F4B" w:rsidRDefault="00F50D8B" w:rsidP="000F732E">
            <w:pPr>
              <w:rPr>
                <w:sz w:val="18"/>
                <w:szCs w:val="18"/>
              </w:rPr>
            </w:pPr>
          </w:p>
        </w:tc>
        <w:tc>
          <w:tcPr>
            <w:tcW w:w="630" w:type="dxa"/>
          </w:tcPr>
          <w:p w:rsidR="00F50D8B" w:rsidRPr="00F35F4B" w:rsidRDefault="00F50D8B" w:rsidP="000F732E">
            <w:pPr>
              <w:rPr>
                <w:sz w:val="18"/>
                <w:szCs w:val="18"/>
              </w:rPr>
            </w:pPr>
          </w:p>
        </w:tc>
        <w:tc>
          <w:tcPr>
            <w:tcW w:w="602" w:type="dxa"/>
          </w:tcPr>
          <w:p w:rsidR="00F50D8B" w:rsidRPr="00F35F4B" w:rsidRDefault="00F50D8B" w:rsidP="000F732E">
            <w:pPr>
              <w:rPr>
                <w:sz w:val="18"/>
                <w:szCs w:val="18"/>
              </w:rPr>
            </w:pPr>
          </w:p>
        </w:tc>
        <w:tc>
          <w:tcPr>
            <w:tcW w:w="630" w:type="dxa"/>
          </w:tcPr>
          <w:p w:rsidR="00F50D8B" w:rsidRPr="00783B28"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990" w:type="dxa"/>
          </w:tcPr>
          <w:p w:rsidR="00F50D8B" w:rsidRPr="00E31D81" w:rsidRDefault="00F50D8B" w:rsidP="000F732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t>Val cumulată – operațiuni selectate (estimare furnizată de beneficiari</w:t>
            </w:r>
            <w:r>
              <w:rPr>
                <w:sz w:val="18"/>
                <w:szCs w:val="18"/>
              </w:rPr>
              <w:t>)</w:t>
            </w:r>
          </w:p>
        </w:tc>
        <w:tc>
          <w:tcPr>
            <w:tcW w:w="482" w:type="dxa"/>
            <w:vMerge w:val="restart"/>
          </w:tcPr>
          <w:p w:rsidR="00F50D8B" w:rsidRPr="00F80C42" w:rsidRDefault="00F50D8B" w:rsidP="00F50D8B">
            <w:pPr>
              <w:ind w:right="-108"/>
              <w:rPr>
                <w:sz w:val="18"/>
                <w:szCs w:val="18"/>
              </w:rPr>
            </w:pPr>
            <w:r w:rsidRPr="00F80C42">
              <w:rPr>
                <w:sz w:val="18"/>
                <w:szCs w:val="18"/>
              </w:rPr>
              <w:t>6S18</w:t>
            </w:r>
          </w:p>
        </w:tc>
        <w:tc>
          <w:tcPr>
            <w:tcW w:w="1800" w:type="dxa"/>
            <w:vMerge w:val="restart"/>
          </w:tcPr>
          <w:p w:rsidR="00F50D8B" w:rsidRPr="00DA591E" w:rsidRDefault="00F50D8B"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Zile participanți la instruire – utilizatori sisteme informatice </w:t>
            </w:r>
          </w:p>
        </w:tc>
        <w:tc>
          <w:tcPr>
            <w:tcW w:w="810" w:type="dxa"/>
            <w:vMerge w:val="restart"/>
          </w:tcPr>
          <w:p w:rsidR="00F50D8B" w:rsidRPr="00F80C42" w:rsidRDefault="00F50D8B" w:rsidP="000F732E">
            <w:pPr>
              <w:rPr>
                <w:sz w:val="18"/>
                <w:szCs w:val="18"/>
              </w:rPr>
            </w:pPr>
            <w:r w:rsidRPr="00F80C42">
              <w:rPr>
                <w:sz w:val="18"/>
                <w:szCs w:val="18"/>
              </w:rPr>
              <w:t>Nr.</w:t>
            </w:r>
          </w:p>
        </w:tc>
        <w:tc>
          <w:tcPr>
            <w:tcW w:w="630" w:type="dxa"/>
            <w:vMerge w:val="restart"/>
          </w:tcPr>
          <w:p w:rsidR="00F50D8B" w:rsidRDefault="00F50D8B" w:rsidP="000F732E">
            <w:pPr>
              <w:rPr>
                <w:sz w:val="18"/>
                <w:szCs w:val="18"/>
              </w:rPr>
            </w:pPr>
            <w:r w:rsidRPr="00164CD4">
              <w:rPr>
                <w:sz w:val="18"/>
                <w:szCs w:val="18"/>
              </w:rPr>
              <w:t>FEDR</w:t>
            </w:r>
          </w:p>
        </w:tc>
        <w:tc>
          <w:tcPr>
            <w:tcW w:w="990" w:type="dxa"/>
            <w:vMerge w:val="restart"/>
          </w:tcPr>
          <w:p w:rsidR="00F50D8B" w:rsidRPr="00F35F4B" w:rsidRDefault="00F50D8B" w:rsidP="000F732E">
            <w:pPr>
              <w:rPr>
                <w:sz w:val="18"/>
                <w:szCs w:val="18"/>
              </w:rPr>
            </w:pPr>
            <w:r w:rsidRPr="00F35F4B">
              <w:rPr>
                <w:sz w:val="18"/>
                <w:szCs w:val="18"/>
              </w:rPr>
              <w:t>N/A</w:t>
            </w:r>
            <w:r w:rsidRPr="00F35F4B" w:rsidDel="00454BCE">
              <w:rPr>
                <w:sz w:val="18"/>
                <w:szCs w:val="18"/>
              </w:rPr>
              <w:t xml:space="preserve"> </w:t>
            </w:r>
          </w:p>
        </w:tc>
        <w:tc>
          <w:tcPr>
            <w:tcW w:w="990" w:type="dxa"/>
            <w:vMerge w:val="restart"/>
          </w:tcPr>
          <w:p w:rsidR="00F50D8B" w:rsidRPr="00DA591E" w:rsidRDefault="00F50D8B" w:rsidP="000F732E">
            <w:pPr>
              <w:rPr>
                <w:sz w:val="18"/>
                <w:szCs w:val="18"/>
              </w:rPr>
            </w:pPr>
            <w:r w:rsidRPr="00F35F4B">
              <w:rPr>
                <w:sz w:val="18"/>
                <w:szCs w:val="18"/>
              </w:rPr>
              <w:t>6.000</w:t>
            </w:r>
          </w:p>
        </w:tc>
        <w:tc>
          <w:tcPr>
            <w:tcW w:w="568" w:type="dxa"/>
          </w:tcPr>
          <w:p w:rsidR="00F50D8B" w:rsidRPr="00F80C42" w:rsidRDefault="00F50D8B" w:rsidP="000F732E">
            <w:pPr>
              <w:rPr>
                <w:sz w:val="18"/>
                <w:szCs w:val="18"/>
              </w:rPr>
            </w:pPr>
            <w:r>
              <w:rPr>
                <w:sz w:val="18"/>
                <w:szCs w:val="18"/>
              </w:rPr>
              <w:t>0</w:t>
            </w:r>
          </w:p>
        </w:tc>
        <w:tc>
          <w:tcPr>
            <w:tcW w:w="630" w:type="dxa"/>
          </w:tcPr>
          <w:p w:rsidR="00F50D8B" w:rsidRPr="00F35F4B" w:rsidRDefault="00F50D8B" w:rsidP="000F732E">
            <w:pPr>
              <w:rPr>
                <w:sz w:val="18"/>
                <w:szCs w:val="18"/>
              </w:rPr>
            </w:pPr>
            <w:r>
              <w:rPr>
                <w:sz w:val="18"/>
                <w:szCs w:val="18"/>
              </w:rPr>
              <w:t>0</w:t>
            </w:r>
          </w:p>
        </w:tc>
        <w:tc>
          <w:tcPr>
            <w:tcW w:w="630" w:type="dxa"/>
          </w:tcPr>
          <w:p w:rsidR="00F50D8B" w:rsidRPr="00F35F4B" w:rsidRDefault="00F50D8B" w:rsidP="000F732E">
            <w:pPr>
              <w:rPr>
                <w:sz w:val="18"/>
                <w:szCs w:val="18"/>
              </w:rPr>
            </w:pPr>
          </w:p>
        </w:tc>
        <w:tc>
          <w:tcPr>
            <w:tcW w:w="630" w:type="dxa"/>
          </w:tcPr>
          <w:p w:rsidR="00F50D8B" w:rsidRPr="00F35F4B" w:rsidRDefault="00F50D8B" w:rsidP="000F732E">
            <w:pPr>
              <w:rPr>
                <w:sz w:val="18"/>
                <w:szCs w:val="18"/>
              </w:rPr>
            </w:pPr>
          </w:p>
        </w:tc>
        <w:tc>
          <w:tcPr>
            <w:tcW w:w="630" w:type="dxa"/>
          </w:tcPr>
          <w:p w:rsidR="00F50D8B" w:rsidRPr="00F35F4B" w:rsidRDefault="00F50D8B" w:rsidP="000F732E">
            <w:pPr>
              <w:rPr>
                <w:sz w:val="18"/>
                <w:szCs w:val="18"/>
              </w:rPr>
            </w:pPr>
          </w:p>
        </w:tc>
        <w:tc>
          <w:tcPr>
            <w:tcW w:w="602" w:type="dxa"/>
          </w:tcPr>
          <w:p w:rsidR="00F50D8B" w:rsidRPr="00F35F4B" w:rsidRDefault="00F50D8B" w:rsidP="000F732E">
            <w:pPr>
              <w:rPr>
                <w:sz w:val="18"/>
                <w:szCs w:val="18"/>
              </w:rPr>
            </w:pPr>
          </w:p>
        </w:tc>
        <w:tc>
          <w:tcPr>
            <w:tcW w:w="630" w:type="dxa"/>
          </w:tcPr>
          <w:p w:rsidR="00F50D8B" w:rsidRPr="00783B28"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990" w:type="dxa"/>
          </w:tcPr>
          <w:p w:rsidR="00F50D8B" w:rsidRPr="00E31D81" w:rsidRDefault="00F50D8B" w:rsidP="000F732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C87FC6" w:rsidRDefault="00F50D8B" w:rsidP="000F732E">
            <w:pPr>
              <w:pStyle w:val="Default"/>
              <w:rPr>
                <w:rFonts w:asciiTheme="minorHAnsi" w:hAnsiTheme="minorHAnsi"/>
                <w:sz w:val="18"/>
                <w:szCs w:val="18"/>
                <w:lang w:val="ro-RO"/>
              </w:rPr>
            </w:pPr>
          </w:p>
        </w:tc>
        <w:tc>
          <w:tcPr>
            <w:tcW w:w="810" w:type="dxa"/>
            <w:vMerge/>
          </w:tcPr>
          <w:p w:rsidR="00F50D8B" w:rsidRPr="00F80C42" w:rsidRDefault="00F50D8B" w:rsidP="000F732E">
            <w:pPr>
              <w:rPr>
                <w:sz w:val="18"/>
                <w:szCs w:val="18"/>
              </w:rPr>
            </w:pPr>
          </w:p>
        </w:tc>
        <w:tc>
          <w:tcPr>
            <w:tcW w:w="630" w:type="dxa"/>
            <w:vMerge/>
          </w:tcPr>
          <w:p w:rsidR="00F50D8B" w:rsidRPr="00F35F4B" w:rsidRDefault="00F50D8B" w:rsidP="000F732E">
            <w:pPr>
              <w:rPr>
                <w:sz w:val="18"/>
                <w:szCs w:val="18"/>
              </w:rPr>
            </w:pPr>
          </w:p>
        </w:tc>
        <w:tc>
          <w:tcPr>
            <w:tcW w:w="990" w:type="dxa"/>
            <w:vMerge/>
          </w:tcPr>
          <w:p w:rsidR="00F50D8B" w:rsidRPr="00F35F4B" w:rsidRDefault="00F50D8B" w:rsidP="000F732E">
            <w:pPr>
              <w:rPr>
                <w:sz w:val="18"/>
                <w:szCs w:val="18"/>
              </w:rPr>
            </w:pPr>
          </w:p>
        </w:tc>
        <w:tc>
          <w:tcPr>
            <w:tcW w:w="990" w:type="dxa"/>
            <w:vMerge/>
          </w:tcPr>
          <w:p w:rsidR="00F50D8B" w:rsidRPr="00F35F4B" w:rsidRDefault="00F50D8B" w:rsidP="000F732E">
            <w:pPr>
              <w:rPr>
                <w:sz w:val="18"/>
                <w:szCs w:val="18"/>
              </w:rPr>
            </w:pPr>
          </w:p>
        </w:tc>
        <w:tc>
          <w:tcPr>
            <w:tcW w:w="568" w:type="dxa"/>
          </w:tcPr>
          <w:p w:rsidR="00F50D8B" w:rsidRPr="00783B28" w:rsidRDefault="00F50D8B" w:rsidP="000F732E">
            <w:pPr>
              <w:rPr>
                <w:sz w:val="18"/>
                <w:szCs w:val="18"/>
              </w:rPr>
            </w:pPr>
            <w:r w:rsidRPr="00783B28">
              <w:rPr>
                <w:sz w:val="18"/>
                <w:szCs w:val="18"/>
              </w:rPr>
              <w:t>0</w:t>
            </w:r>
          </w:p>
        </w:tc>
        <w:tc>
          <w:tcPr>
            <w:tcW w:w="630" w:type="dxa"/>
          </w:tcPr>
          <w:p w:rsidR="00F50D8B" w:rsidRPr="007F3437" w:rsidRDefault="00F50D8B" w:rsidP="000F732E">
            <w:pPr>
              <w:rPr>
                <w:sz w:val="18"/>
                <w:szCs w:val="18"/>
              </w:rPr>
            </w:pPr>
            <w:r w:rsidRPr="007F3437">
              <w:rPr>
                <w:sz w:val="18"/>
                <w:szCs w:val="18"/>
              </w:rPr>
              <w:t>0</w:t>
            </w: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E31D81" w:rsidRDefault="00F50D8B" w:rsidP="000F732E">
            <w:pPr>
              <w:rPr>
                <w:sz w:val="18"/>
                <w:szCs w:val="18"/>
              </w:rPr>
            </w:pPr>
          </w:p>
        </w:tc>
        <w:tc>
          <w:tcPr>
            <w:tcW w:w="602"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990" w:type="dxa"/>
          </w:tcPr>
          <w:p w:rsidR="00F50D8B" w:rsidRPr="00E70515" w:rsidRDefault="00F50D8B" w:rsidP="000F732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t>Val cumulată – operațiuni selectate (estimare furnizată de beneficiari</w:t>
            </w:r>
            <w:r>
              <w:rPr>
                <w:sz w:val="18"/>
                <w:szCs w:val="18"/>
              </w:rPr>
              <w:t>)</w:t>
            </w:r>
          </w:p>
        </w:tc>
        <w:tc>
          <w:tcPr>
            <w:tcW w:w="482" w:type="dxa"/>
            <w:vMerge w:val="restart"/>
          </w:tcPr>
          <w:p w:rsidR="00F50D8B" w:rsidRPr="00F80C42" w:rsidRDefault="00F50D8B" w:rsidP="00F50D8B">
            <w:pPr>
              <w:ind w:right="-108"/>
              <w:rPr>
                <w:sz w:val="18"/>
                <w:szCs w:val="18"/>
              </w:rPr>
            </w:pPr>
            <w:r w:rsidRPr="00F80C42">
              <w:rPr>
                <w:sz w:val="18"/>
                <w:szCs w:val="18"/>
              </w:rPr>
              <w:t>6S19</w:t>
            </w:r>
          </w:p>
        </w:tc>
        <w:tc>
          <w:tcPr>
            <w:tcW w:w="1800" w:type="dxa"/>
            <w:vMerge w:val="restart"/>
          </w:tcPr>
          <w:p w:rsidR="00F50D8B" w:rsidRPr="00DA591E" w:rsidRDefault="00F50D8B"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Zile participanți la instruire – structuri de gestionare / alte structuri </w:t>
            </w:r>
          </w:p>
        </w:tc>
        <w:tc>
          <w:tcPr>
            <w:tcW w:w="810" w:type="dxa"/>
            <w:vMerge w:val="restart"/>
          </w:tcPr>
          <w:p w:rsidR="00F50D8B" w:rsidRPr="00F80C42" w:rsidRDefault="00F50D8B" w:rsidP="000F732E">
            <w:pPr>
              <w:rPr>
                <w:sz w:val="18"/>
                <w:szCs w:val="18"/>
              </w:rPr>
            </w:pPr>
            <w:r w:rsidRPr="00F80C42">
              <w:rPr>
                <w:sz w:val="18"/>
                <w:szCs w:val="18"/>
              </w:rPr>
              <w:t>Nr.</w:t>
            </w:r>
          </w:p>
        </w:tc>
        <w:tc>
          <w:tcPr>
            <w:tcW w:w="630" w:type="dxa"/>
            <w:vMerge w:val="restart"/>
          </w:tcPr>
          <w:p w:rsidR="00F50D8B" w:rsidRPr="00164CD4" w:rsidRDefault="00F50D8B" w:rsidP="000F732E">
            <w:pPr>
              <w:rPr>
                <w:sz w:val="18"/>
                <w:szCs w:val="18"/>
              </w:rPr>
            </w:pPr>
            <w:r w:rsidRPr="00164CD4">
              <w:rPr>
                <w:sz w:val="18"/>
                <w:szCs w:val="18"/>
              </w:rPr>
              <w:t>FEDR</w:t>
            </w:r>
          </w:p>
        </w:tc>
        <w:tc>
          <w:tcPr>
            <w:tcW w:w="990" w:type="dxa"/>
            <w:vMerge w:val="restart"/>
          </w:tcPr>
          <w:p w:rsidR="00F50D8B" w:rsidRPr="00F35F4B" w:rsidRDefault="00F50D8B" w:rsidP="000F732E">
            <w:pPr>
              <w:rPr>
                <w:sz w:val="18"/>
                <w:szCs w:val="18"/>
              </w:rPr>
            </w:pPr>
            <w:r w:rsidRPr="00F35F4B">
              <w:rPr>
                <w:sz w:val="18"/>
                <w:szCs w:val="18"/>
              </w:rPr>
              <w:t>N/A</w:t>
            </w:r>
            <w:r w:rsidRPr="00F35F4B" w:rsidDel="00454BCE">
              <w:rPr>
                <w:sz w:val="18"/>
                <w:szCs w:val="18"/>
              </w:rPr>
              <w:t xml:space="preserve"> </w:t>
            </w:r>
          </w:p>
        </w:tc>
        <w:tc>
          <w:tcPr>
            <w:tcW w:w="990" w:type="dxa"/>
            <w:vMerge w:val="restart"/>
          </w:tcPr>
          <w:p w:rsidR="00F50D8B" w:rsidRPr="00F35F4B" w:rsidRDefault="00F50D8B" w:rsidP="000F732E">
            <w:pPr>
              <w:rPr>
                <w:sz w:val="18"/>
                <w:szCs w:val="18"/>
              </w:rPr>
            </w:pPr>
            <w:r w:rsidRPr="00F35F4B">
              <w:rPr>
                <w:sz w:val="18"/>
                <w:szCs w:val="18"/>
              </w:rPr>
              <w:t>20.000</w:t>
            </w:r>
          </w:p>
        </w:tc>
        <w:tc>
          <w:tcPr>
            <w:tcW w:w="568" w:type="dxa"/>
          </w:tcPr>
          <w:p w:rsidR="00F50D8B" w:rsidRPr="00783B28"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E31D81" w:rsidRDefault="00F50D8B" w:rsidP="000F732E">
            <w:pPr>
              <w:rPr>
                <w:sz w:val="18"/>
                <w:szCs w:val="18"/>
              </w:rPr>
            </w:pPr>
          </w:p>
        </w:tc>
        <w:tc>
          <w:tcPr>
            <w:tcW w:w="602"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990" w:type="dxa"/>
          </w:tcPr>
          <w:p w:rsidR="00F50D8B" w:rsidRPr="00E70515" w:rsidRDefault="00F50D8B" w:rsidP="000F732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C87FC6" w:rsidRDefault="00F50D8B" w:rsidP="000F732E">
            <w:pPr>
              <w:pStyle w:val="Default"/>
              <w:rPr>
                <w:rFonts w:asciiTheme="minorHAnsi" w:hAnsiTheme="minorHAnsi"/>
                <w:sz w:val="18"/>
                <w:szCs w:val="18"/>
                <w:lang w:val="ro-RO"/>
              </w:rPr>
            </w:pPr>
          </w:p>
        </w:tc>
        <w:tc>
          <w:tcPr>
            <w:tcW w:w="810" w:type="dxa"/>
            <w:vMerge/>
          </w:tcPr>
          <w:p w:rsidR="00F50D8B" w:rsidRPr="00F35F4B" w:rsidRDefault="00F50D8B" w:rsidP="000F732E">
            <w:pPr>
              <w:rPr>
                <w:sz w:val="18"/>
                <w:szCs w:val="18"/>
              </w:rPr>
            </w:pPr>
          </w:p>
        </w:tc>
        <w:tc>
          <w:tcPr>
            <w:tcW w:w="630" w:type="dxa"/>
            <w:vMerge/>
          </w:tcPr>
          <w:p w:rsidR="00F50D8B" w:rsidRPr="00F35F4B" w:rsidRDefault="00F50D8B" w:rsidP="000F732E">
            <w:pPr>
              <w:rPr>
                <w:sz w:val="18"/>
                <w:szCs w:val="18"/>
              </w:rPr>
            </w:pPr>
          </w:p>
        </w:tc>
        <w:tc>
          <w:tcPr>
            <w:tcW w:w="990" w:type="dxa"/>
            <w:vMerge/>
          </w:tcPr>
          <w:p w:rsidR="00F50D8B" w:rsidRPr="00F35F4B" w:rsidRDefault="00F50D8B" w:rsidP="000F732E">
            <w:pPr>
              <w:rPr>
                <w:sz w:val="18"/>
                <w:szCs w:val="18"/>
              </w:rPr>
            </w:pPr>
          </w:p>
        </w:tc>
        <w:tc>
          <w:tcPr>
            <w:tcW w:w="990" w:type="dxa"/>
            <w:vMerge/>
          </w:tcPr>
          <w:p w:rsidR="00F50D8B" w:rsidRPr="00F35F4B" w:rsidRDefault="00F50D8B" w:rsidP="000F732E">
            <w:pPr>
              <w:rPr>
                <w:sz w:val="18"/>
                <w:szCs w:val="18"/>
              </w:rPr>
            </w:pPr>
          </w:p>
        </w:tc>
        <w:tc>
          <w:tcPr>
            <w:tcW w:w="568" w:type="dxa"/>
          </w:tcPr>
          <w:p w:rsidR="00F50D8B" w:rsidRPr="00783B28" w:rsidRDefault="00F50D8B" w:rsidP="000F732E">
            <w:pPr>
              <w:rPr>
                <w:sz w:val="18"/>
                <w:szCs w:val="18"/>
              </w:rPr>
            </w:pPr>
            <w:r w:rsidRPr="00783B28">
              <w:rPr>
                <w:sz w:val="18"/>
                <w:szCs w:val="18"/>
              </w:rPr>
              <w:t>0</w:t>
            </w:r>
          </w:p>
        </w:tc>
        <w:tc>
          <w:tcPr>
            <w:tcW w:w="630" w:type="dxa"/>
          </w:tcPr>
          <w:p w:rsidR="00F50D8B" w:rsidRPr="007F3437" w:rsidRDefault="00F50D8B" w:rsidP="000F732E">
            <w:pPr>
              <w:rPr>
                <w:sz w:val="18"/>
                <w:szCs w:val="18"/>
              </w:rPr>
            </w:pPr>
            <w:r w:rsidRPr="007F3437">
              <w:rPr>
                <w:sz w:val="18"/>
                <w:szCs w:val="18"/>
              </w:rPr>
              <w:t>0</w:t>
            </w: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E31D81" w:rsidRDefault="00F50D8B" w:rsidP="000F732E">
            <w:pPr>
              <w:rPr>
                <w:sz w:val="18"/>
                <w:szCs w:val="18"/>
              </w:rPr>
            </w:pPr>
          </w:p>
        </w:tc>
        <w:tc>
          <w:tcPr>
            <w:tcW w:w="602"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990" w:type="dxa"/>
          </w:tcPr>
          <w:p w:rsidR="00F50D8B" w:rsidRPr="00E70515" w:rsidRDefault="00F50D8B" w:rsidP="000F732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t>Val cumulată – operațiuni selectate (estimare furnizată de beneficiari</w:t>
            </w:r>
            <w:r>
              <w:rPr>
                <w:sz w:val="18"/>
                <w:szCs w:val="18"/>
              </w:rPr>
              <w:t>)</w:t>
            </w:r>
          </w:p>
        </w:tc>
        <w:tc>
          <w:tcPr>
            <w:tcW w:w="482" w:type="dxa"/>
            <w:vMerge w:val="restart"/>
          </w:tcPr>
          <w:p w:rsidR="00F50D8B" w:rsidRPr="00F80C42" w:rsidRDefault="00F50D8B" w:rsidP="00F50D8B">
            <w:pPr>
              <w:ind w:right="-108"/>
              <w:rPr>
                <w:sz w:val="18"/>
                <w:szCs w:val="18"/>
              </w:rPr>
            </w:pPr>
            <w:r w:rsidRPr="00F80C42">
              <w:rPr>
                <w:sz w:val="18"/>
                <w:szCs w:val="18"/>
              </w:rPr>
              <w:t>6S20</w:t>
            </w:r>
          </w:p>
        </w:tc>
        <w:tc>
          <w:tcPr>
            <w:tcW w:w="1800" w:type="dxa"/>
            <w:vMerge w:val="restart"/>
          </w:tcPr>
          <w:p w:rsidR="00F50D8B" w:rsidRPr="00DA591E" w:rsidRDefault="00F50D8B" w:rsidP="00C87FC6">
            <w:pPr>
              <w:pStyle w:val="Default"/>
              <w:jc w:val="both"/>
              <w:rPr>
                <w:rFonts w:asciiTheme="minorHAnsi" w:hAnsiTheme="minorHAnsi"/>
                <w:sz w:val="18"/>
                <w:szCs w:val="18"/>
                <w:lang w:val="ro-RO"/>
              </w:rPr>
            </w:pPr>
            <w:r w:rsidRPr="00C87FC6">
              <w:rPr>
                <w:rFonts w:asciiTheme="minorHAnsi" w:hAnsiTheme="minorHAnsi"/>
                <w:sz w:val="18"/>
                <w:szCs w:val="18"/>
                <w:lang w:val="ro-RO"/>
              </w:rPr>
              <w:t xml:space="preserve">Număr personal din sistemul FESI, ale căror salarii sunt </w:t>
            </w:r>
            <w:proofErr w:type="spellStart"/>
            <w:r w:rsidRPr="00C87FC6">
              <w:rPr>
                <w:rFonts w:asciiTheme="minorHAnsi" w:hAnsiTheme="minorHAnsi"/>
                <w:sz w:val="18"/>
                <w:szCs w:val="18"/>
                <w:lang w:val="ro-RO"/>
              </w:rPr>
              <w:t>co</w:t>
            </w:r>
            <w:proofErr w:type="spellEnd"/>
            <w:r w:rsidRPr="00C87FC6">
              <w:rPr>
                <w:rFonts w:asciiTheme="minorHAnsi" w:hAnsiTheme="minorHAnsi"/>
                <w:sz w:val="18"/>
                <w:szCs w:val="18"/>
                <w:lang w:val="ro-RO"/>
              </w:rPr>
              <w:t xml:space="preserve">-finanțate din POAT – echivalent normă întreagă anual (full </w:t>
            </w:r>
            <w:proofErr w:type="spellStart"/>
            <w:r w:rsidRPr="00C87FC6">
              <w:rPr>
                <w:rFonts w:asciiTheme="minorHAnsi" w:hAnsiTheme="minorHAnsi"/>
                <w:sz w:val="18"/>
                <w:szCs w:val="18"/>
                <w:lang w:val="ro-RO"/>
              </w:rPr>
              <w:t>time</w:t>
            </w:r>
            <w:proofErr w:type="spellEnd"/>
            <w:r w:rsidRPr="00C87FC6">
              <w:rPr>
                <w:rFonts w:asciiTheme="minorHAnsi" w:hAnsiTheme="minorHAnsi"/>
                <w:sz w:val="18"/>
                <w:szCs w:val="18"/>
                <w:lang w:val="ro-RO"/>
              </w:rPr>
              <w:t xml:space="preserve"> </w:t>
            </w:r>
            <w:proofErr w:type="spellStart"/>
            <w:r w:rsidRPr="00C87FC6">
              <w:rPr>
                <w:rFonts w:asciiTheme="minorHAnsi" w:hAnsiTheme="minorHAnsi"/>
                <w:sz w:val="18"/>
                <w:szCs w:val="18"/>
                <w:lang w:val="ro-RO"/>
              </w:rPr>
              <w:t>equivalents</w:t>
            </w:r>
            <w:proofErr w:type="spellEnd"/>
            <w:r w:rsidRPr="00C87FC6">
              <w:rPr>
                <w:rFonts w:asciiTheme="minorHAnsi" w:hAnsiTheme="minorHAnsi"/>
                <w:sz w:val="18"/>
                <w:szCs w:val="18"/>
                <w:lang w:val="ro-RO"/>
              </w:rPr>
              <w:t xml:space="preserve">) </w:t>
            </w:r>
          </w:p>
        </w:tc>
        <w:tc>
          <w:tcPr>
            <w:tcW w:w="810" w:type="dxa"/>
            <w:vMerge w:val="restart"/>
          </w:tcPr>
          <w:p w:rsidR="00F50D8B" w:rsidRPr="00F80C42" w:rsidRDefault="00F50D8B" w:rsidP="000F732E">
            <w:pPr>
              <w:rPr>
                <w:sz w:val="18"/>
                <w:szCs w:val="18"/>
              </w:rPr>
            </w:pPr>
            <w:r w:rsidRPr="00F80C42">
              <w:rPr>
                <w:sz w:val="18"/>
                <w:szCs w:val="18"/>
              </w:rPr>
              <w:t>Nr.</w:t>
            </w:r>
          </w:p>
        </w:tc>
        <w:tc>
          <w:tcPr>
            <w:tcW w:w="630" w:type="dxa"/>
            <w:vMerge w:val="restart"/>
          </w:tcPr>
          <w:p w:rsidR="00F50D8B" w:rsidRPr="00164CD4" w:rsidRDefault="00F50D8B" w:rsidP="000F732E">
            <w:pPr>
              <w:rPr>
                <w:sz w:val="18"/>
                <w:szCs w:val="18"/>
              </w:rPr>
            </w:pPr>
            <w:r w:rsidRPr="00164CD4">
              <w:rPr>
                <w:sz w:val="18"/>
                <w:szCs w:val="18"/>
              </w:rPr>
              <w:t>FEDR</w:t>
            </w:r>
          </w:p>
        </w:tc>
        <w:tc>
          <w:tcPr>
            <w:tcW w:w="990" w:type="dxa"/>
            <w:vMerge w:val="restart"/>
          </w:tcPr>
          <w:p w:rsidR="00F50D8B" w:rsidRPr="00F35F4B" w:rsidRDefault="00F50D8B" w:rsidP="000F732E">
            <w:pPr>
              <w:rPr>
                <w:sz w:val="18"/>
                <w:szCs w:val="18"/>
              </w:rPr>
            </w:pPr>
            <w:r w:rsidRPr="00F35F4B">
              <w:rPr>
                <w:sz w:val="18"/>
                <w:szCs w:val="18"/>
              </w:rPr>
              <w:t>N/A</w:t>
            </w:r>
            <w:r w:rsidRPr="00F35F4B" w:rsidDel="00454BCE">
              <w:rPr>
                <w:sz w:val="18"/>
                <w:szCs w:val="18"/>
              </w:rPr>
              <w:t xml:space="preserve"> </w:t>
            </w:r>
          </w:p>
        </w:tc>
        <w:tc>
          <w:tcPr>
            <w:tcW w:w="990" w:type="dxa"/>
            <w:vMerge w:val="restart"/>
          </w:tcPr>
          <w:p w:rsidR="00F50D8B" w:rsidRPr="00F35F4B" w:rsidRDefault="00F50D8B" w:rsidP="000F732E">
            <w:pPr>
              <w:rPr>
                <w:sz w:val="18"/>
                <w:szCs w:val="18"/>
              </w:rPr>
            </w:pPr>
            <w:r w:rsidRPr="00F35F4B">
              <w:rPr>
                <w:sz w:val="18"/>
                <w:szCs w:val="18"/>
              </w:rPr>
              <w:t>1.400</w:t>
            </w:r>
          </w:p>
        </w:tc>
        <w:tc>
          <w:tcPr>
            <w:tcW w:w="568" w:type="dxa"/>
          </w:tcPr>
          <w:p w:rsidR="00F50D8B" w:rsidRPr="00783B28"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r>
              <w:rPr>
                <w:sz w:val="18"/>
                <w:szCs w:val="18"/>
              </w:rPr>
              <w:t>0</w:t>
            </w: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E31D81" w:rsidRDefault="00F50D8B" w:rsidP="000F732E">
            <w:pPr>
              <w:rPr>
                <w:sz w:val="18"/>
                <w:szCs w:val="18"/>
              </w:rPr>
            </w:pPr>
          </w:p>
        </w:tc>
        <w:tc>
          <w:tcPr>
            <w:tcW w:w="602" w:type="dxa"/>
          </w:tcPr>
          <w:p w:rsidR="00F50D8B" w:rsidRPr="00E31D81" w:rsidRDefault="00F50D8B" w:rsidP="000F732E">
            <w:pPr>
              <w:rPr>
                <w:sz w:val="18"/>
                <w:szCs w:val="18"/>
              </w:rPr>
            </w:pPr>
          </w:p>
        </w:tc>
        <w:tc>
          <w:tcPr>
            <w:tcW w:w="630" w:type="dxa"/>
          </w:tcPr>
          <w:p w:rsidR="00F50D8B" w:rsidRPr="00E31D81"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630" w:type="dxa"/>
          </w:tcPr>
          <w:p w:rsidR="00F50D8B" w:rsidRPr="00E70515" w:rsidRDefault="00F50D8B" w:rsidP="000F732E">
            <w:pPr>
              <w:rPr>
                <w:sz w:val="18"/>
                <w:szCs w:val="18"/>
              </w:rPr>
            </w:pPr>
          </w:p>
        </w:tc>
        <w:tc>
          <w:tcPr>
            <w:tcW w:w="990" w:type="dxa"/>
          </w:tcPr>
          <w:p w:rsidR="00F50D8B" w:rsidRPr="00E70515" w:rsidRDefault="00F50D8B" w:rsidP="000F732E">
            <w:pPr>
              <w:rPr>
                <w:sz w:val="18"/>
                <w:szCs w:val="18"/>
              </w:rPr>
            </w:pPr>
          </w:p>
        </w:tc>
      </w:tr>
      <w:tr w:rsidR="00F50D8B" w:rsidRPr="00F80C42" w:rsidTr="00F50D8B">
        <w:tc>
          <w:tcPr>
            <w:tcW w:w="2178" w:type="dxa"/>
          </w:tcPr>
          <w:p w:rsidR="00F50D8B" w:rsidRPr="00F80C42" w:rsidRDefault="00F50D8B" w:rsidP="000F732E">
            <w:pPr>
              <w:rPr>
                <w:sz w:val="18"/>
                <w:szCs w:val="18"/>
              </w:rPr>
            </w:pPr>
            <w:r w:rsidRPr="00F80C42">
              <w:rPr>
                <w:sz w:val="18"/>
                <w:szCs w:val="18"/>
              </w:rPr>
              <w:t>Val cumulată – operațiuni implementate pe deplin (realizare efectivă</w:t>
            </w:r>
            <w:r w:rsidRPr="00F35F4B">
              <w:rPr>
                <w:sz w:val="18"/>
                <w:szCs w:val="18"/>
              </w:rPr>
              <w:t>)</w:t>
            </w:r>
          </w:p>
        </w:tc>
        <w:tc>
          <w:tcPr>
            <w:tcW w:w="482" w:type="dxa"/>
            <w:vMerge/>
          </w:tcPr>
          <w:p w:rsidR="00F50D8B" w:rsidRPr="00F80C42" w:rsidRDefault="00F50D8B" w:rsidP="00F50D8B">
            <w:pPr>
              <w:ind w:right="-108"/>
              <w:rPr>
                <w:sz w:val="18"/>
                <w:szCs w:val="18"/>
              </w:rPr>
            </w:pPr>
          </w:p>
        </w:tc>
        <w:tc>
          <w:tcPr>
            <w:tcW w:w="1800" w:type="dxa"/>
            <w:vMerge/>
          </w:tcPr>
          <w:p w:rsidR="00F50D8B" w:rsidRPr="00C87FC6" w:rsidRDefault="00F50D8B" w:rsidP="000F732E">
            <w:pPr>
              <w:pStyle w:val="Default"/>
              <w:rPr>
                <w:rFonts w:asciiTheme="minorHAnsi" w:hAnsiTheme="minorHAnsi"/>
                <w:sz w:val="18"/>
                <w:szCs w:val="18"/>
                <w:lang w:val="ro-RO"/>
              </w:rPr>
            </w:pPr>
          </w:p>
        </w:tc>
        <w:tc>
          <w:tcPr>
            <w:tcW w:w="810" w:type="dxa"/>
            <w:vMerge/>
          </w:tcPr>
          <w:p w:rsidR="00F50D8B" w:rsidRPr="00F35F4B" w:rsidRDefault="00F50D8B" w:rsidP="000F732E">
            <w:pPr>
              <w:rPr>
                <w:sz w:val="18"/>
                <w:szCs w:val="18"/>
              </w:rPr>
            </w:pPr>
          </w:p>
        </w:tc>
        <w:tc>
          <w:tcPr>
            <w:tcW w:w="630" w:type="dxa"/>
            <w:vMerge/>
          </w:tcPr>
          <w:p w:rsidR="00F50D8B" w:rsidRPr="00F35F4B" w:rsidRDefault="00F50D8B" w:rsidP="000F732E">
            <w:pPr>
              <w:rPr>
                <w:sz w:val="18"/>
                <w:szCs w:val="18"/>
              </w:rPr>
            </w:pPr>
          </w:p>
        </w:tc>
        <w:tc>
          <w:tcPr>
            <w:tcW w:w="990" w:type="dxa"/>
            <w:vMerge/>
          </w:tcPr>
          <w:p w:rsidR="00F50D8B" w:rsidRPr="00C87FC6" w:rsidRDefault="00F50D8B" w:rsidP="000F732E">
            <w:pPr>
              <w:rPr>
                <w:sz w:val="18"/>
                <w:szCs w:val="18"/>
              </w:rPr>
            </w:pPr>
          </w:p>
        </w:tc>
        <w:tc>
          <w:tcPr>
            <w:tcW w:w="990" w:type="dxa"/>
            <w:vMerge/>
          </w:tcPr>
          <w:p w:rsidR="00F50D8B" w:rsidRPr="00C87FC6" w:rsidRDefault="00F50D8B" w:rsidP="000F732E">
            <w:pPr>
              <w:rPr>
                <w:sz w:val="18"/>
                <w:szCs w:val="18"/>
              </w:rPr>
            </w:pPr>
          </w:p>
        </w:tc>
        <w:tc>
          <w:tcPr>
            <w:tcW w:w="568" w:type="dxa"/>
          </w:tcPr>
          <w:p w:rsidR="00F50D8B" w:rsidRPr="00F80C42" w:rsidRDefault="00F50D8B" w:rsidP="000F732E">
            <w:pPr>
              <w:rPr>
                <w:sz w:val="18"/>
                <w:szCs w:val="18"/>
              </w:rPr>
            </w:pPr>
            <w:r w:rsidRPr="00F80C42">
              <w:rPr>
                <w:sz w:val="18"/>
                <w:szCs w:val="18"/>
              </w:rPr>
              <w:t>0</w:t>
            </w:r>
          </w:p>
        </w:tc>
        <w:tc>
          <w:tcPr>
            <w:tcW w:w="630" w:type="dxa"/>
          </w:tcPr>
          <w:p w:rsidR="00F50D8B" w:rsidRPr="00F35F4B" w:rsidRDefault="00F50D8B" w:rsidP="000F732E">
            <w:pPr>
              <w:rPr>
                <w:sz w:val="18"/>
                <w:szCs w:val="18"/>
              </w:rPr>
            </w:pPr>
            <w:r w:rsidRPr="00F35F4B">
              <w:rPr>
                <w:sz w:val="18"/>
                <w:szCs w:val="18"/>
              </w:rPr>
              <w:t>0</w:t>
            </w:r>
          </w:p>
        </w:tc>
        <w:tc>
          <w:tcPr>
            <w:tcW w:w="630" w:type="dxa"/>
          </w:tcPr>
          <w:p w:rsidR="00F50D8B" w:rsidRPr="00F35F4B" w:rsidRDefault="00F50D8B" w:rsidP="000F732E">
            <w:pPr>
              <w:rPr>
                <w:sz w:val="18"/>
                <w:szCs w:val="18"/>
              </w:rPr>
            </w:pPr>
          </w:p>
        </w:tc>
        <w:tc>
          <w:tcPr>
            <w:tcW w:w="630" w:type="dxa"/>
          </w:tcPr>
          <w:p w:rsidR="00F50D8B" w:rsidRPr="00F35F4B" w:rsidRDefault="00F50D8B" w:rsidP="000F732E">
            <w:pPr>
              <w:rPr>
                <w:sz w:val="18"/>
                <w:szCs w:val="18"/>
              </w:rPr>
            </w:pPr>
          </w:p>
        </w:tc>
        <w:tc>
          <w:tcPr>
            <w:tcW w:w="630" w:type="dxa"/>
          </w:tcPr>
          <w:p w:rsidR="00F50D8B" w:rsidRPr="00F35F4B" w:rsidRDefault="00F50D8B" w:rsidP="000F732E">
            <w:pPr>
              <w:rPr>
                <w:sz w:val="18"/>
                <w:szCs w:val="18"/>
              </w:rPr>
            </w:pPr>
          </w:p>
        </w:tc>
        <w:tc>
          <w:tcPr>
            <w:tcW w:w="602" w:type="dxa"/>
          </w:tcPr>
          <w:p w:rsidR="00F50D8B" w:rsidRPr="00F35F4B" w:rsidRDefault="00F50D8B" w:rsidP="000F732E">
            <w:pPr>
              <w:rPr>
                <w:sz w:val="18"/>
                <w:szCs w:val="18"/>
              </w:rPr>
            </w:pPr>
          </w:p>
        </w:tc>
        <w:tc>
          <w:tcPr>
            <w:tcW w:w="630" w:type="dxa"/>
          </w:tcPr>
          <w:p w:rsidR="00F50D8B" w:rsidRPr="00F35F4B" w:rsidRDefault="00F50D8B" w:rsidP="000F732E">
            <w:pPr>
              <w:rPr>
                <w:sz w:val="18"/>
                <w:szCs w:val="18"/>
              </w:rPr>
            </w:pPr>
          </w:p>
        </w:tc>
        <w:tc>
          <w:tcPr>
            <w:tcW w:w="630" w:type="dxa"/>
          </w:tcPr>
          <w:p w:rsidR="00F50D8B" w:rsidRPr="00783B28" w:rsidRDefault="00F50D8B" w:rsidP="000F732E">
            <w:pPr>
              <w:rPr>
                <w:sz w:val="18"/>
                <w:szCs w:val="18"/>
              </w:rPr>
            </w:pPr>
          </w:p>
        </w:tc>
        <w:tc>
          <w:tcPr>
            <w:tcW w:w="630" w:type="dxa"/>
          </w:tcPr>
          <w:p w:rsidR="00F50D8B" w:rsidRPr="007F3437" w:rsidRDefault="00F50D8B" w:rsidP="000F732E">
            <w:pPr>
              <w:rPr>
                <w:sz w:val="18"/>
                <w:szCs w:val="18"/>
              </w:rPr>
            </w:pPr>
          </w:p>
        </w:tc>
        <w:tc>
          <w:tcPr>
            <w:tcW w:w="630" w:type="dxa"/>
          </w:tcPr>
          <w:p w:rsidR="00F50D8B" w:rsidRPr="007F3437" w:rsidRDefault="00F50D8B" w:rsidP="000F732E">
            <w:pPr>
              <w:rPr>
                <w:sz w:val="18"/>
                <w:szCs w:val="18"/>
              </w:rPr>
            </w:pPr>
          </w:p>
        </w:tc>
        <w:tc>
          <w:tcPr>
            <w:tcW w:w="990" w:type="dxa"/>
          </w:tcPr>
          <w:p w:rsidR="00F50D8B" w:rsidRPr="007F3437" w:rsidRDefault="00F50D8B" w:rsidP="000F732E">
            <w:pPr>
              <w:rPr>
                <w:sz w:val="18"/>
                <w:szCs w:val="18"/>
              </w:rPr>
            </w:pPr>
          </w:p>
        </w:tc>
      </w:tr>
    </w:tbl>
    <w:p w:rsidR="008661B5" w:rsidRDefault="008661B5" w:rsidP="008834C1"/>
    <w:p w:rsidR="00235973" w:rsidRPr="00235973" w:rsidRDefault="00235973" w:rsidP="00235973">
      <w:pPr>
        <w:pStyle w:val="ListParagraph"/>
        <w:rPr>
          <w:b/>
        </w:rPr>
      </w:pPr>
      <w:r w:rsidRPr="00235973">
        <w:rPr>
          <w:b/>
        </w:rPr>
        <w:t>Tabelul 3B Pentru anumiți indicatori de realizare comuni pentru sprijinul FEDR în cadrul obiectivului referitor la investiții pentru creștere economică și locuri de muncă legați de investițiile productive — Numărul de întreprinderi care beneficiază de sprijin din programul operațional, fără sprijin multiplu pentru aceleași întreprinderi</w:t>
      </w:r>
    </w:p>
    <w:p w:rsidR="00235973" w:rsidRDefault="00235973" w:rsidP="00235973">
      <w:pPr>
        <w:pStyle w:val="ListParagraph"/>
      </w:pPr>
    </w:p>
    <w:p w:rsidR="00235973" w:rsidRDefault="00235973" w:rsidP="00235973">
      <w:pPr>
        <w:pStyle w:val="ListParagraph"/>
      </w:pPr>
      <w:r w:rsidRPr="00235973">
        <w:t>Nu este cazul pentru POAT.</w:t>
      </w:r>
    </w:p>
    <w:p w:rsidR="00235973" w:rsidRDefault="00235973" w:rsidP="00235973">
      <w:pPr>
        <w:pStyle w:val="ListParagraph"/>
      </w:pPr>
    </w:p>
    <w:p w:rsidR="00235973" w:rsidRPr="00235973" w:rsidRDefault="00235973" w:rsidP="00235973">
      <w:pPr>
        <w:pStyle w:val="ListParagraph"/>
        <w:rPr>
          <w:b/>
        </w:rPr>
      </w:pPr>
      <w:r w:rsidRPr="00235973">
        <w:rPr>
          <w:b/>
        </w:rPr>
        <w:t>Tabelul 4A Indicatori de realizare comuni pentru FSE (pe axă prioritară, prioritate de investiții și categorie de regiuni). Pentru YEI, nu este necesară o defalcare pe categorie de regiuni pentru fiecare axă prioritară sau parte a unei axe prioritare</w:t>
      </w:r>
    </w:p>
    <w:p w:rsidR="00235973" w:rsidRDefault="00235973" w:rsidP="00235973">
      <w:pPr>
        <w:pStyle w:val="ListParagraph"/>
      </w:pPr>
    </w:p>
    <w:p w:rsidR="00235973" w:rsidRDefault="00235973" w:rsidP="00235973">
      <w:pPr>
        <w:pStyle w:val="ListParagraph"/>
      </w:pPr>
      <w:r w:rsidRPr="00235973">
        <w:t>Nu este cazul pentru POAT.</w:t>
      </w:r>
    </w:p>
    <w:p w:rsidR="00235973" w:rsidRDefault="00235973" w:rsidP="00235973">
      <w:pPr>
        <w:pStyle w:val="ListParagraph"/>
      </w:pPr>
    </w:p>
    <w:p w:rsidR="00235973" w:rsidRPr="00235973" w:rsidRDefault="00235973" w:rsidP="00235973">
      <w:pPr>
        <w:pStyle w:val="ListParagraph"/>
        <w:rPr>
          <w:b/>
        </w:rPr>
      </w:pPr>
      <w:r w:rsidRPr="00235973">
        <w:rPr>
          <w:b/>
        </w:rPr>
        <w:t>Tabelul 4B Indicatori de realizare specifici programului pentru FSE (pe axă prioritară, prioritate de investiții și categorie de regiuni; se aplică, de asemenea, în cazul axelor prioritare pentru asistență tehnică.) Pentru YEI, nu este necesară o defalcare pe categorie de regiuni pentru fiecare axă prioritară sau parte a unei axe prioritare</w:t>
      </w:r>
    </w:p>
    <w:p w:rsidR="00235973" w:rsidRDefault="00235973" w:rsidP="00235973">
      <w:pPr>
        <w:pStyle w:val="ListParagraph"/>
      </w:pPr>
    </w:p>
    <w:p w:rsidR="00235973" w:rsidRDefault="00235973" w:rsidP="00235973">
      <w:pPr>
        <w:pStyle w:val="ListParagraph"/>
      </w:pPr>
      <w:r w:rsidRPr="00235973">
        <w:t>Nu este cazul pentru POAT.</w:t>
      </w:r>
    </w:p>
    <w:p w:rsidR="00B7565E" w:rsidRPr="00235973" w:rsidRDefault="00B7565E" w:rsidP="00B7565E">
      <w:pPr>
        <w:pStyle w:val="ListParagraph"/>
        <w:rPr>
          <w:b/>
        </w:rPr>
      </w:pPr>
    </w:p>
    <w:p w:rsidR="00B7565E" w:rsidRPr="00F80C42" w:rsidRDefault="00B7565E" w:rsidP="00B7565E">
      <w:pPr>
        <w:pStyle w:val="Heading2"/>
      </w:pPr>
      <w:bookmarkStart w:id="5" w:name="_Toc451439489"/>
      <w:r>
        <w:t>3.3. Obiectivele de etapă și țintele definite în cadrul de performanță</w:t>
      </w:r>
      <w:bookmarkEnd w:id="5"/>
    </w:p>
    <w:p w:rsidR="00235973" w:rsidRDefault="00235973" w:rsidP="00235973">
      <w:pPr>
        <w:pStyle w:val="ListParagraph"/>
      </w:pPr>
    </w:p>
    <w:p w:rsidR="00235973" w:rsidRDefault="00235973" w:rsidP="00235973">
      <w:pPr>
        <w:pStyle w:val="ListParagraph"/>
        <w:rPr>
          <w:b/>
        </w:rPr>
      </w:pPr>
      <w:r w:rsidRPr="00235973">
        <w:rPr>
          <w:b/>
        </w:rPr>
        <w:t>Tabelul 5 Informații privind obiectivele de etapă și țintele definite în cadrul de performanță</w:t>
      </w:r>
    </w:p>
    <w:p w:rsidR="00235973" w:rsidRDefault="00235973" w:rsidP="00235973">
      <w:pPr>
        <w:pStyle w:val="ListParagraph"/>
      </w:pPr>
    </w:p>
    <w:p w:rsidR="00235973" w:rsidRDefault="00235973" w:rsidP="00235973">
      <w:pPr>
        <w:pStyle w:val="ListParagraph"/>
      </w:pPr>
      <w:r w:rsidRPr="00235973">
        <w:t>Nu este cazul pentru POAT.</w:t>
      </w:r>
    </w:p>
    <w:p w:rsidR="00235973" w:rsidRDefault="00235973" w:rsidP="00235973">
      <w:pPr>
        <w:pStyle w:val="ListParagraph"/>
      </w:pPr>
    </w:p>
    <w:p w:rsidR="00235973" w:rsidRDefault="00235973" w:rsidP="008834C1"/>
    <w:p w:rsidR="00F50D8B" w:rsidRDefault="00F50D8B">
      <w:r>
        <w:br w:type="page"/>
      </w:r>
    </w:p>
    <w:p w:rsidR="00D67D79" w:rsidRPr="00F80C42" w:rsidRDefault="00C60B13" w:rsidP="00C60B13">
      <w:pPr>
        <w:pStyle w:val="Heading2"/>
      </w:pPr>
      <w:bookmarkStart w:id="6" w:name="_Toc451439490"/>
      <w:r>
        <w:lastRenderedPageBreak/>
        <w:t xml:space="preserve">3.4. </w:t>
      </w:r>
      <w:r w:rsidR="00D67D79" w:rsidRPr="00F80C42">
        <w:t>Date financiare (</w:t>
      </w:r>
      <w:r>
        <w:t>articolul 50 alineatul (2) din Regulamentul (UE) nr.1303/2013</w:t>
      </w:r>
      <w:r w:rsidR="00D67D79" w:rsidRPr="00F80C42">
        <w:t>)</w:t>
      </w:r>
      <w:bookmarkEnd w:id="6"/>
    </w:p>
    <w:p w:rsidR="00996CA9" w:rsidRPr="00F80C42" w:rsidRDefault="00996CA9" w:rsidP="00996CA9">
      <w:pPr>
        <w:pStyle w:val="ListParagraph"/>
        <w:ind w:left="1080"/>
      </w:pPr>
    </w:p>
    <w:p w:rsidR="00996CA9" w:rsidRPr="00F80C42" w:rsidRDefault="00996CA9" w:rsidP="00996CA9">
      <w:pPr>
        <w:pStyle w:val="ListParagraph"/>
        <w:rPr>
          <w:b/>
        </w:rPr>
      </w:pPr>
      <w:r w:rsidRPr="00F80C42">
        <w:rPr>
          <w:b/>
        </w:rPr>
        <w:t xml:space="preserve">Tabelul </w:t>
      </w:r>
      <w:r w:rsidR="00235973">
        <w:rPr>
          <w:b/>
        </w:rPr>
        <w:t>6</w:t>
      </w:r>
      <w:r w:rsidRPr="00F80C42">
        <w:rPr>
          <w:b/>
        </w:rPr>
        <w:t xml:space="preserve">: </w:t>
      </w:r>
      <w:r w:rsidR="005A1799" w:rsidRPr="00F80C42">
        <w:rPr>
          <w:b/>
        </w:rPr>
        <w:t xml:space="preserve">Informații financiare la nivel de </w:t>
      </w:r>
      <w:r w:rsidR="00ED6E21" w:rsidRPr="00F80C42">
        <w:rPr>
          <w:b/>
        </w:rPr>
        <w:t>axă prioritară și de program</w:t>
      </w:r>
    </w:p>
    <w:p w:rsidR="00996CA9" w:rsidRPr="00F80C42" w:rsidRDefault="00996CA9" w:rsidP="00996CA9">
      <w:pPr>
        <w:pStyle w:val="ListParagraph"/>
        <w:numPr>
          <w:ilvl w:val="0"/>
          <w:numId w:val="1"/>
        </w:numPr>
        <w:spacing w:after="0" w:line="120" w:lineRule="exact"/>
        <w:rPr>
          <w:sz w:val="12"/>
          <w:szCs w:val="12"/>
        </w:rPr>
      </w:pPr>
    </w:p>
    <w:tbl>
      <w:tblPr>
        <w:tblW w:w="14996" w:type="dxa"/>
        <w:tblInd w:w="129" w:type="dxa"/>
        <w:tblLayout w:type="fixed"/>
        <w:tblCellMar>
          <w:left w:w="0" w:type="dxa"/>
          <w:right w:w="0" w:type="dxa"/>
        </w:tblCellMar>
        <w:tblLook w:val="01E0" w:firstRow="1" w:lastRow="1" w:firstColumn="1" w:lastColumn="1" w:noHBand="0" w:noVBand="0"/>
      </w:tblPr>
      <w:tblGrid>
        <w:gridCol w:w="1010"/>
        <w:gridCol w:w="709"/>
        <w:gridCol w:w="1559"/>
        <w:gridCol w:w="1134"/>
        <w:gridCol w:w="1134"/>
        <w:gridCol w:w="1134"/>
        <w:gridCol w:w="1134"/>
        <w:gridCol w:w="1377"/>
        <w:gridCol w:w="41"/>
        <w:gridCol w:w="1417"/>
        <w:gridCol w:w="1377"/>
        <w:gridCol w:w="41"/>
        <w:gridCol w:w="1559"/>
        <w:gridCol w:w="20"/>
        <w:gridCol w:w="1350"/>
      </w:tblGrid>
      <w:tr w:rsidR="00BB207D" w:rsidRPr="00F80C42" w:rsidTr="00BB207D">
        <w:trPr>
          <w:trHeight w:hRule="exact" w:val="411"/>
        </w:trPr>
        <w:tc>
          <w:tcPr>
            <w:tcW w:w="1010"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7</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9</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11</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rsidR="00BB207D" w:rsidRPr="00F80C42" w:rsidRDefault="00BB207D" w:rsidP="00BB207D">
            <w:pPr>
              <w:spacing w:before="10" w:after="0" w:line="110" w:lineRule="exact"/>
              <w:jc w:val="center"/>
              <w:rPr>
                <w:b/>
                <w:sz w:val="20"/>
                <w:szCs w:val="20"/>
              </w:rPr>
            </w:pPr>
            <w:r w:rsidRPr="00F80C42">
              <w:rPr>
                <w:b/>
                <w:sz w:val="20"/>
                <w:szCs w:val="20"/>
              </w:rPr>
              <w:t>12</w:t>
            </w:r>
          </w:p>
        </w:tc>
      </w:tr>
      <w:tr w:rsidR="00996CA9" w:rsidRPr="00F80C42" w:rsidTr="00BB207D">
        <w:trPr>
          <w:trHeight w:hRule="exact" w:val="411"/>
        </w:trPr>
        <w:tc>
          <w:tcPr>
            <w:tcW w:w="6680" w:type="dxa"/>
            <w:gridSpan w:val="6"/>
            <w:tcBorders>
              <w:top w:val="single" w:sz="4" w:space="0" w:color="000000"/>
              <w:left w:val="single" w:sz="4" w:space="0" w:color="000000"/>
              <w:bottom w:val="single" w:sz="4" w:space="0" w:color="000000"/>
              <w:right w:val="single" w:sz="4" w:space="0" w:color="000000"/>
            </w:tcBorders>
          </w:tcPr>
          <w:p w:rsidR="00996CA9" w:rsidRPr="00F80C42" w:rsidRDefault="005A1799">
            <w:pPr>
              <w:spacing w:after="0" w:line="240" w:lineRule="auto"/>
              <w:ind w:left="1059" w:right="-20"/>
              <w:rPr>
                <w:rFonts w:eastAsia="Times New Roman" w:cs="Times New Roman"/>
                <w:sz w:val="20"/>
                <w:szCs w:val="20"/>
              </w:rPr>
            </w:pPr>
            <w:r w:rsidRPr="00F80C42">
              <w:rPr>
                <w:rFonts w:eastAsia="Times New Roman" w:cs="Times New Roman"/>
                <w:b/>
                <w:bCs/>
                <w:sz w:val="20"/>
                <w:szCs w:val="20"/>
              </w:rPr>
              <w:t xml:space="preserve">Alocarea financiară </w:t>
            </w:r>
            <w:r w:rsidR="00D87C0C" w:rsidRPr="00F80C42">
              <w:rPr>
                <w:rFonts w:eastAsia="Times New Roman" w:cs="Times New Roman"/>
                <w:b/>
                <w:bCs/>
                <w:sz w:val="20"/>
                <w:szCs w:val="20"/>
              </w:rPr>
              <w:t>a</w:t>
            </w:r>
            <w:r w:rsidRPr="00F80C42">
              <w:rPr>
                <w:rFonts w:eastAsia="Times New Roman" w:cs="Times New Roman"/>
                <w:b/>
                <w:bCs/>
                <w:sz w:val="20"/>
                <w:szCs w:val="20"/>
              </w:rPr>
              <w:t xml:space="preserve"> axe</w:t>
            </w:r>
            <w:r w:rsidR="00D87C0C" w:rsidRPr="00F80C42">
              <w:rPr>
                <w:rFonts w:eastAsia="Times New Roman" w:cs="Times New Roman"/>
                <w:b/>
                <w:bCs/>
                <w:sz w:val="20"/>
                <w:szCs w:val="20"/>
              </w:rPr>
              <w:t>i</w:t>
            </w:r>
            <w:r w:rsidRPr="00F80C42">
              <w:rPr>
                <w:rFonts w:eastAsia="Times New Roman" w:cs="Times New Roman"/>
                <w:b/>
                <w:bCs/>
                <w:sz w:val="20"/>
                <w:szCs w:val="20"/>
              </w:rPr>
              <w:t xml:space="preserve"> prioritare</w:t>
            </w:r>
            <w:r w:rsidR="00996CA9" w:rsidRPr="00F80C42">
              <w:rPr>
                <w:rFonts w:eastAsia="Times New Roman" w:cs="Times New Roman"/>
                <w:b/>
                <w:bCs/>
                <w:spacing w:val="-8"/>
                <w:sz w:val="20"/>
                <w:szCs w:val="20"/>
              </w:rPr>
              <w:t xml:space="preserve"> </w:t>
            </w:r>
            <w:r w:rsidR="00ED6E21" w:rsidRPr="00F80C42">
              <w:rPr>
                <w:rFonts w:eastAsia="Times New Roman" w:cs="Times New Roman"/>
                <w:b/>
                <w:bCs/>
                <w:spacing w:val="-8"/>
                <w:sz w:val="20"/>
                <w:szCs w:val="20"/>
              </w:rPr>
              <w:t>pe baza programului operațional</w:t>
            </w:r>
          </w:p>
        </w:tc>
        <w:tc>
          <w:tcPr>
            <w:tcW w:w="8316" w:type="dxa"/>
            <w:gridSpan w:val="9"/>
            <w:tcBorders>
              <w:top w:val="single" w:sz="4" w:space="0" w:color="000000"/>
              <w:left w:val="single" w:sz="4" w:space="0" w:color="000000"/>
              <w:bottom w:val="single" w:sz="4" w:space="0" w:color="000000"/>
              <w:right w:val="single" w:sz="4" w:space="0" w:color="000000"/>
            </w:tcBorders>
          </w:tcPr>
          <w:p w:rsidR="00996CA9" w:rsidRPr="00F80C42" w:rsidRDefault="005A1799" w:rsidP="00531A71">
            <w:pPr>
              <w:spacing w:after="0" w:line="240" w:lineRule="auto"/>
              <w:ind w:left="1417" w:right="-20"/>
              <w:rPr>
                <w:rFonts w:eastAsia="Times New Roman" w:cs="Times New Roman"/>
                <w:sz w:val="20"/>
                <w:szCs w:val="20"/>
              </w:rPr>
            </w:pPr>
            <w:r w:rsidRPr="00F80C42">
              <w:rPr>
                <w:rFonts w:eastAsia="Times New Roman" w:cs="Times New Roman"/>
                <w:b/>
                <w:bCs/>
                <w:sz w:val="20"/>
                <w:szCs w:val="20"/>
              </w:rPr>
              <w:t xml:space="preserve">Informații financiare privind progresul </w:t>
            </w:r>
            <w:r w:rsidR="00531A71" w:rsidRPr="00F80C42">
              <w:rPr>
                <w:rFonts w:eastAsia="Times New Roman" w:cs="Times New Roman"/>
                <w:b/>
                <w:bCs/>
                <w:spacing w:val="-8"/>
                <w:sz w:val="20"/>
                <w:szCs w:val="20"/>
              </w:rPr>
              <w:t>financiar</w:t>
            </w:r>
          </w:p>
        </w:tc>
      </w:tr>
      <w:tr w:rsidR="000D479F" w:rsidRPr="00F80C42" w:rsidTr="0021352F">
        <w:trPr>
          <w:trHeight w:hRule="exact" w:val="2116"/>
        </w:trPr>
        <w:tc>
          <w:tcPr>
            <w:tcW w:w="1010"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531A71" w:rsidP="00531A71">
            <w:pPr>
              <w:spacing w:after="0" w:line="240" w:lineRule="auto"/>
              <w:ind w:right="-20"/>
              <w:jc w:val="center"/>
              <w:rPr>
                <w:rFonts w:eastAsia="Times New Roman" w:cs="Times New Roman"/>
                <w:b/>
                <w:sz w:val="20"/>
                <w:szCs w:val="20"/>
              </w:rPr>
            </w:pPr>
            <w:r w:rsidRPr="00F80C42">
              <w:rPr>
                <w:rFonts w:eastAsia="Times New Roman" w:cs="Times New Roman"/>
                <w:b/>
                <w:sz w:val="20"/>
                <w:szCs w:val="20"/>
              </w:rPr>
              <w:t>Axă prioritară</w:t>
            </w:r>
          </w:p>
        </w:tc>
        <w:tc>
          <w:tcPr>
            <w:tcW w:w="709"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996CA9" w:rsidP="00531A71">
            <w:pPr>
              <w:spacing w:after="0" w:line="240" w:lineRule="auto"/>
              <w:ind w:left="119" w:right="-20"/>
              <w:jc w:val="center"/>
              <w:rPr>
                <w:rFonts w:eastAsia="Times New Roman" w:cs="Times New Roman"/>
                <w:sz w:val="20"/>
                <w:szCs w:val="20"/>
              </w:rPr>
            </w:pPr>
            <w:r w:rsidRPr="00F80C42">
              <w:rPr>
                <w:rFonts w:eastAsia="Times New Roman" w:cs="Times New Roman"/>
                <w:b/>
                <w:bCs/>
                <w:sz w:val="20"/>
                <w:szCs w:val="20"/>
              </w:rPr>
              <w:t>F</w:t>
            </w:r>
            <w:r w:rsidR="00531A71" w:rsidRPr="00F80C42">
              <w:rPr>
                <w:rFonts w:eastAsia="Times New Roman" w:cs="Times New Roman"/>
                <w:b/>
                <w:bCs/>
                <w:sz w:val="20"/>
                <w:szCs w:val="20"/>
              </w:rPr>
              <w:t>o</w:t>
            </w:r>
            <w:r w:rsidRPr="00F80C42">
              <w:rPr>
                <w:rFonts w:eastAsia="Times New Roman" w:cs="Times New Roman"/>
                <w:b/>
                <w:bCs/>
                <w:sz w:val="20"/>
                <w:szCs w:val="20"/>
              </w:rPr>
              <w:t>nd</w:t>
            </w:r>
          </w:p>
        </w:tc>
        <w:tc>
          <w:tcPr>
            <w:tcW w:w="1559"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531A71" w:rsidP="00531A71">
            <w:pPr>
              <w:spacing w:after="0" w:line="240" w:lineRule="auto"/>
              <w:ind w:left="144" w:right="-20"/>
              <w:jc w:val="center"/>
              <w:rPr>
                <w:rFonts w:eastAsia="Times New Roman" w:cs="Times New Roman"/>
                <w:sz w:val="20"/>
                <w:szCs w:val="20"/>
              </w:rPr>
            </w:pPr>
            <w:r w:rsidRPr="00F80C42">
              <w:rPr>
                <w:rFonts w:eastAsia="Times New Roman" w:cs="Times New Roman"/>
                <w:b/>
                <w:bCs/>
                <w:sz w:val="20"/>
                <w:szCs w:val="20"/>
              </w:rPr>
              <w:t>Categorie de regiune</w:t>
            </w:r>
          </w:p>
        </w:tc>
        <w:tc>
          <w:tcPr>
            <w:tcW w:w="1134"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0D479F" w:rsidP="00BB207D">
            <w:pPr>
              <w:spacing w:after="0" w:line="240" w:lineRule="auto"/>
              <w:ind w:left="116" w:right="96"/>
              <w:jc w:val="center"/>
              <w:rPr>
                <w:rFonts w:eastAsia="Times New Roman" w:cs="Times New Roman"/>
                <w:sz w:val="20"/>
                <w:szCs w:val="20"/>
              </w:rPr>
            </w:pPr>
            <w:r w:rsidRPr="00F80C42">
              <w:rPr>
                <w:rFonts w:eastAsia="Times New Roman" w:cs="Times New Roman"/>
                <w:b/>
                <w:bCs/>
                <w:sz w:val="20"/>
                <w:szCs w:val="20"/>
              </w:rPr>
              <w:t xml:space="preserve">Baza de calcul </w:t>
            </w:r>
            <w:r w:rsidR="00BB207D" w:rsidRPr="00F80C42">
              <w:rPr>
                <w:rFonts w:eastAsia="Times New Roman" w:cs="Times New Roman"/>
                <w:b/>
                <w:bCs/>
                <w:sz w:val="20"/>
                <w:szCs w:val="20"/>
              </w:rPr>
              <w:t>pentru sprijinul din partea Uniunii</w:t>
            </w:r>
          </w:p>
        </w:tc>
        <w:tc>
          <w:tcPr>
            <w:tcW w:w="1134"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531A71">
            <w:pPr>
              <w:spacing w:after="0" w:line="240" w:lineRule="auto"/>
              <w:ind w:left="183" w:right="-20"/>
              <w:jc w:val="center"/>
              <w:rPr>
                <w:rFonts w:eastAsia="Times New Roman" w:cs="Times New Roman"/>
                <w:sz w:val="20"/>
                <w:szCs w:val="20"/>
              </w:rPr>
            </w:pPr>
            <w:r w:rsidRPr="00F80C42">
              <w:rPr>
                <w:rFonts w:eastAsia="Times New Roman" w:cs="Times New Roman"/>
                <w:b/>
                <w:bCs/>
                <w:sz w:val="20"/>
                <w:szCs w:val="20"/>
              </w:rPr>
              <w:t>Finanț</w:t>
            </w:r>
            <w:r w:rsidR="00531A71" w:rsidRPr="00F80C42">
              <w:rPr>
                <w:rFonts w:eastAsia="Times New Roman" w:cs="Times New Roman"/>
                <w:b/>
                <w:bCs/>
                <w:sz w:val="20"/>
                <w:szCs w:val="20"/>
              </w:rPr>
              <w:t xml:space="preserve">are totală </w:t>
            </w:r>
            <w:r w:rsidR="00996CA9" w:rsidRPr="00F80C42">
              <w:rPr>
                <w:rFonts w:eastAsia="Times New Roman" w:cs="Times New Roman"/>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531A71">
            <w:pPr>
              <w:spacing w:after="0" w:line="240" w:lineRule="auto"/>
              <w:ind w:left="236" w:right="58" w:hanging="134"/>
              <w:jc w:val="center"/>
              <w:rPr>
                <w:rFonts w:eastAsia="Times New Roman" w:cs="Times New Roman"/>
                <w:sz w:val="20"/>
                <w:szCs w:val="20"/>
              </w:rPr>
            </w:pPr>
            <w:r w:rsidRPr="00F80C42">
              <w:rPr>
                <w:rFonts w:eastAsia="Times New Roman" w:cs="Times New Roman"/>
                <w:b/>
                <w:bCs/>
                <w:sz w:val="20"/>
                <w:szCs w:val="20"/>
              </w:rPr>
              <w:t>Rata</w:t>
            </w:r>
            <w:r w:rsidR="00531A71" w:rsidRPr="00F80C42">
              <w:rPr>
                <w:rFonts w:eastAsia="Times New Roman" w:cs="Times New Roman"/>
                <w:b/>
                <w:bCs/>
                <w:sz w:val="20"/>
                <w:szCs w:val="20"/>
              </w:rPr>
              <w:t xml:space="preserve"> de cofinanțare</w:t>
            </w:r>
            <w:r w:rsidR="00996CA9" w:rsidRPr="00F80C42">
              <w:rPr>
                <w:rFonts w:eastAsia="Times New Roman" w:cs="Times New Roman"/>
                <w:b/>
                <w:bCs/>
                <w:spacing w:val="-2"/>
                <w:sz w:val="20"/>
                <w:szCs w:val="20"/>
              </w:rPr>
              <w:t xml:space="preserve"> </w:t>
            </w:r>
            <w:r w:rsidR="00996CA9" w:rsidRPr="00F80C42">
              <w:rPr>
                <w:rFonts w:eastAsia="Times New Roman" w:cs="Times New Roman"/>
                <w:b/>
                <w:bCs/>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531A71">
            <w:pPr>
              <w:spacing w:after="0" w:line="240" w:lineRule="auto"/>
              <w:ind w:left="91" w:right="72"/>
              <w:jc w:val="center"/>
              <w:rPr>
                <w:rFonts w:eastAsia="Times New Roman" w:cs="Times New Roman"/>
                <w:sz w:val="20"/>
                <w:szCs w:val="20"/>
              </w:rPr>
            </w:pPr>
            <w:r w:rsidRPr="00F80C42">
              <w:rPr>
                <w:rFonts w:eastAsia="Times New Roman" w:cs="Times New Roman"/>
                <w:b/>
                <w:bCs/>
                <w:sz w:val="20"/>
                <w:szCs w:val="20"/>
              </w:rPr>
              <w:t xml:space="preserve">Costurile eligibile totale ale operațiunilor selectate pentru sprijin </w:t>
            </w:r>
            <w:r w:rsidR="00996CA9" w:rsidRPr="00F80C42">
              <w:rPr>
                <w:rFonts w:eastAsia="Times New Roman" w:cs="Times New Roman"/>
                <w:b/>
                <w:bCs/>
                <w:sz w:val="20"/>
                <w:szCs w:val="20"/>
              </w:rPr>
              <w:t>(€)</w:t>
            </w:r>
          </w:p>
        </w:tc>
        <w:tc>
          <w:tcPr>
            <w:tcW w:w="1377" w:type="dxa"/>
            <w:tcBorders>
              <w:top w:val="single" w:sz="4" w:space="0" w:color="000000"/>
              <w:left w:val="single" w:sz="4" w:space="0" w:color="000000"/>
              <w:bottom w:val="single" w:sz="4" w:space="0" w:color="000000"/>
              <w:right w:val="single" w:sz="4" w:space="0" w:color="000000"/>
            </w:tcBorders>
            <w:vAlign w:val="center"/>
          </w:tcPr>
          <w:p w:rsidR="00531A71" w:rsidRPr="00F80C42" w:rsidRDefault="00BB207D">
            <w:pPr>
              <w:pStyle w:val="HTMLPreformatted"/>
              <w:jc w:val="center"/>
              <w:rPr>
                <w:rFonts w:asciiTheme="minorHAnsi" w:hAnsiTheme="minorHAnsi" w:cs="Times New Roman"/>
                <w:b/>
                <w:bCs/>
                <w:lang w:eastAsia="en-US"/>
              </w:rPr>
            </w:pPr>
            <w:r w:rsidRPr="00F80C42">
              <w:rPr>
                <w:rFonts w:asciiTheme="minorHAnsi" w:hAnsiTheme="minorHAnsi" w:cs="Times New Roman"/>
                <w:b/>
                <w:bCs/>
                <w:lang w:eastAsia="en-US"/>
              </w:rPr>
              <w:t xml:space="preserve">Alocarea totală  procentuală acoperită prin operațiunile selectate </w:t>
            </w:r>
            <w:r w:rsidR="000D479F" w:rsidRPr="00F80C42">
              <w:rPr>
                <w:rFonts w:asciiTheme="minorHAnsi" w:hAnsiTheme="minorHAnsi" w:cs="Times New Roman"/>
                <w:b/>
                <w:bCs/>
                <w:lang w:eastAsia="en-US"/>
              </w:rPr>
              <w:t>(%)</w:t>
            </w:r>
            <w:r w:rsidRPr="00F80C42">
              <w:rPr>
                <w:rFonts w:asciiTheme="minorHAnsi" w:hAnsiTheme="minorHAnsi" w:cs="Times New Roman"/>
                <w:b/>
                <w:bCs/>
                <w:lang w:eastAsia="en-US"/>
              </w:rPr>
              <w:t xml:space="preserve"> (7/5 x 100)</w:t>
            </w:r>
          </w:p>
          <w:p w:rsidR="00996CA9" w:rsidRPr="00F80C42" w:rsidRDefault="00996CA9">
            <w:pPr>
              <w:spacing w:after="0" w:line="240" w:lineRule="auto"/>
              <w:ind w:left="77" w:right="57"/>
              <w:jc w:val="center"/>
              <w:rPr>
                <w:rFonts w:eastAsia="Times New Roman" w:cs="Times New Roman"/>
                <w:sz w:val="20"/>
                <w:szCs w:val="20"/>
              </w:rPr>
            </w:pP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ED6E21">
            <w:pPr>
              <w:pStyle w:val="HTMLPreformatted"/>
              <w:jc w:val="center"/>
            </w:pPr>
            <w:r w:rsidRPr="00F80C42">
              <w:rPr>
                <w:rFonts w:asciiTheme="minorHAnsi" w:hAnsiTheme="minorHAnsi" w:cs="Times New Roman"/>
                <w:b/>
                <w:bCs/>
                <w:lang w:eastAsia="en-US"/>
              </w:rPr>
              <w:t>Costurile</w:t>
            </w:r>
            <w:r w:rsidR="000D479F" w:rsidRPr="00F80C42">
              <w:rPr>
                <w:rFonts w:asciiTheme="minorHAnsi" w:hAnsiTheme="minorHAnsi" w:cs="Times New Roman"/>
                <w:b/>
                <w:bCs/>
                <w:lang w:eastAsia="en-US"/>
              </w:rPr>
              <w:t xml:space="preserve"> eligibil</w:t>
            </w:r>
            <w:r w:rsidRPr="00F80C42">
              <w:rPr>
                <w:rFonts w:asciiTheme="minorHAnsi" w:hAnsiTheme="minorHAnsi" w:cs="Times New Roman"/>
                <w:b/>
                <w:bCs/>
                <w:lang w:eastAsia="en-US"/>
              </w:rPr>
              <w:t>e</w:t>
            </w:r>
            <w:r w:rsidR="000D479F" w:rsidRPr="00F80C42">
              <w:rPr>
                <w:rFonts w:asciiTheme="minorHAnsi" w:hAnsiTheme="minorHAnsi" w:cs="Times New Roman"/>
                <w:b/>
                <w:bCs/>
                <w:lang w:eastAsia="en-US"/>
              </w:rPr>
              <w:t xml:space="preserve"> public</w:t>
            </w:r>
            <w:r w:rsidRPr="00F80C42">
              <w:rPr>
                <w:rFonts w:asciiTheme="minorHAnsi" w:hAnsiTheme="minorHAnsi" w:cs="Times New Roman"/>
                <w:b/>
                <w:bCs/>
                <w:lang w:eastAsia="en-US"/>
              </w:rPr>
              <w:t xml:space="preserve">e ale </w:t>
            </w:r>
            <w:r w:rsidR="000D479F" w:rsidRPr="00F80C42">
              <w:rPr>
                <w:rFonts w:asciiTheme="minorHAnsi" w:hAnsiTheme="minorHAnsi" w:cs="Times New Roman"/>
                <w:b/>
                <w:bCs/>
                <w:lang w:eastAsia="en-US"/>
              </w:rPr>
              <w:t>operațiunilor selectate pentru sprijin</w:t>
            </w:r>
            <w:r w:rsidR="000D479F" w:rsidRPr="00F80C42">
              <w:rPr>
                <w:rFonts w:cs="Times New Roman"/>
                <w:b/>
                <w:bCs/>
              </w:rPr>
              <w:t xml:space="preserve"> </w:t>
            </w:r>
            <w:r w:rsidR="00996CA9" w:rsidRPr="00F80C42">
              <w:rPr>
                <w:rFonts w:cs="Times New Roman"/>
                <w:b/>
                <w:bCs/>
              </w:rPr>
              <w:t>(€)</w:t>
            </w:r>
          </w:p>
        </w:tc>
        <w:tc>
          <w:tcPr>
            <w:tcW w:w="1377" w:type="dxa"/>
            <w:tcBorders>
              <w:top w:val="single" w:sz="4" w:space="0" w:color="000000"/>
              <w:left w:val="single" w:sz="4" w:space="0" w:color="000000"/>
              <w:bottom w:val="single" w:sz="4" w:space="0" w:color="000000"/>
              <w:right w:val="single" w:sz="4" w:space="0" w:color="000000"/>
            </w:tcBorders>
            <w:vAlign w:val="center"/>
          </w:tcPr>
          <w:p w:rsidR="000D479F" w:rsidRPr="00F80C42" w:rsidRDefault="000D479F" w:rsidP="00ED6E21">
            <w:pPr>
              <w:pStyle w:val="HTMLPreformatted"/>
              <w:jc w:val="center"/>
              <w:rPr>
                <w:rFonts w:asciiTheme="minorHAnsi" w:hAnsiTheme="minorHAnsi" w:cs="Times New Roman"/>
                <w:b/>
                <w:bCs/>
                <w:lang w:eastAsia="en-US"/>
              </w:rPr>
            </w:pPr>
            <w:r w:rsidRPr="00F80C42">
              <w:rPr>
                <w:rFonts w:asciiTheme="minorHAnsi" w:hAnsiTheme="minorHAnsi" w:cs="Times New Roman"/>
                <w:b/>
                <w:bCs/>
                <w:lang w:eastAsia="en-US"/>
              </w:rPr>
              <w:t xml:space="preserve">Cheltuielile totale eligibile declarate de beneficiari </w:t>
            </w:r>
            <w:r w:rsidR="00BB207D" w:rsidRPr="00F80C42">
              <w:rPr>
                <w:rFonts w:asciiTheme="minorHAnsi" w:hAnsiTheme="minorHAnsi" w:cs="Times New Roman"/>
                <w:b/>
                <w:bCs/>
                <w:lang w:eastAsia="en-US"/>
              </w:rPr>
              <w:t>către</w:t>
            </w:r>
            <w:r w:rsidRPr="00F80C42">
              <w:rPr>
                <w:rFonts w:asciiTheme="minorHAnsi" w:hAnsiTheme="minorHAnsi" w:cs="Times New Roman"/>
                <w:b/>
                <w:bCs/>
                <w:lang w:eastAsia="en-US"/>
              </w:rPr>
              <w:t xml:space="preserve"> </w:t>
            </w:r>
            <w:r w:rsidR="00BB207D" w:rsidRPr="00F80C42">
              <w:rPr>
                <w:rFonts w:asciiTheme="minorHAnsi" w:hAnsiTheme="minorHAnsi" w:cs="Times New Roman"/>
                <w:b/>
                <w:bCs/>
                <w:lang w:eastAsia="en-US"/>
              </w:rPr>
              <w:t>autoritatea de management</w:t>
            </w:r>
            <w:r w:rsidRPr="00F80C42">
              <w:rPr>
                <w:rFonts w:asciiTheme="minorHAnsi" w:hAnsiTheme="minorHAnsi" w:cs="Times New Roman"/>
                <w:b/>
                <w:bCs/>
                <w:lang w:eastAsia="en-US"/>
              </w:rPr>
              <w:t xml:space="preserve"> (</w:t>
            </w:r>
            <w:r w:rsidRPr="00F80C42">
              <w:rPr>
                <w:rFonts w:cs="Times New Roman"/>
                <w:b/>
                <w:bCs/>
              </w:rPr>
              <w:t>€)</w:t>
            </w:r>
          </w:p>
          <w:p w:rsidR="00996CA9" w:rsidRPr="00F80C42" w:rsidRDefault="00996CA9">
            <w:pPr>
              <w:spacing w:after="0" w:line="240" w:lineRule="auto"/>
              <w:ind w:left="98" w:right="78"/>
              <w:jc w:val="center"/>
              <w:rPr>
                <w:rFonts w:eastAsia="Times New Roman" w:cs="Times New Roman"/>
                <w:sz w:val="20"/>
                <w:szCs w:val="20"/>
              </w:rPr>
            </w:pP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0D479F" w:rsidRPr="00F80C42" w:rsidRDefault="00BB207D" w:rsidP="00ED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sz w:val="20"/>
                <w:szCs w:val="20"/>
              </w:rPr>
            </w:pPr>
            <w:r w:rsidRPr="00F80C42">
              <w:rPr>
                <w:rFonts w:eastAsia="Times New Roman" w:cs="Times New Roman"/>
                <w:b/>
                <w:bCs/>
                <w:sz w:val="20"/>
                <w:szCs w:val="20"/>
              </w:rPr>
              <w:t>A</w:t>
            </w:r>
            <w:r w:rsidR="000D479F" w:rsidRPr="00F80C42">
              <w:rPr>
                <w:rFonts w:eastAsia="Times New Roman" w:cs="Times New Roman"/>
                <w:b/>
                <w:bCs/>
                <w:sz w:val="20"/>
                <w:szCs w:val="20"/>
              </w:rPr>
              <w:t xml:space="preserve">locarea totală </w:t>
            </w:r>
            <w:r w:rsidRPr="00F80C42">
              <w:rPr>
                <w:rFonts w:eastAsia="Times New Roman" w:cs="Times New Roman"/>
                <w:b/>
                <w:bCs/>
                <w:sz w:val="20"/>
                <w:szCs w:val="20"/>
              </w:rPr>
              <w:t xml:space="preserve">procentuală </w:t>
            </w:r>
            <w:r w:rsidR="000D479F" w:rsidRPr="00F80C42">
              <w:rPr>
                <w:rFonts w:eastAsia="Times New Roman" w:cs="Times New Roman"/>
                <w:b/>
                <w:bCs/>
                <w:sz w:val="20"/>
                <w:szCs w:val="20"/>
              </w:rPr>
              <w:t>acoperită de cheltuielile eligibile declarate de beneficiari</w:t>
            </w:r>
          </w:p>
          <w:p w:rsidR="00996CA9" w:rsidRPr="00F80C42" w:rsidRDefault="00996CA9">
            <w:pPr>
              <w:spacing w:after="0" w:line="240" w:lineRule="auto"/>
              <w:ind w:left="73" w:right="53"/>
              <w:jc w:val="center"/>
              <w:rPr>
                <w:rFonts w:eastAsia="Times New Roman" w:cs="Times New Roman"/>
                <w:sz w:val="20"/>
                <w:szCs w:val="20"/>
              </w:rPr>
            </w:pPr>
            <w:r w:rsidRPr="00F80C42">
              <w:rPr>
                <w:rFonts w:eastAsia="Times New Roman" w:cs="Times New Roman"/>
                <w:b/>
                <w:bCs/>
                <w:sz w:val="20"/>
                <w:szCs w:val="20"/>
              </w:rPr>
              <w:t>(%)</w:t>
            </w:r>
            <w:r w:rsidR="00BB207D" w:rsidRPr="00F80C42">
              <w:rPr>
                <w:rFonts w:eastAsia="Times New Roman" w:cs="Times New Roman"/>
                <w:b/>
                <w:bCs/>
                <w:sz w:val="20"/>
                <w:szCs w:val="20"/>
              </w:rPr>
              <w:t xml:space="preserve"> (10/5 X 100)</w:t>
            </w:r>
          </w:p>
        </w:tc>
        <w:tc>
          <w:tcPr>
            <w:tcW w:w="1350"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pPr>
              <w:spacing w:after="0" w:line="240" w:lineRule="auto"/>
              <w:ind w:left="204" w:right="185"/>
              <w:jc w:val="center"/>
              <w:rPr>
                <w:rFonts w:eastAsia="Times New Roman" w:cs="Times New Roman"/>
                <w:sz w:val="20"/>
                <w:szCs w:val="20"/>
              </w:rPr>
            </w:pPr>
            <w:r w:rsidRPr="00F80C42">
              <w:rPr>
                <w:rFonts w:eastAsia="Times New Roman" w:cs="Times New Roman"/>
                <w:b/>
                <w:bCs/>
                <w:sz w:val="20"/>
                <w:szCs w:val="20"/>
              </w:rPr>
              <w:t xml:space="preserve">Număr de </w:t>
            </w:r>
            <w:r w:rsidR="000D479F" w:rsidRPr="00F80C42">
              <w:rPr>
                <w:rFonts w:eastAsia="Times New Roman" w:cs="Times New Roman"/>
                <w:b/>
                <w:bCs/>
                <w:sz w:val="20"/>
                <w:szCs w:val="20"/>
              </w:rPr>
              <w:t>operațiuni selectate</w:t>
            </w:r>
          </w:p>
        </w:tc>
      </w:tr>
      <w:tr w:rsidR="000D479F" w:rsidRPr="00F80C42" w:rsidTr="0021352F">
        <w:trPr>
          <w:trHeight w:hRule="exact" w:val="622"/>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AP 1</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Mai puțin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Public</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531A71" w:rsidP="0021352F">
            <w:pPr>
              <w:spacing w:after="0" w:line="240" w:lineRule="auto"/>
              <w:jc w:val="center"/>
              <w:rPr>
                <w:rFonts w:eastAsia="Times New Roman" w:cs="Times New Roman"/>
                <w:sz w:val="20"/>
                <w:szCs w:val="20"/>
              </w:rPr>
            </w:pPr>
            <w:r w:rsidRPr="00F80C42">
              <w:rPr>
                <w:rFonts w:eastAsia="Times New Roman" w:cs="Times New Roman"/>
                <w:sz w:val="20"/>
                <w:szCs w:val="20"/>
              </w:rPr>
              <w:t>73.</w:t>
            </w:r>
            <w:r w:rsidR="00996CA9" w:rsidRPr="00F80C42">
              <w:rPr>
                <w:rFonts w:eastAsia="Times New Roman" w:cs="Times New Roman"/>
                <w:sz w:val="20"/>
                <w:szCs w:val="20"/>
              </w:rPr>
              <w:t>839</w:t>
            </w:r>
            <w:r w:rsidRPr="00F80C42">
              <w:rPr>
                <w:rFonts w:eastAsia="Times New Roman" w:cs="Times New Roman"/>
                <w:sz w:val="20"/>
                <w:szCs w:val="20"/>
              </w:rPr>
              <w:t>.</w:t>
            </w:r>
            <w:r w:rsidR="00996CA9" w:rsidRPr="00F80C42">
              <w:rPr>
                <w:rFonts w:eastAsia="Times New Roman" w:cs="Times New Roman"/>
                <w:sz w:val="20"/>
                <w:szCs w:val="20"/>
              </w:rPr>
              <w:t>812</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sz w:val="20"/>
                <w:szCs w:val="20"/>
              </w:rPr>
              <w:t>85</w:t>
            </w:r>
            <w:r w:rsidR="0021352F">
              <w:rPr>
                <w:rFonts w:eastAsia="Times New Roman" w:cs="Times New Roman"/>
                <w:sz w:val="20"/>
                <w:szCs w:val="20"/>
              </w:rPr>
              <w:t>,</w:t>
            </w:r>
            <w:r w:rsidRPr="00F80C42">
              <w:rPr>
                <w:rFonts w:eastAsia="Times New Roman" w:cs="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p>
        </w:tc>
      </w:tr>
      <w:tr w:rsidR="000D479F" w:rsidRPr="00F80C42" w:rsidTr="0021352F">
        <w:trPr>
          <w:trHeight w:hRule="exact" w:val="411"/>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AP 1</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pPr>
              <w:spacing w:after="0" w:line="240" w:lineRule="auto"/>
              <w:ind w:left="80" w:right="-20"/>
              <w:rPr>
                <w:rFonts w:eastAsia="Times New Roman" w:cs="Times New Roman"/>
                <w:sz w:val="20"/>
                <w:szCs w:val="20"/>
              </w:rPr>
            </w:pPr>
            <w:r w:rsidRPr="00F80C42">
              <w:rPr>
                <w:rFonts w:eastAsia="Times New Roman" w:cs="Times New Roman"/>
                <w:sz w:val="20"/>
                <w:szCs w:val="20"/>
              </w:rPr>
              <w:t>Mai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Public</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531A71" w:rsidP="0021352F">
            <w:pPr>
              <w:spacing w:after="0" w:line="240" w:lineRule="auto"/>
              <w:jc w:val="center"/>
              <w:rPr>
                <w:rFonts w:eastAsia="Times New Roman" w:cs="Times New Roman"/>
                <w:sz w:val="20"/>
                <w:szCs w:val="20"/>
              </w:rPr>
            </w:pPr>
            <w:r w:rsidRPr="00F80C42">
              <w:rPr>
                <w:rFonts w:eastAsia="Times New Roman" w:cs="Times New Roman"/>
                <w:sz w:val="20"/>
                <w:szCs w:val="20"/>
              </w:rPr>
              <w:t>4.</w:t>
            </w:r>
            <w:r w:rsidR="00996CA9" w:rsidRPr="00F80C42">
              <w:rPr>
                <w:rFonts w:eastAsia="Times New Roman" w:cs="Times New Roman"/>
                <w:sz w:val="20"/>
                <w:szCs w:val="20"/>
              </w:rPr>
              <w:t>795</w:t>
            </w:r>
            <w:r w:rsidRPr="00F80C42">
              <w:rPr>
                <w:rFonts w:eastAsia="Times New Roman" w:cs="Times New Roman"/>
                <w:sz w:val="20"/>
                <w:szCs w:val="20"/>
              </w:rPr>
              <w:t>.</w:t>
            </w:r>
            <w:r w:rsidR="00996CA9" w:rsidRPr="00F80C42">
              <w:rPr>
                <w:rFonts w:eastAsia="Times New Roman" w:cs="Times New Roman"/>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sz w:val="20"/>
                <w:szCs w:val="20"/>
              </w:rPr>
              <w:t>80</w:t>
            </w:r>
            <w:r w:rsidR="0021352F">
              <w:rPr>
                <w:rFonts w:eastAsia="Times New Roman" w:cs="Times New Roman"/>
                <w:sz w:val="20"/>
                <w:szCs w:val="20"/>
              </w:rPr>
              <w:t>,</w:t>
            </w:r>
            <w:r w:rsidRPr="00F80C42">
              <w:rPr>
                <w:rFonts w:eastAsia="Times New Roman" w:cs="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21352F">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p>
        </w:tc>
      </w:tr>
      <w:tr w:rsidR="000D479F" w:rsidRPr="00F80C42" w:rsidTr="0021352F">
        <w:trPr>
          <w:trHeight w:hRule="exact" w:val="487"/>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AP 2</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Mai puțin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Public</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531A71" w:rsidP="0021352F">
            <w:pPr>
              <w:spacing w:after="0" w:line="240" w:lineRule="auto"/>
              <w:jc w:val="center"/>
              <w:rPr>
                <w:rFonts w:eastAsia="Times New Roman" w:cs="Times New Roman"/>
                <w:sz w:val="20"/>
                <w:szCs w:val="20"/>
              </w:rPr>
            </w:pPr>
            <w:r w:rsidRPr="00F80C42">
              <w:rPr>
                <w:rFonts w:eastAsia="Times New Roman" w:cs="Times New Roman"/>
                <w:sz w:val="20"/>
                <w:szCs w:val="20"/>
              </w:rPr>
              <w:t>60.424.</w:t>
            </w:r>
            <w:r w:rsidR="00996CA9" w:rsidRPr="00F80C42">
              <w:rPr>
                <w:rFonts w:eastAsia="Times New Roman" w:cs="Times New Roman"/>
                <w:sz w:val="20"/>
                <w:szCs w:val="20"/>
              </w:rPr>
              <w:t>471</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sz w:val="20"/>
                <w:szCs w:val="20"/>
              </w:rPr>
              <w:t>85</w:t>
            </w:r>
            <w:r w:rsidR="0021352F">
              <w:rPr>
                <w:rFonts w:eastAsia="Times New Roman" w:cs="Times New Roman"/>
                <w:sz w:val="20"/>
                <w:szCs w:val="20"/>
              </w:rPr>
              <w:t>,</w:t>
            </w:r>
            <w:r w:rsidRPr="00F80C42">
              <w:rPr>
                <w:rFonts w:eastAsia="Times New Roman" w:cs="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p>
        </w:tc>
      </w:tr>
      <w:tr w:rsidR="000D479F" w:rsidRPr="00F80C42" w:rsidTr="0021352F">
        <w:trPr>
          <w:trHeight w:hRule="exact" w:val="411"/>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AP 2</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Mai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Public</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531A71" w:rsidP="0021352F">
            <w:pPr>
              <w:spacing w:after="0" w:line="240" w:lineRule="auto"/>
              <w:jc w:val="center"/>
              <w:rPr>
                <w:rFonts w:eastAsia="Times New Roman" w:cs="Times New Roman"/>
                <w:sz w:val="20"/>
                <w:szCs w:val="20"/>
              </w:rPr>
            </w:pPr>
            <w:r w:rsidRPr="00F80C42">
              <w:rPr>
                <w:rFonts w:eastAsia="Times New Roman" w:cs="Times New Roman"/>
                <w:sz w:val="20"/>
                <w:szCs w:val="20"/>
              </w:rPr>
              <w:t>3.924.</w:t>
            </w:r>
            <w:r w:rsidR="00996CA9" w:rsidRPr="00F80C42">
              <w:rPr>
                <w:rFonts w:eastAsia="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sz w:val="20"/>
                <w:szCs w:val="20"/>
              </w:rPr>
              <w:t>80</w:t>
            </w:r>
            <w:r w:rsidR="0021352F">
              <w:rPr>
                <w:rFonts w:eastAsia="Times New Roman" w:cs="Times New Roman"/>
                <w:sz w:val="20"/>
                <w:szCs w:val="20"/>
              </w:rPr>
              <w:t>,</w:t>
            </w:r>
            <w:r w:rsidRPr="00F80C42">
              <w:rPr>
                <w:rFonts w:eastAsia="Times New Roman" w:cs="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p>
        </w:tc>
      </w:tr>
      <w:tr w:rsidR="00996CA9" w:rsidRPr="00F80C42" w:rsidTr="0021352F">
        <w:trPr>
          <w:trHeight w:hRule="exact" w:val="595"/>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AP 3</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Mai puțin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Public</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21352F">
            <w:pPr>
              <w:spacing w:after="0" w:line="240" w:lineRule="auto"/>
              <w:jc w:val="center"/>
              <w:rPr>
                <w:rFonts w:eastAsia="Times New Roman" w:cs="Times New Roman"/>
                <w:sz w:val="20"/>
                <w:szCs w:val="20"/>
              </w:rPr>
            </w:pPr>
            <w:r w:rsidRPr="00F80C42">
              <w:rPr>
                <w:rFonts w:eastAsia="Times New Roman" w:cs="Times New Roman"/>
                <w:sz w:val="20"/>
                <w:szCs w:val="20"/>
              </w:rPr>
              <w:t>101</w:t>
            </w:r>
            <w:r w:rsidR="00B73BE0" w:rsidRPr="00F80C42">
              <w:rPr>
                <w:rFonts w:eastAsia="Times New Roman" w:cs="Times New Roman"/>
                <w:sz w:val="20"/>
                <w:szCs w:val="20"/>
              </w:rPr>
              <w:t>.</w:t>
            </w:r>
            <w:r w:rsidRPr="00F80C42">
              <w:rPr>
                <w:rFonts w:eastAsia="Times New Roman" w:cs="Times New Roman"/>
                <w:sz w:val="20"/>
                <w:szCs w:val="20"/>
              </w:rPr>
              <w:t>630</w:t>
            </w:r>
            <w:r w:rsidR="00B73BE0" w:rsidRPr="00F80C42">
              <w:rPr>
                <w:rFonts w:eastAsia="Times New Roman" w:cs="Times New Roman"/>
                <w:sz w:val="20"/>
                <w:szCs w:val="20"/>
              </w:rPr>
              <w:t>.</w:t>
            </w:r>
            <w:r w:rsidRPr="00F80C42">
              <w:rPr>
                <w:rFonts w:eastAsia="Times New Roman" w:cs="Times New Roman"/>
                <w:sz w:val="20"/>
                <w:szCs w:val="20"/>
              </w:rPr>
              <w:t>588</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sz w:val="20"/>
                <w:szCs w:val="20"/>
              </w:rPr>
              <w:t>85</w:t>
            </w:r>
            <w:r w:rsidR="0021352F">
              <w:rPr>
                <w:rFonts w:eastAsia="Times New Roman" w:cs="Times New Roman"/>
                <w:sz w:val="20"/>
                <w:szCs w:val="20"/>
              </w:rPr>
              <w:t>,</w:t>
            </w:r>
            <w:r w:rsidRPr="00F80C42">
              <w:rPr>
                <w:rFonts w:eastAsia="Times New Roman" w:cs="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p>
        </w:tc>
      </w:tr>
      <w:tr w:rsidR="00996CA9" w:rsidRPr="00F80C42" w:rsidTr="0021352F">
        <w:trPr>
          <w:trHeight w:hRule="exact" w:val="411"/>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AP 3</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Mai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sz w:val="20"/>
                <w:szCs w:val="20"/>
              </w:rPr>
              <w:t>Public</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21352F">
            <w:pPr>
              <w:spacing w:after="0" w:line="240" w:lineRule="auto"/>
              <w:jc w:val="center"/>
              <w:rPr>
                <w:rFonts w:eastAsia="Times New Roman" w:cs="Times New Roman"/>
                <w:sz w:val="20"/>
                <w:szCs w:val="20"/>
              </w:rPr>
            </w:pPr>
            <w:r w:rsidRPr="00F80C42">
              <w:rPr>
                <w:rFonts w:eastAsia="Times New Roman" w:cs="Times New Roman"/>
                <w:sz w:val="20"/>
                <w:szCs w:val="20"/>
              </w:rPr>
              <w:t>6</w:t>
            </w:r>
            <w:r w:rsidR="00B73BE0" w:rsidRPr="00F80C42">
              <w:rPr>
                <w:rFonts w:eastAsia="Times New Roman" w:cs="Times New Roman"/>
                <w:sz w:val="20"/>
                <w:szCs w:val="20"/>
              </w:rPr>
              <w:t>.</w:t>
            </w:r>
            <w:r w:rsidRPr="00F80C42">
              <w:rPr>
                <w:rFonts w:eastAsia="Times New Roman" w:cs="Times New Roman"/>
                <w:sz w:val="20"/>
                <w:szCs w:val="20"/>
              </w:rPr>
              <w:t>599</w:t>
            </w:r>
            <w:r w:rsidR="00B73BE0" w:rsidRPr="00F80C42">
              <w:rPr>
                <w:rFonts w:eastAsia="Times New Roman" w:cs="Times New Roman"/>
                <w:sz w:val="20"/>
                <w:szCs w:val="20"/>
              </w:rPr>
              <w:t>.</w:t>
            </w:r>
            <w:r w:rsidRPr="00F80C42">
              <w:rPr>
                <w:rFonts w:eastAsia="Times New Roman" w:cs="Times New Roman"/>
                <w:sz w:val="20"/>
                <w:szCs w:val="20"/>
              </w:rPr>
              <w:t>949</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sz w:val="20"/>
                <w:szCs w:val="20"/>
              </w:rPr>
              <w:t>80</w:t>
            </w:r>
            <w:r w:rsidR="0021352F">
              <w:rPr>
                <w:rFonts w:eastAsia="Times New Roman" w:cs="Times New Roman"/>
                <w:sz w:val="20"/>
                <w:szCs w:val="20"/>
              </w:rPr>
              <w:t>,</w:t>
            </w:r>
            <w:r w:rsidRPr="00F80C42">
              <w:rPr>
                <w:rFonts w:eastAsia="Times New Roman" w:cs="Times New Roman"/>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r w:rsidR="0021352F">
              <w:rPr>
                <w:rFonts w:eastAsia="Times New Roman" w:cs="Times New Roman"/>
                <w:sz w:val="20"/>
                <w:szCs w:val="20"/>
              </w:rPr>
              <w:t>,</w:t>
            </w:r>
            <w:r w:rsidRPr="00F80C42">
              <w:rPr>
                <w:rFonts w:eastAsia="Times New Roman" w:cs="Times New Roman"/>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sz w:val="20"/>
                <w:szCs w:val="20"/>
              </w:rPr>
              <w:t>0</w:t>
            </w:r>
          </w:p>
        </w:tc>
      </w:tr>
      <w:tr w:rsidR="00996CA9" w:rsidRPr="00F80C42" w:rsidTr="0021352F">
        <w:trPr>
          <w:trHeight w:hRule="exact" w:val="667"/>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b/>
                <w:bCs/>
                <w:sz w:val="20"/>
                <w:szCs w:val="20"/>
              </w:rPr>
              <w:t>Total</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b/>
                <w:sz w:val="20"/>
                <w:szCs w:val="20"/>
              </w:rPr>
            </w:pPr>
            <w:r w:rsidRPr="00F80C42">
              <w:rPr>
                <w:rFonts w:eastAsia="Times New Roman" w:cs="Times New Roman"/>
                <w:b/>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rsidP="00943451">
            <w:pPr>
              <w:spacing w:after="0" w:line="240" w:lineRule="auto"/>
              <w:ind w:left="80" w:right="-20"/>
              <w:rPr>
                <w:rFonts w:eastAsia="Times New Roman" w:cs="Times New Roman"/>
                <w:b/>
                <w:sz w:val="20"/>
                <w:szCs w:val="20"/>
              </w:rPr>
            </w:pPr>
            <w:r w:rsidRPr="00F80C42">
              <w:rPr>
                <w:rFonts w:eastAsia="Times New Roman" w:cs="Times New Roman"/>
                <w:b/>
                <w:sz w:val="20"/>
                <w:szCs w:val="20"/>
              </w:rPr>
              <w:t>Mai puțin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21352F">
            <w:pPr>
              <w:spacing w:after="0" w:line="240" w:lineRule="auto"/>
              <w:jc w:val="center"/>
              <w:rPr>
                <w:rFonts w:eastAsia="Times New Roman" w:cs="Times New Roman"/>
                <w:sz w:val="20"/>
                <w:szCs w:val="20"/>
              </w:rPr>
            </w:pPr>
            <w:r w:rsidRPr="00F80C42">
              <w:rPr>
                <w:rFonts w:eastAsia="Times New Roman" w:cs="Times New Roman"/>
                <w:b/>
                <w:bCs/>
                <w:sz w:val="20"/>
                <w:szCs w:val="20"/>
              </w:rPr>
              <w:t>235</w:t>
            </w:r>
            <w:r w:rsidR="00B73BE0" w:rsidRPr="00F80C42">
              <w:rPr>
                <w:rFonts w:eastAsia="Times New Roman" w:cs="Times New Roman"/>
                <w:b/>
                <w:bCs/>
                <w:sz w:val="20"/>
                <w:szCs w:val="20"/>
              </w:rPr>
              <w:t>.</w:t>
            </w:r>
            <w:r w:rsidRPr="00F80C42">
              <w:rPr>
                <w:rFonts w:eastAsia="Times New Roman" w:cs="Times New Roman"/>
                <w:b/>
                <w:bCs/>
                <w:sz w:val="20"/>
                <w:szCs w:val="20"/>
              </w:rPr>
              <w:t>894</w:t>
            </w:r>
            <w:r w:rsidR="00B73BE0" w:rsidRPr="00F80C42">
              <w:rPr>
                <w:rFonts w:eastAsia="Times New Roman" w:cs="Times New Roman"/>
                <w:b/>
                <w:bCs/>
                <w:sz w:val="20"/>
                <w:szCs w:val="20"/>
              </w:rPr>
              <w:t>.</w:t>
            </w:r>
            <w:r w:rsidRPr="00F80C42">
              <w:rPr>
                <w:rFonts w:eastAsia="Times New Roman" w:cs="Times New Roman"/>
                <w:b/>
                <w:bCs/>
                <w:sz w:val="20"/>
                <w:szCs w:val="20"/>
              </w:rPr>
              <w:t>871</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b/>
                <w:bCs/>
                <w:sz w:val="20"/>
                <w:szCs w:val="20"/>
              </w:rPr>
              <w:t>85</w:t>
            </w:r>
            <w:r w:rsidR="0021352F">
              <w:rPr>
                <w:rFonts w:eastAsia="Times New Roman" w:cs="Times New Roman"/>
                <w:b/>
                <w:bCs/>
                <w:sz w:val="20"/>
                <w:szCs w:val="20"/>
              </w:rPr>
              <w:t>,</w:t>
            </w:r>
            <w:r w:rsidRPr="00F80C42">
              <w:rPr>
                <w:rFonts w:eastAsia="Times New Roman" w:cs="Times New Roman"/>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p>
        </w:tc>
      </w:tr>
      <w:tr w:rsidR="00996CA9" w:rsidRPr="00F80C42" w:rsidTr="0021352F">
        <w:trPr>
          <w:trHeight w:hRule="exact" w:val="411"/>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80" w:right="-20"/>
              <w:rPr>
                <w:rFonts w:eastAsia="Times New Roman" w:cs="Times New Roman"/>
                <w:sz w:val="20"/>
                <w:szCs w:val="20"/>
              </w:rPr>
            </w:pPr>
            <w:r w:rsidRPr="00F80C42">
              <w:rPr>
                <w:rFonts w:eastAsia="Times New Roman" w:cs="Times New Roman"/>
                <w:b/>
                <w:bCs/>
                <w:sz w:val="20"/>
                <w:szCs w:val="20"/>
              </w:rPr>
              <w:t>Total</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0D479F" w:rsidP="00943451">
            <w:pPr>
              <w:spacing w:after="0" w:line="240" w:lineRule="auto"/>
              <w:ind w:left="80" w:right="-20"/>
              <w:rPr>
                <w:rFonts w:eastAsia="Times New Roman" w:cs="Times New Roman"/>
                <w:b/>
                <w:sz w:val="20"/>
                <w:szCs w:val="20"/>
              </w:rPr>
            </w:pPr>
            <w:r w:rsidRPr="00F80C42">
              <w:rPr>
                <w:rFonts w:eastAsia="Times New Roman" w:cs="Times New Roman"/>
                <w:b/>
                <w:sz w:val="20"/>
                <w:szCs w:val="20"/>
              </w:rPr>
              <w:t>FEDR</w:t>
            </w: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BA3D53" w:rsidP="00943451">
            <w:pPr>
              <w:spacing w:after="0" w:line="240" w:lineRule="auto"/>
              <w:ind w:left="80" w:right="-20"/>
              <w:rPr>
                <w:rFonts w:eastAsia="Times New Roman" w:cs="Times New Roman"/>
                <w:b/>
                <w:sz w:val="20"/>
                <w:szCs w:val="20"/>
              </w:rPr>
            </w:pPr>
            <w:r w:rsidRPr="00F80C42">
              <w:rPr>
                <w:rFonts w:eastAsia="Times New Roman" w:cs="Times New Roman"/>
                <w:b/>
                <w:sz w:val="20"/>
                <w:szCs w:val="20"/>
              </w:rPr>
              <w:t>Mai dezvoltate</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21352F">
            <w:pPr>
              <w:spacing w:after="0" w:line="240" w:lineRule="auto"/>
              <w:jc w:val="center"/>
              <w:rPr>
                <w:rFonts w:eastAsia="Times New Roman" w:cs="Times New Roman"/>
                <w:sz w:val="20"/>
                <w:szCs w:val="20"/>
              </w:rPr>
            </w:pPr>
            <w:r w:rsidRPr="00F80C42">
              <w:rPr>
                <w:rFonts w:eastAsia="Times New Roman" w:cs="Times New Roman"/>
                <w:b/>
                <w:bCs/>
                <w:sz w:val="20"/>
                <w:szCs w:val="20"/>
              </w:rPr>
              <w:t>15</w:t>
            </w:r>
            <w:r w:rsidR="00B73BE0" w:rsidRPr="00F80C42">
              <w:rPr>
                <w:rFonts w:eastAsia="Times New Roman" w:cs="Times New Roman"/>
                <w:b/>
                <w:bCs/>
                <w:sz w:val="20"/>
                <w:szCs w:val="20"/>
              </w:rPr>
              <w:t>.</w:t>
            </w:r>
            <w:r w:rsidRPr="00F80C42">
              <w:rPr>
                <w:rFonts w:eastAsia="Times New Roman" w:cs="Times New Roman"/>
                <w:b/>
                <w:bCs/>
                <w:sz w:val="20"/>
                <w:szCs w:val="20"/>
              </w:rPr>
              <w:t>319</w:t>
            </w:r>
            <w:r w:rsidR="00B73BE0" w:rsidRPr="00F80C42">
              <w:rPr>
                <w:rFonts w:eastAsia="Times New Roman" w:cs="Times New Roman"/>
                <w:b/>
                <w:bCs/>
                <w:sz w:val="20"/>
                <w:szCs w:val="20"/>
              </w:rPr>
              <w:t>.</w:t>
            </w:r>
            <w:r w:rsidRPr="00F80C42">
              <w:rPr>
                <w:rFonts w:eastAsia="Times New Roman" w:cs="Times New Roman"/>
                <w:b/>
                <w:bCs/>
                <w:sz w:val="20"/>
                <w:szCs w:val="20"/>
              </w:rPr>
              <w:t>149</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b/>
                <w:bCs/>
                <w:sz w:val="20"/>
                <w:szCs w:val="20"/>
              </w:rPr>
              <w:t>80</w:t>
            </w:r>
            <w:r w:rsidR="0021352F">
              <w:rPr>
                <w:rFonts w:eastAsia="Times New Roman" w:cs="Times New Roman"/>
                <w:b/>
                <w:bCs/>
                <w:sz w:val="20"/>
                <w:szCs w:val="20"/>
              </w:rPr>
              <w:t>,</w:t>
            </w:r>
            <w:r w:rsidRPr="00F80C42">
              <w:rPr>
                <w:rFonts w:eastAsia="Times New Roman" w:cs="Times New Roman"/>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p>
        </w:tc>
      </w:tr>
      <w:tr w:rsidR="00996CA9" w:rsidRPr="00F80C42" w:rsidTr="0021352F">
        <w:trPr>
          <w:trHeight w:hRule="exact" w:val="490"/>
        </w:trPr>
        <w:tc>
          <w:tcPr>
            <w:tcW w:w="1010" w:type="dxa"/>
            <w:tcBorders>
              <w:top w:val="single" w:sz="4" w:space="0" w:color="000000"/>
              <w:left w:val="single" w:sz="4" w:space="0" w:color="000000"/>
              <w:bottom w:val="single" w:sz="4" w:space="0" w:color="000000"/>
              <w:right w:val="single" w:sz="4" w:space="0" w:color="000000"/>
            </w:tcBorders>
          </w:tcPr>
          <w:p w:rsidR="00996CA9" w:rsidRPr="00F80C42" w:rsidRDefault="00B73BE0" w:rsidP="00943451">
            <w:pPr>
              <w:spacing w:after="0" w:line="240" w:lineRule="auto"/>
              <w:ind w:left="80" w:right="-20"/>
              <w:rPr>
                <w:rFonts w:eastAsia="Times New Roman" w:cs="Times New Roman"/>
                <w:sz w:val="20"/>
                <w:szCs w:val="20"/>
              </w:rPr>
            </w:pPr>
            <w:r w:rsidRPr="00F80C42">
              <w:rPr>
                <w:rFonts w:eastAsia="Times New Roman" w:cs="Times New Roman"/>
                <w:b/>
                <w:bCs/>
                <w:sz w:val="20"/>
                <w:szCs w:val="20"/>
              </w:rPr>
              <w:t>Total general</w:t>
            </w:r>
          </w:p>
        </w:tc>
        <w:tc>
          <w:tcPr>
            <w:tcW w:w="709"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21352F">
            <w:pPr>
              <w:spacing w:after="0" w:line="240" w:lineRule="auto"/>
              <w:jc w:val="center"/>
              <w:rPr>
                <w:rFonts w:eastAsia="Times New Roman" w:cs="Times New Roman"/>
                <w:sz w:val="20"/>
                <w:szCs w:val="20"/>
              </w:rPr>
            </w:pPr>
            <w:r w:rsidRPr="00F80C42">
              <w:rPr>
                <w:rFonts w:eastAsia="Times New Roman" w:cs="Times New Roman"/>
                <w:b/>
                <w:bCs/>
                <w:sz w:val="20"/>
                <w:szCs w:val="20"/>
              </w:rPr>
              <w:t>251</w:t>
            </w:r>
            <w:r w:rsidR="00B73BE0" w:rsidRPr="00F80C42">
              <w:rPr>
                <w:rFonts w:eastAsia="Times New Roman" w:cs="Times New Roman"/>
                <w:b/>
                <w:bCs/>
                <w:sz w:val="20"/>
                <w:szCs w:val="20"/>
              </w:rPr>
              <w:t>.</w:t>
            </w:r>
            <w:r w:rsidRPr="00F80C42">
              <w:rPr>
                <w:rFonts w:eastAsia="Times New Roman" w:cs="Times New Roman"/>
                <w:b/>
                <w:bCs/>
                <w:sz w:val="20"/>
                <w:szCs w:val="20"/>
              </w:rPr>
              <w:t>214</w:t>
            </w:r>
            <w:r w:rsidR="00B73BE0" w:rsidRPr="00F80C42">
              <w:rPr>
                <w:rFonts w:eastAsia="Times New Roman" w:cs="Times New Roman"/>
                <w:b/>
                <w:bCs/>
                <w:sz w:val="20"/>
                <w:szCs w:val="20"/>
              </w:rPr>
              <w:t>.</w:t>
            </w:r>
            <w:r w:rsidRPr="00F80C42">
              <w:rPr>
                <w:rFonts w:eastAsia="Times New Roman" w:cs="Times New Roman"/>
                <w:b/>
                <w:bCs/>
                <w:sz w:val="20"/>
                <w:szCs w:val="20"/>
              </w:rPr>
              <w:t>020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87" w:right="-20"/>
              <w:rPr>
                <w:rFonts w:eastAsia="Times New Roman" w:cs="Times New Roman"/>
                <w:sz w:val="20"/>
                <w:szCs w:val="20"/>
              </w:rPr>
            </w:pPr>
            <w:r w:rsidRPr="00F80C42">
              <w:rPr>
                <w:rFonts w:eastAsia="Times New Roman" w:cs="Times New Roman"/>
                <w:b/>
                <w:bCs/>
                <w:sz w:val="20"/>
                <w:szCs w:val="20"/>
              </w:rPr>
              <w:t>84</w:t>
            </w:r>
            <w:r w:rsidR="0021352F">
              <w:rPr>
                <w:rFonts w:eastAsia="Times New Roman" w:cs="Times New Roman"/>
                <w:b/>
                <w:bCs/>
                <w:sz w:val="20"/>
                <w:szCs w:val="20"/>
              </w:rPr>
              <w:t>,</w:t>
            </w:r>
            <w:r w:rsidRPr="00F80C42">
              <w:rPr>
                <w:rFonts w:eastAsia="Times New Roman" w:cs="Times New Roman"/>
                <w:b/>
                <w:bCs/>
                <w:sz w:val="20"/>
                <w:szCs w:val="20"/>
              </w:rPr>
              <w:t>70</w:t>
            </w:r>
          </w:p>
        </w:tc>
        <w:tc>
          <w:tcPr>
            <w:tcW w:w="1134"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left="515" w:right="-20"/>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458" w:type="dxa"/>
            <w:gridSpan w:val="2"/>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77"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620" w:type="dxa"/>
            <w:gridSpan w:val="3"/>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r w:rsidR="0021352F">
              <w:rPr>
                <w:rFonts w:eastAsia="Times New Roman" w:cs="Times New Roman"/>
                <w:b/>
                <w:bCs/>
                <w:sz w:val="20"/>
                <w:szCs w:val="20"/>
              </w:rPr>
              <w:t>,</w:t>
            </w:r>
            <w:r w:rsidRPr="00F80C42">
              <w:rPr>
                <w:rFonts w:eastAsia="Times New Roman" w:cs="Times New Roman"/>
                <w:b/>
                <w:bCs/>
                <w:sz w:val="20"/>
                <w:szCs w:val="20"/>
              </w:rPr>
              <w:t>00</w:t>
            </w:r>
          </w:p>
        </w:tc>
        <w:tc>
          <w:tcPr>
            <w:tcW w:w="1350" w:type="dxa"/>
            <w:tcBorders>
              <w:top w:val="single" w:sz="4" w:space="0" w:color="000000"/>
              <w:left w:val="single" w:sz="4" w:space="0" w:color="000000"/>
              <w:bottom w:val="single" w:sz="4" w:space="0" w:color="000000"/>
              <w:right w:val="single" w:sz="4" w:space="0" w:color="000000"/>
            </w:tcBorders>
          </w:tcPr>
          <w:p w:rsidR="00996CA9" w:rsidRPr="00F80C42" w:rsidRDefault="00996CA9" w:rsidP="00943451">
            <w:pPr>
              <w:spacing w:after="0" w:line="240" w:lineRule="auto"/>
              <w:ind w:right="60"/>
              <w:jc w:val="right"/>
              <w:rPr>
                <w:rFonts w:eastAsia="Times New Roman" w:cs="Times New Roman"/>
                <w:sz w:val="20"/>
                <w:szCs w:val="20"/>
              </w:rPr>
            </w:pPr>
            <w:r w:rsidRPr="00F80C42">
              <w:rPr>
                <w:rFonts w:eastAsia="Times New Roman" w:cs="Times New Roman"/>
                <w:b/>
                <w:bCs/>
                <w:sz w:val="20"/>
                <w:szCs w:val="20"/>
              </w:rPr>
              <w:t>0</w:t>
            </w:r>
          </w:p>
        </w:tc>
      </w:tr>
    </w:tbl>
    <w:p w:rsidR="00996CA9" w:rsidRPr="00F80C42" w:rsidRDefault="00996CA9" w:rsidP="00996CA9">
      <w:pPr>
        <w:pStyle w:val="ListParagraph"/>
        <w:numPr>
          <w:ilvl w:val="0"/>
          <w:numId w:val="1"/>
        </w:numPr>
        <w:spacing w:after="0"/>
        <w:jc w:val="center"/>
        <w:sectPr w:rsidR="00996CA9" w:rsidRPr="00F80C42" w:rsidSect="00AE6232">
          <w:pgSz w:w="16840" w:h="11920" w:orient="landscape"/>
          <w:pgMar w:top="1080" w:right="1180" w:bottom="1180" w:left="1300" w:header="708" w:footer="1000" w:gutter="0"/>
          <w:pgNumType w:start="6"/>
          <w:cols w:space="708"/>
        </w:sectPr>
      </w:pPr>
    </w:p>
    <w:p w:rsidR="00996CA9" w:rsidRPr="00F80C42" w:rsidRDefault="00996CA9" w:rsidP="00996CA9">
      <w:pPr>
        <w:spacing w:before="2" w:after="0" w:line="220" w:lineRule="exact"/>
      </w:pPr>
    </w:p>
    <w:p w:rsidR="000D479F" w:rsidRPr="00F35F4B" w:rsidRDefault="000D479F" w:rsidP="000D479F">
      <w:pPr>
        <w:pStyle w:val="ListParagraph"/>
        <w:rPr>
          <w:b/>
        </w:rPr>
      </w:pPr>
      <w:r w:rsidRPr="00F80C42">
        <w:rPr>
          <w:b/>
        </w:rPr>
        <w:t>Tabelul</w:t>
      </w:r>
      <w:r w:rsidR="00996CA9" w:rsidRPr="00F80C42">
        <w:rPr>
          <w:b/>
        </w:rPr>
        <w:t xml:space="preserve"> </w:t>
      </w:r>
      <w:r w:rsidR="00235973">
        <w:rPr>
          <w:b/>
        </w:rPr>
        <w:t>7</w:t>
      </w:r>
      <w:r w:rsidR="00996CA9" w:rsidRPr="00F80C42">
        <w:rPr>
          <w:b/>
        </w:rPr>
        <w:t xml:space="preserve">: </w:t>
      </w:r>
      <w:r w:rsidRPr="00F80C42">
        <w:rPr>
          <w:b/>
        </w:rPr>
        <w:t xml:space="preserve">Defalcarea datelor </w:t>
      </w:r>
      <w:r w:rsidR="00BB207D" w:rsidRPr="00F80C42">
        <w:rPr>
          <w:b/>
        </w:rPr>
        <w:t>financiare cumulate pe categorie</w:t>
      </w:r>
      <w:r w:rsidRPr="00F80C42">
        <w:rPr>
          <w:b/>
        </w:rPr>
        <w:t xml:space="preserve"> de intervenție pentru </w:t>
      </w:r>
      <w:r w:rsidR="00F3668F">
        <w:rPr>
          <w:b/>
        </w:rPr>
        <w:t>FEDR, FSE și Fondul de Coeziune</w:t>
      </w:r>
    </w:p>
    <w:p w:rsidR="00996CA9" w:rsidRPr="00783B28" w:rsidRDefault="00996CA9" w:rsidP="00996CA9">
      <w:pPr>
        <w:pStyle w:val="ListParagraph"/>
        <w:rPr>
          <w:b/>
        </w:rPr>
      </w:pPr>
    </w:p>
    <w:tbl>
      <w:tblPr>
        <w:tblW w:w="14872" w:type="dxa"/>
        <w:tblInd w:w="157" w:type="dxa"/>
        <w:tblLayout w:type="fixed"/>
        <w:tblCellMar>
          <w:left w:w="0" w:type="dxa"/>
          <w:right w:w="0" w:type="dxa"/>
        </w:tblCellMar>
        <w:tblLook w:val="01E0" w:firstRow="1" w:lastRow="1" w:firstColumn="1" w:lastColumn="1" w:noHBand="0" w:noVBand="0"/>
      </w:tblPr>
      <w:tblGrid>
        <w:gridCol w:w="699"/>
        <w:gridCol w:w="709"/>
        <w:gridCol w:w="1134"/>
        <w:gridCol w:w="992"/>
        <w:gridCol w:w="850"/>
        <w:gridCol w:w="1276"/>
        <w:gridCol w:w="1028"/>
        <w:gridCol w:w="957"/>
        <w:gridCol w:w="1139"/>
        <w:gridCol w:w="931"/>
        <w:gridCol w:w="822"/>
        <w:gridCol w:w="1082"/>
        <w:gridCol w:w="1130"/>
        <w:gridCol w:w="1179"/>
        <w:gridCol w:w="944"/>
      </w:tblGrid>
      <w:tr w:rsidR="00996CA9" w:rsidRPr="00F80C42" w:rsidTr="0021352F">
        <w:trPr>
          <w:trHeight w:hRule="exact" w:val="667"/>
        </w:trPr>
        <w:tc>
          <w:tcPr>
            <w:tcW w:w="699" w:type="dxa"/>
            <w:tcBorders>
              <w:top w:val="single" w:sz="4" w:space="0" w:color="000000"/>
              <w:left w:val="single" w:sz="4" w:space="0" w:color="000000"/>
              <w:bottom w:val="single" w:sz="4" w:space="0" w:color="000000"/>
              <w:right w:val="single" w:sz="4" w:space="0" w:color="000000"/>
            </w:tcBorders>
          </w:tcPr>
          <w:p w:rsidR="00996CA9" w:rsidRPr="007F3437" w:rsidRDefault="00D62041" w:rsidP="0021352F">
            <w:pPr>
              <w:spacing w:after="0" w:line="240" w:lineRule="auto"/>
              <w:rPr>
                <w:rFonts w:eastAsia="Times New Roman" w:cs="Times New Roman"/>
                <w:sz w:val="16"/>
                <w:szCs w:val="16"/>
              </w:rPr>
            </w:pPr>
            <w:r w:rsidRPr="007F3437">
              <w:rPr>
                <w:rFonts w:eastAsia="Times New Roman" w:cs="Times New Roman"/>
                <w:sz w:val="16"/>
                <w:szCs w:val="16"/>
              </w:rPr>
              <w:t>Axă prioritară</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96CA9" w:rsidRPr="00E31D81" w:rsidRDefault="00BB207D" w:rsidP="0021352F">
            <w:pPr>
              <w:spacing w:after="0" w:line="240" w:lineRule="auto"/>
              <w:jc w:val="center"/>
              <w:rPr>
                <w:rFonts w:eastAsia="Times New Roman" w:cs="Times New Roman"/>
                <w:sz w:val="16"/>
                <w:szCs w:val="16"/>
              </w:rPr>
            </w:pPr>
            <w:r w:rsidRPr="00E31D81">
              <w:rPr>
                <w:rFonts w:eastAsia="Times New Roman" w:cs="Times New Roman"/>
                <w:sz w:val="16"/>
                <w:szCs w:val="16"/>
              </w:rPr>
              <w:t>Caracteristicile cheltuielilor</w:t>
            </w:r>
          </w:p>
        </w:tc>
        <w:tc>
          <w:tcPr>
            <w:tcW w:w="7995" w:type="dxa"/>
            <w:gridSpan w:val="8"/>
            <w:tcBorders>
              <w:top w:val="single" w:sz="4" w:space="0" w:color="000000"/>
              <w:left w:val="single" w:sz="4" w:space="0" w:color="000000"/>
              <w:bottom w:val="single" w:sz="4" w:space="0" w:color="000000"/>
              <w:right w:val="single" w:sz="4" w:space="0" w:color="000000"/>
            </w:tcBorders>
            <w:vAlign w:val="center"/>
          </w:tcPr>
          <w:p w:rsidR="00996CA9" w:rsidRPr="00E70515" w:rsidRDefault="00BB207D" w:rsidP="0021352F">
            <w:pPr>
              <w:spacing w:after="0" w:line="240" w:lineRule="auto"/>
              <w:jc w:val="center"/>
              <w:rPr>
                <w:rFonts w:eastAsia="Times New Roman" w:cs="Times New Roman"/>
                <w:sz w:val="16"/>
                <w:szCs w:val="16"/>
              </w:rPr>
            </w:pPr>
            <w:r w:rsidRPr="00E70515">
              <w:rPr>
                <w:rFonts w:eastAsia="Times New Roman" w:cs="Times New Roman"/>
                <w:sz w:val="16"/>
                <w:szCs w:val="16"/>
              </w:rPr>
              <w:t>Dimensiuni de clasificare</w:t>
            </w:r>
          </w:p>
        </w:tc>
        <w:tc>
          <w:tcPr>
            <w:tcW w:w="4335" w:type="dxa"/>
            <w:gridSpan w:val="4"/>
            <w:tcBorders>
              <w:top w:val="single" w:sz="4" w:space="0" w:color="000000"/>
              <w:left w:val="single" w:sz="4" w:space="0" w:color="000000"/>
              <w:bottom w:val="single" w:sz="4" w:space="0" w:color="000000"/>
              <w:right w:val="single" w:sz="4" w:space="0" w:color="000000"/>
            </w:tcBorders>
            <w:vAlign w:val="center"/>
          </w:tcPr>
          <w:p w:rsidR="00996CA9" w:rsidRPr="00E70515" w:rsidRDefault="00AE681F" w:rsidP="0021352F">
            <w:pPr>
              <w:spacing w:after="0" w:line="240" w:lineRule="auto"/>
              <w:jc w:val="center"/>
              <w:rPr>
                <w:rFonts w:eastAsia="Times New Roman" w:cs="Times New Roman"/>
                <w:sz w:val="16"/>
                <w:szCs w:val="16"/>
              </w:rPr>
            </w:pPr>
            <w:r w:rsidRPr="00E70515">
              <w:rPr>
                <w:rFonts w:eastAsia="Times New Roman" w:cs="Times New Roman"/>
                <w:sz w:val="16"/>
                <w:szCs w:val="16"/>
              </w:rPr>
              <w:t>Date financiare</w:t>
            </w:r>
          </w:p>
        </w:tc>
      </w:tr>
      <w:tr w:rsidR="00AE681F" w:rsidRPr="00F80C42" w:rsidTr="0021352F">
        <w:trPr>
          <w:trHeight w:hRule="exact" w:val="1648"/>
        </w:trPr>
        <w:tc>
          <w:tcPr>
            <w:tcW w:w="699" w:type="dxa"/>
            <w:tcBorders>
              <w:top w:val="single" w:sz="4" w:space="0" w:color="000000"/>
              <w:left w:val="single" w:sz="4" w:space="0" w:color="000000"/>
              <w:bottom w:val="single" w:sz="4" w:space="0" w:color="000000"/>
              <w:right w:val="single" w:sz="4" w:space="0" w:color="000000"/>
            </w:tcBorders>
          </w:tcPr>
          <w:p w:rsidR="00996CA9" w:rsidRPr="00F80C42" w:rsidRDefault="00996CA9" w:rsidP="0021352F">
            <w:pPr>
              <w:spacing w:line="240" w:lineRule="auto"/>
              <w:rPr>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21352F">
            <w:pPr>
              <w:spacing w:after="0" w:line="240" w:lineRule="auto"/>
              <w:jc w:val="center"/>
              <w:rPr>
                <w:rFonts w:eastAsia="Times New Roman" w:cs="Times New Roman"/>
                <w:sz w:val="16"/>
                <w:szCs w:val="16"/>
              </w:rPr>
            </w:pPr>
            <w:r w:rsidRPr="00F80C42">
              <w:rPr>
                <w:rFonts w:eastAsia="Times New Roman" w:cs="Times New Roman"/>
                <w:sz w:val="16"/>
                <w:szCs w:val="16"/>
              </w:rPr>
              <w:t>Fond</w:t>
            </w:r>
          </w:p>
        </w:tc>
        <w:tc>
          <w:tcPr>
            <w:tcW w:w="1134"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21352F">
            <w:pPr>
              <w:spacing w:after="0" w:line="240" w:lineRule="auto"/>
              <w:jc w:val="center"/>
              <w:rPr>
                <w:rFonts w:eastAsia="Times New Roman" w:cs="Times New Roman"/>
                <w:sz w:val="16"/>
                <w:szCs w:val="16"/>
              </w:rPr>
            </w:pPr>
            <w:r w:rsidRPr="00F80C42">
              <w:rPr>
                <w:rFonts w:eastAsia="Times New Roman" w:cs="Times New Roman"/>
                <w:sz w:val="16"/>
                <w:szCs w:val="16"/>
              </w:rPr>
              <w:t>Categoria de regiune</w:t>
            </w:r>
          </w:p>
        </w:tc>
        <w:tc>
          <w:tcPr>
            <w:tcW w:w="992"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AE681F" w:rsidP="0021352F">
            <w:pPr>
              <w:spacing w:after="0" w:line="240" w:lineRule="auto"/>
              <w:jc w:val="center"/>
              <w:rPr>
                <w:rFonts w:eastAsia="Times New Roman" w:cs="Times New Roman"/>
                <w:sz w:val="16"/>
                <w:szCs w:val="16"/>
              </w:rPr>
            </w:pPr>
            <w:r w:rsidRPr="00F80C42">
              <w:rPr>
                <w:rFonts w:eastAsia="Times New Roman" w:cs="Times New Roman"/>
                <w:sz w:val="16"/>
                <w:szCs w:val="16"/>
              </w:rPr>
              <w:t xml:space="preserve">Domeniul de </w:t>
            </w:r>
            <w:r w:rsidR="00BB207D" w:rsidRPr="00F80C42">
              <w:rPr>
                <w:rFonts w:eastAsia="Times New Roman" w:cs="Times New Roman"/>
                <w:sz w:val="16"/>
                <w:szCs w:val="16"/>
              </w:rPr>
              <w:t>intervenție</w:t>
            </w:r>
          </w:p>
        </w:tc>
        <w:tc>
          <w:tcPr>
            <w:tcW w:w="850"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21352F">
            <w:pPr>
              <w:spacing w:after="0" w:line="240" w:lineRule="auto"/>
              <w:jc w:val="center"/>
              <w:rPr>
                <w:rFonts w:eastAsia="Times New Roman" w:cs="Times New Roman"/>
                <w:sz w:val="16"/>
                <w:szCs w:val="16"/>
              </w:rPr>
            </w:pPr>
            <w:r w:rsidRPr="00F80C42">
              <w:rPr>
                <w:rFonts w:eastAsia="Times New Roman" w:cs="Times New Roman"/>
                <w:sz w:val="16"/>
                <w:szCs w:val="16"/>
              </w:rPr>
              <w:t>Formă de finanțare</w:t>
            </w:r>
          </w:p>
        </w:tc>
        <w:tc>
          <w:tcPr>
            <w:tcW w:w="1276"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BB207D" w:rsidP="0021352F">
            <w:pPr>
              <w:spacing w:after="0" w:line="240" w:lineRule="auto"/>
              <w:jc w:val="center"/>
              <w:rPr>
                <w:rFonts w:eastAsia="Times New Roman" w:cs="Times New Roman"/>
                <w:sz w:val="16"/>
                <w:szCs w:val="16"/>
              </w:rPr>
            </w:pPr>
            <w:r w:rsidRPr="00F80C42">
              <w:rPr>
                <w:rFonts w:eastAsia="Times New Roman" w:cs="Times New Roman"/>
                <w:sz w:val="16"/>
                <w:szCs w:val="16"/>
              </w:rPr>
              <w:t>Dimensiune teritorială</w:t>
            </w:r>
          </w:p>
        </w:tc>
        <w:tc>
          <w:tcPr>
            <w:tcW w:w="1028"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AE681F" w:rsidP="0021352F">
            <w:pPr>
              <w:spacing w:after="0" w:line="240" w:lineRule="auto"/>
              <w:jc w:val="center"/>
              <w:rPr>
                <w:rFonts w:eastAsia="Times New Roman" w:cs="Times New Roman"/>
                <w:sz w:val="16"/>
                <w:szCs w:val="16"/>
              </w:rPr>
            </w:pPr>
            <w:r w:rsidRPr="00F80C42">
              <w:rPr>
                <w:rFonts w:eastAsia="Times New Roman" w:cs="Times New Roman"/>
                <w:w w:val="99"/>
                <w:sz w:val="16"/>
                <w:szCs w:val="16"/>
              </w:rPr>
              <w:t>Mecanism de aplicare teritorial</w:t>
            </w:r>
          </w:p>
        </w:tc>
        <w:tc>
          <w:tcPr>
            <w:tcW w:w="957"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AE681F" w:rsidP="0021352F">
            <w:pPr>
              <w:spacing w:after="0" w:line="240" w:lineRule="auto"/>
              <w:jc w:val="center"/>
              <w:rPr>
                <w:rFonts w:eastAsia="Times New Roman" w:cs="Times New Roman"/>
                <w:sz w:val="16"/>
                <w:szCs w:val="16"/>
              </w:rPr>
            </w:pPr>
            <w:r w:rsidRPr="00F80C42">
              <w:rPr>
                <w:rFonts w:eastAsia="Times New Roman" w:cs="Times New Roman"/>
                <w:w w:val="99"/>
                <w:sz w:val="16"/>
                <w:szCs w:val="16"/>
              </w:rPr>
              <w:t>Dimensiunea obiectivului tematic (FEDR + FC)</w:t>
            </w:r>
          </w:p>
        </w:tc>
        <w:tc>
          <w:tcPr>
            <w:tcW w:w="1139" w:type="dxa"/>
            <w:tcBorders>
              <w:top w:val="single" w:sz="4" w:space="0" w:color="000000"/>
              <w:left w:val="single" w:sz="4" w:space="0" w:color="000000"/>
              <w:bottom w:val="single" w:sz="4" w:space="0" w:color="000000"/>
              <w:right w:val="single" w:sz="4" w:space="0" w:color="000000"/>
            </w:tcBorders>
            <w:vAlign w:val="center"/>
          </w:tcPr>
          <w:p w:rsidR="00996CA9" w:rsidRPr="00F80C42" w:rsidRDefault="00AE681F" w:rsidP="0021352F">
            <w:pPr>
              <w:spacing w:after="0" w:line="240" w:lineRule="auto"/>
              <w:jc w:val="center"/>
              <w:rPr>
                <w:rFonts w:eastAsia="Times New Roman" w:cs="Times New Roman"/>
                <w:sz w:val="16"/>
                <w:szCs w:val="16"/>
              </w:rPr>
            </w:pPr>
            <w:r w:rsidRPr="00F80C42">
              <w:rPr>
                <w:rFonts w:eastAsia="Times New Roman" w:cs="Times New Roman"/>
                <w:sz w:val="16"/>
                <w:szCs w:val="16"/>
              </w:rPr>
              <w:t>Temă secundară în cadrul FSE</w:t>
            </w:r>
          </w:p>
        </w:tc>
        <w:tc>
          <w:tcPr>
            <w:tcW w:w="931" w:type="dxa"/>
            <w:tcBorders>
              <w:top w:val="single" w:sz="4" w:space="0" w:color="000000"/>
              <w:left w:val="single" w:sz="4" w:space="0" w:color="000000"/>
              <w:bottom w:val="single" w:sz="4" w:space="0" w:color="000000"/>
              <w:right w:val="single" w:sz="4" w:space="0" w:color="000000"/>
            </w:tcBorders>
            <w:vAlign w:val="center"/>
          </w:tcPr>
          <w:p w:rsidR="00996CA9" w:rsidRPr="00F35F4B" w:rsidRDefault="00AE681F" w:rsidP="0021352F">
            <w:pPr>
              <w:spacing w:after="0" w:line="240" w:lineRule="auto"/>
              <w:jc w:val="center"/>
              <w:rPr>
                <w:rFonts w:eastAsia="Times New Roman" w:cs="Times New Roman"/>
                <w:sz w:val="16"/>
                <w:szCs w:val="16"/>
              </w:rPr>
            </w:pPr>
            <w:r w:rsidRPr="00F35F4B">
              <w:rPr>
                <w:rFonts w:eastAsia="Times New Roman" w:cs="Times New Roman"/>
                <w:sz w:val="16"/>
                <w:szCs w:val="16"/>
              </w:rPr>
              <w:t>Dimensiune economică</w:t>
            </w:r>
          </w:p>
        </w:tc>
        <w:tc>
          <w:tcPr>
            <w:tcW w:w="822" w:type="dxa"/>
            <w:tcBorders>
              <w:top w:val="single" w:sz="4" w:space="0" w:color="000000"/>
              <w:left w:val="single" w:sz="4" w:space="0" w:color="000000"/>
              <w:bottom w:val="single" w:sz="4" w:space="0" w:color="000000"/>
              <w:right w:val="single" w:sz="4" w:space="0" w:color="000000"/>
            </w:tcBorders>
            <w:vAlign w:val="center"/>
          </w:tcPr>
          <w:p w:rsidR="00996CA9" w:rsidRPr="00F35F4B" w:rsidRDefault="00AE681F" w:rsidP="0021352F">
            <w:pPr>
              <w:spacing w:after="0" w:line="240" w:lineRule="auto"/>
              <w:jc w:val="center"/>
              <w:rPr>
                <w:rFonts w:eastAsia="Times New Roman" w:cs="Times New Roman"/>
                <w:sz w:val="16"/>
                <w:szCs w:val="16"/>
              </w:rPr>
            </w:pPr>
            <w:r w:rsidRPr="00F35F4B">
              <w:rPr>
                <w:rFonts w:eastAsia="Times New Roman" w:cs="Times New Roman"/>
                <w:sz w:val="16"/>
                <w:szCs w:val="16"/>
              </w:rPr>
              <w:t>Dimensiune localizare</w:t>
            </w:r>
          </w:p>
        </w:tc>
        <w:tc>
          <w:tcPr>
            <w:tcW w:w="1082" w:type="dxa"/>
            <w:tcBorders>
              <w:top w:val="single" w:sz="4" w:space="0" w:color="000000"/>
              <w:left w:val="single" w:sz="4" w:space="0" w:color="000000"/>
              <w:bottom w:val="single" w:sz="4" w:space="0" w:color="000000"/>
              <w:right w:val="single" w:sz="4" w:space="0" w:color="000000"/>
            </w:tcBorders>
            <w:vAlign w:val="center"/>
          </w:tcPr>
          <w:p w:rsidR="00996CA9" w:rsidRPr="007F3437" w:rsidRDefault="00AE681F" w:rsidP="0021352F">
            <w:pPr>
              <w:spacing w:after="0" w:line="240" w:lineRule="auto"/>
              <w:jc w:val="center"/>
              <w:rPr>
                <w:sz w:val="16"/>
                <w:szCs w:val="16"/>
              </w:rPr>
            </w:pPr>
            <w:r w:rsidRPr="00783B28">
              <w:rPr>
                <w:sz w:val="16"/>
                <w:szCs w:val="16"/>
              </w:rPr>
              <w:t>Costurile eligibile to</w:t>
            </w:r>
            <w:r w:rsidRPr="007F3437">
              <w:rPr>
                <w:sz w:val="16"/>
                <w:szCs w:val="16"/>
              </w:rPr>
              <w:t>tale ale operațiunilor selectate pentru sprijin</w:t>
            </w:r>
            <w:r w:rsidR="00996CA9" w:rsidRPr="007F3437">
              <w:rPr>
                <w:sz w:val="16"/>
                <w:szCs w:val="16"/>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996CA9" w:rsidRPr="00E31D81" w:rsidRDefault="00AE681F" w:rsidP="0021352F">
            <w:pPr>
              <w:spacing w:after="0" w:line="240" w:lineRule="auto"/>
              <w:jc w:val="center"/>
              <w:rPr>
                <w:rFonts w:eastAsia="Times New Roman" w:cs="Times New Roman"/>
                <w:sz w:val="16"/>
                <w:szCs w:val="16"/>
              </w:rPr>
            </w:pPr>
            <w:r w:rsidRPr="00E31D81">
              <w:rPr>
                <w:rFonts w:eastAsia="Times New Roman" w:cs="Times New Roman"/>
                <w:sz w:val="16"/>
                <w:szCs w:val="16"/>
              </w:rPr>
              <w:t>Costurile eligibile publice ale operațiunilor selectate pentru sprijin</w:t>
            </w:r>
            <w:r w:rsidR="00996CA9" w:rsidRPr="00E31D81">
              <w:rPr>
                <w:rFonts w:eastAsia="Times New Roman" w:cs="Times New Roman"/>
                <w:sz w:val="16"/>
                <w:szCs w:val="16"/>
              </w:rPr>
              <w:t xml:space="preserve"> (€)</w:t>
            </w:r>
          </w:p>
        </w:tc>
        <w:tc>
          <w:tcPr>
            <w:tcW w:w="1179" w:type="dxa"/>
            <w:tcBorders>
              <w:top w:val="single" w:sz="4" w:space="0" w:color="000000"/>
              <w:left w:val="single" w:sz="4" w:space="0" w:color="000000"/>
              <w:bottom w:val="single" w:sz="4" w:space="0" w:color="000000"/>
              <w:right w:val="single" w:sz="4" w:space="0" w:color="000000"/>
            </w:tcBorders>
            <w:vAlign w:val="center"/>
          </w:tcPr>
          <w:p w:rsidR="00996CA9" w:rsidRPr="00E70515" w:rsidRDefault="00AE681F" w:rsidP="0021352F">
            <w:pPr>
              <w:spacing w:after="0" w:line="240" w:lineRule="auto"/>
              <w:jc w:val="center"/>
              <w:rPr>
                <w:rFonts w:eastAsia="Times New Roman" w:cs="Times New Roman"/>
                <w:sz w:val="16"/>
                <w:szCs w:val="16"/>
              </w:rPr>
            </w:pPr>
            <w:r w:rsidRPr="00E70515">
              <w:rPr>
                <w:rFonts w:eastAsia="Times New Roman" w:cs="Times New Roman"/>
                <w:sz w:val="16"/>
                <w:szCs w:val="16"/>
              </w:rPr>
              <w:t>Cheltuielile eligibile totale declarate de beneficiari către autoritatea de management</w:t>
            </w:r>
          </w:p>
        </w:tc>
        <w:tc>
          <w:tcPr>
            <w:tcW w:w="944" w:type="dxa"/>
            <w:tcBorders>
              <w:top w:val="single" w:sz="4" w:space="0" w:color="000000"/>
              <w:left w:val="single" w:sz="4" w:space="0" w:color="000000"/>
              <w:bottom w:val="single" w:sz="4" w:space="0" w:color="000000"/>
              <w:right w:val="single" w:sz="4" w:space="0" w:color="000000"/>
            </w:tcBorders>
            <w:vAlign w:val="center"/>
          </w:tcPr>
          <w:p w:rsidR="00996CA9" w:rsidRPr="00E70515" w:rsidRDefault="00AE681F" w:rsidP="0021352F">
            <w:pPr>
              <w:spacing w:after="0" w:line="240" w:lineRule="auto"/>
              <w:jc w:val="center"/>
              <w:rPr>
                <w:rFonts w:eastAsia="Times New Roman" w:cs="Times New Roman"/>
                <w:sz w:val="16"/>
                <w:szCs w:val="16"/>
              </w:rPr>
            </w:pPr>
            <w:r w:rsidRPr="00E70515">
              <w:rPr>
                <w:rFonts w:eastAsia="Times New Roman" w:cs="Times New Roman"/>
                <w:sz w:val="16"/>
                <w:szCs w:val="16"/>
              </w:rPr>
              <w:t>Număr de operațiuni selectate</w:t>
            </w:r>
          </w:p>
        </w:tc>
      </w:tr>
      <w:tr w:rsidR="00BE4830" w:rsidRPr="00F80C42" w:rsidTr="0021352F">
        <w:trPr>
          <w:trHeight w:hRule="exact" w:val="424"/>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AP 1</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puțin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7F2B63">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7F2B63">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0</w:t>
            </w:r>
          </w:p>
        </w:tc>
      </w:tr>
      <w:tr w:rsidR="00BE4830" w:rsidRPr="00F80C42" w:rsidTr="0021352F">
        <w:trPr>
          <w:trHeight w:hRule="exact" w:val="416"/>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before="10" w:after="0" w:line="240" w:lineRule="auto"/>
              <w:rPr>
                <w:sz w:val="16"/>
                <w:szCs w:val="16"/>
              </w:rPr>
            </w:pPr>
            <w:r w:rsidRPr="00F80C42">
              <w:rPr>
                <w:rFonts w:eastAsia="Times New Roman" w:cs="Times New Roman"/>
                <w:sz w:val="16"/>
                <w:szCs w:val="16"/>
              </w:rPr>
              <w:t>AP 1</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before="10" w:after="0" w:line="240" w:lineRule="auto"/>
              <w:rPr>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C60B13"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puțin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123</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281"/>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before="10" w:after="0" w:line="240" w:lineRule="auto"/>
              <w:rPr>
                <w:sz w:val="16"/>
                <w:szCs w:val="16"/>
              </w:rPr>
            </w:pPr>
            <w:r w:rsidRPr="00F80C42">
              <w:rPr>
                <w:rFonts w:eastAsia="Times New Roman" w:cs="Times New Roman"/>
                <w:sz w:val="16"/>
                <w:szCs w:val="16"/>
              </w:rPr>
              <w:t>AP 1</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before="10" w:after="0" w:line="240" w:lineRule="auto"/>
              <w:rPr>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C60B13"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287"/>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AP 1</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123</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417"/>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AP 2</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puțin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423"/>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before="10" w:after="0" w:line="240" w:lineRule="auto"/>
              <w:rPr>
                <w:sz w:val="16"/>
                <w:szCs w:val="16"/>
              </w:rPr>
            </w:pPr>
            <w:r w:rsidRPr="00F80C42">
              <w:rPr>
                <w:rFonts w:eastAsia="Times New Roman" w:cs="Times New Roman"/>
                <w:sz w:val="16"/>
                <w:szCs w:val="16"/>
              </w:rPr>
              <w:t>AP 2</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puțin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122</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286"/>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AP 2</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277"/>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before="10" w:after="0" w:line="240" w:lineRule="auto"/>
              <w:rPr>
                <w:sz w:val="16"/>
                <w:szCs w:val="16"/>
              </w:rPr>
            </w:pPr>
            <w:r w:rsidRPr="00F80C42">
              <w:rPr>
                <w:rFonts w:eastAsia="Times New Roman" w:cs="Times New Roman"/>
                <w:sz w:val="16"/>
                <w:szCs w:val="16"/>
              </w:rPr>
              <w:t>AP 2</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122</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436"/>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before="10" w:after="0" w:line="240" w:lineRule="auto"/>
              <w:rPr>
                <w:sz w:val="16"/>
                <w:szCs w:val="16"/>
              </w:rPr>
            </w:pPr>
            <w:r w:rsidRPr="00F80C42">
              <w:rPr>
                <w:rFonts w:eastAsia="Times New Roman" w:cs="Times New Roman"/>
                <w:sz w:val="16"/>
                <w:szCs w:val="16"/>
              </w:rPr>
              <w:t>AP 3</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puțin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r w:rsidR="00BE4830" w:rsidRPr="00F80C42" w:rsidTr="0021352F">
        <w:trPr>
          <w:trHeight w:hRule="exact" w:val="286"/>
        </w:trPr>
        <w:tc>
          <w:tcPr>
            <w:tcW w:w="69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AP 3</w:t>
            </w:r>
          </w:p>
        </w:tc>
        <w:tc>
          <w:tcPr>
            <w:tcW w:w="70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FEDR</w:t>
            </w:r>
          </w:p>
        </w:tc>
        <w:tc>
          <w:tcPr>
            <w:tcW w:w="113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after="0" w:line="240" w:lineRule="auto"/>
              <w:rPr>
                <w:rFonts w:eastAsia="Times New Roman" w:cs="Times New Roman"/>
                <w:sz w:val="16"/>
                <w:szCs w:val="16"/>
              </w:rPr>
            </w:pPr>
            <w:r w:rsidRPr="00F80C42">
              <w:rPr>
                <w:rFonts w:eastAsia="Times New Roman" w:cs="Times New Roman"/>
                <w:sz w:val="16"/>
                <w:szCs w:val="16"/>
              </w:rPr>
              <w:t>Mai dezvoltate</w:t>
            </w:r>
          </w:p>
        </w:tc>
        <w:tc>
          <w:tcPr>
            <w:tcW w:w="99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Pr>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955AE2">
              <w:rPr>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AD269C">
              <w:rPr>
                <w:sz w:val="16"/>
                <w:szCs w:val="16"/>
              </w:rPr>
              <w:t>07</w:t>
            </w:r>
          </w:p>
        </w:tc>
        <w:tc>
          <w:tcPr>
            <w:tcW w:w="1028"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57"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113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931"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FB521B">
              <w:rPr>
                <w:sz w:val="16"/>
                <w:szCs w:val="16"/>
              </w:rPr>
              <w:t>-</w:t>
            </w:r>
          </w:p>
        </w:tc>
        <w:tc>
          <w:tcPr>
            <w:tcW w:w="82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34746D">
              <w:rPr>
                <w:sz w:val="16"/>
                <w:szCs w:val="16"/>
              </w:rPr>
              <w:t>RO</w:t>
            </w:r>
          </w:p>
        </w:tc>
        <w:tc>
          <w:tcPr>
            <w:tcW w:w="1082"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30"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1179"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CF1AEF">
              <w:rPr>
                <w:sz w:val="16"/>
                <w:szCs w:val="16"/>
              </w:rPr>
              <w:t>0,00</w:t>
            </w:r>
          </w:p>
        </w:tc>
        <w:tc>
          <w:tcPr>
            <w:tcW w:w="944" w:type="dxa"/>
            <w:tcBorders>
              <w:top w:val="single" w:sz="4" w:space="0" w:color="000000"/>
              <w:left w:val="single" w:sz="4" w:space="0" w:color="000000"/>
              <w:bottom w:val="single" w:sz="4" w:space="0" w:color="000000"/>
              <w:right w:val="single" w:sz="4" w:space="0" w:color="000000"/>
            </w:tcBorders>
          </w:tcPr>
          <w:p w:rsidR="00BE4830" w:rsidRPr="00F80C42" w:rsidRDefault="00BE4830" w:rsidP="0021352F">
            <w:pPr>
              <w:spacing w:line="240" w:lineRule="auto"/>
              <w:jc w:val="center"/>
              <w:rPr>
                <w:sz w:val="16"/>
                <w:szCs w:val="16"/>
              </w:rPr>
            </w:pPr>
            <w:r w:rsidRPr="00516B86">
              <w:rPr>
                <w:sz w:val="16"/>
                <w:szCs w:val="16"/>
              </w:rPr>
              <w:t>0</w:t>
            </w:r>
          </w:p>
        </w:tc>
      </w:tr>
    </w:tbl>
    <w:p w:rsidR="00996CA9" w:rsidRDefault="00996CA9" w:rsidP="00235973">
      <w:pPr>
        <w:spacing w:after="0"/>
      </w:pPr>
    </w:p>
    <w:p w:rsidR="00235973" w:rsidRPr="00235973" w:rsidRDefault="00235973" w:rsidP="00235973">
      <w:pPr>
        <w:spacing w:after="0"/>
        <w:rPr>
          <w:b/>
        </w:rPr>
      </w:pPr>
      <w:r w:rsidRPr="00235973">
        <w:rPr>
          <w:b/>
        </w:rPr>
        <w:t>Tabelul 8 Utilizarea finanțării încrucișate</w:t>
      </w:r>
    </w:p>
    <w:p w:rsidR="00235973" w:rsidRDefault="00235973" w:rsidP="00235973">
      <w:pPr>
        <w:spacing w:after="0"/>
      </w:pPr>
    </w:p>
    <w:p w:rsidR="00235973" w:rsidRDefault="00235973" w:rsidP="00235973">
      <w:pPr>
        <w:spacing w:after="0"/>
      </w:pPr>
      <w:r>
        <w:t>Nu este cazul pentru POAT.</w:t>
      </w:r>
    </w:p>
    <w:p w:rsidR="00235973" w:rsidRDefault="00235973" w:rsidP="00235973">
      <w:pPr>
        <w:spacing w:after="0"/>
      </w:pPr>
    </w:p>
    <w:p w:rsidR="00235973" w:rsidRPr="00235973" w:rsidRDefault="00235973" w:rsidP="00235973">
      <w:pPr>
        <w:spacing w:after="0"/>
        <w:rPr>
          <w:b/>
        </w:rPr>
      </w:pPr>
      <w:r w:rsidRPr="00235973">
        <w:rPr>
          <w:b/>
        </w:rPr>
        <w:t>Tabelul 9 Costul operațiunilor implementate în afara zonei vizate de program (FEDR și Fondul de coeziune în cadrul obiectivului privind investițiile pentru creștere economică și locuri de muncă)</w:t>
      </w:r>
    </w:p>
    <w:p w:rsidR="00235973" w:rsidRDefault="00235973" w:rsidP="00235973">
      <w:pPr>
        <w:spacing w:after="0"/>
      </w:pPr>
    </w:p>
    <w:p w:rsidR="00235973" w:rsidRDefault="00235973" w:rsidP="00235973">
      <w:pPr>
        <w:spacing w:after="0"/>
      </w:pPr>
      <w:r>
        <w:t>Nu este cazul pentru POAT.</w:t>
      </w:r>
    </w:p>
    <w:p w:rsidR="00235973" w:rsidRDefault="00235973" w:rsidP="00235973">
      <w:pPr>
        <w:spacing w:after="0"/>
      </w:pPr>
    </w:p>
    <w:p w:rsidR="00235973" w:rsidRPr="00F3668F" w:rsidRDefault="00F3668F" w:rsidP="00235973">
      <w:pPr>
        <w:spacing w:after="0"/>
        <w:rPr>
          <w:b/>
        </w:rPr>
      </w:pPr>
      <w:r w:rsidRPr="00F3668F">
        <w:rPr>
          <w:b/>
        </w:rPr>
        <w:t>Tabelul 10 Cheltuieli suportate în afara Uniunii (FSE)</w:t>
      </w:r>
    </w:p>
    <w:p w:rsidR="00F3668F" w:rsidRDefault="00F3668F" w:rsidP="00F3668F">
      <w:pPr>
        <w:tabs>
          <w:tab w:val="left" w:pos="3831"/>
        </w:tabs>
        <w:spacing w:after="0"/>
      </w:pPr>
      <w:r>
        <w:tab/>
      </w:r>
    </w:p>
    <w:p w:rsidR="00F3668F" w:rsidRDefault="00F3668F" w:rsidP="00F3668F">
      <w:pPr>
        <w:spacing w:after="0"/>
      </w:pPr>
      <w:r>
        <w:t>Nu este cazul pentru POAT.</w:t>
      </w:r>
    </w:p>
    <w:p w:rsidR="00F3668F" w:rsidRDefault="00F3668F" w:rsidP="00F3668F">
      <w:pPr>
        <w:spacing w:after="0"/>
      </w:pPr>
    </w:p>
    <w:p w:rsidR="00F3668F" w:rsidRPr="00F3668F" w:rsidRDefault="00F3668F" w:rsidP="00235973">
      <w:pPr>
        <w:spacing w:after="0"/>
        <w:rPr>
          <w:b/>
        </w:rPr>
      </w:pPr>
      <w:r w:rsidRPr="00F3668F">
        <w:rPr>
          <w:b/>
        </w:rPr>
        <w:t>Tabelul 11 Alocarea resurselor YEI tinerilor din afara regiunilor de nivel NUTS 2 eligibile</w:t>
      </w:r>
    </w:p>
    <w:p w:rsidR="00F3668F" w:rsidRDefault="00F3668F" w:rsidP="00F3668F">
      <w:pPr>
        <w:tabs>
          <w:tab w:val="left" w:pos="3831"/>
        </w:tabs>
        <w:spacing w:after="0"/>
      </w:pPr>
    </w:p>
    <w:p w:rsidR="00F3668F" w:rsidRDefault="00F3668F" w:rsidP="00F3668F">
      <w:pPr>
        <w:spacing w:after="0"/>
      </w:pPr>
      <w:r>
        <w:t>Nu este cazul pentru POAT.</w:t>
      </w:r>
    </w:p>
    <w:p w:rsidR="00F3668F" w:rsidRDefault="00F3668F" w:rsidP="00F3668F">
      <w:pPr>
        <w:spacing w:after="0"/>
      </w:pPr>
    </w:p>
    <w:p w:rsidR="00F3668F" w:rsidRDefault="00F3668F" w:rsidP="00235973">
      <w:pPr>
        <w:spacing w:after="0"/>
      </w:pPr>
    </w:p>
    <w:p w:rsidR="00235973" w:rsidRDefault="00235973" w:rsidP="00235973">
      <w:pPr>
        <w:spacing w:after="0"/>
      </w:pPr>
    </w:p>
    <w:p w:rsidR="00235973" w:rsidRPr="00F80C42" w:rsidRDefault="00235973" w:rsidP="00235973">
      <w:pPr>
        <w:spacing w:after="0"/>
        <w:sectPr w:rsidR="00235973" w:rsidRPr="00F80C42" w:rsidSect="00C87FC6">
          <w:pgSz w:w="16840" w:h="11907" w:orient="landscape" w:code="9"/>
          <w:pgMar w:top="1077" w:right="1100" w:bottom="1179" w:left="1298" w:header="0" w:footer="998" w:gutter="0"/>
          <w:cols w:space="708"/>
        </w:sectPr>
      </w:pPr>
    </w:p>
    <w:p w:rsidR="00D67D79" w:rsidRPr="00F80C42" w:rsidRDefault="002754EB" w:rsidP="00C60B13">
      <w:pPr>
        <w:pStyle w:val="Heading1"/>
        <w:numPr>
          <w:ilvl w:val="0"/>
          <w:numId w:val="29"/>
        </w:numPr>
      </w:pPr>
      <w:bookmarkStart w:id="7" w:name="_Toc451439491"/>
      <w:r w:rsidRPr="00F80C42">
        <w:lastRenderedPageBreak/>
        <w:t>Sinteza evaluărilor (10</w:t>
      </w:r>
      <w:r w:rsidR="00F3668F">
        <w:t>.</w:t>
      </w:r>
      <w:r w:rsidRPr="00F80C42">
        <w:t>500 caractere)</w:t>
      </w:r>
      <w:bookmarkEnd w:id="7"/>
    </w:p>
    <w:p w:rsidR="00C60B13" w:rsidRDefault="00C60B13" w:rsidP="004E5547">
      <w:pPr>
        <w:jc w:val="both"/>
      </w:pPr>
    </w:p>
    <w:p w:rsidR="007F449F" w:rsidRDefault="00ED6D24" w:rsidP="007F449F">
      <w:pPr>
        <w:jc w:val="both"/>
      </w:pPr>
      <w:r w:rsidRPr="007350F3">
        <w:rPr>
          <w:b/>
        </w:rPr>
        <w:t>Planul de Evaluare POAT 2014-2020</w:t>
      </w:r>
      <w:r w:rsidRPr="00F80C42">
        <w:t xml:space="preserve"> </w:t>
      </w:r>
      <w:r w:rsidR="00B976BD" w:rsidRPr="00F80C42">
        <w:t>este un document strategic prin care se stabilește modul de organizare a evaluărilor ce se vor realiza pe parcursul noului exercițiu financiar</w:t>
      </w:r>
      <w:r w:rsidR="007F449F">
        <w:t>, acesta fiind</w:t>
      </w:r>
      <w:r w:rsidRPr="00F80C42">
        <w:t xml:space="preserve"> aprobat în cadrul reuniunii CM</w:t>
      </w:r>
      <w:r w:rsidR="00B976BD" w:rsidRPr="00F80C42">
        <w:t>POAT organizată</w:t>
      </w:r>
      <w:r w:rsidRPr="00F80C42">
        <w:t xml:space="preserve"> în data de 9 iunie 2015</w:t>
      </w:r>
      <w:r w:rsidR="007F449F">
        <w:t>.</w:t>
      </w:r>
      <w:r w:rsidRPr="00F80C42">
        <w:t xml:space="preserve"> </w:t>
      </w:r>
      <w:r w:rsidR="007F449F">
        <w:t>V</w:t>
      </w:r>
      <w:r w:rsidRPr="00F80C42">
        <w:t xml:space="preserve">ersiunea finală a </w:t>
      </w:r>
      <w:r w:rsidR="007F449F">
        <w:t>documentului</w:t>
      </w:r>
      <w:r w:rsidR="007F449F" w:rsidRPr="00F80C42">
        <w:t xml:space="preserve"> </w:t>
      </w:r>
      <w:r w:rsidRPr="00F80C42">
        <w:t>a fost publicată pe site-ul ministerului (http://www.fonduri-ue.ro/poat-2014#implementare-program) și transmisă C</w:t>
      </w:r>
      <w:r w:rsidR="007F449F">
        <w:t xml:space="preserve">omisiei </w:t>
      </w:r>
      <w:r w:rsidRPr="00F80C42">
        <w:t>E</w:t>
      </w:r>
      <w:r w:rsidR="007F449F">
        <w:t>uropene</w:t>
      </w:r>
      <w:r w:rsidRPr="00F80C42">
        <w:t xml:space="preserve"> prin SFC2014 în data de 16 septembrie 2015.</w:t>
      </w:r>
      <w:r w:rsidR="007F449F">
        <w:t xml:space="preserve"> Conform planului de evaluare, pe parcursul perioadei de programare, vor fi realizate patru rapoarte de evaluare în 2017, 2019, 2021 și 2023.</w:t>
      </w:r>
    </w:p>
    <w:p w:rsidR="007F449F" w:rsidRPr="007F449F" w:rsidRDefault="007F449F" w:rsidP="007F449F">
      <w:pPr>
        <w:jc w:val="both"/>
      </w:pPr>
      <w:r>
        <w:t xml:space="preserve">Pentru a valorifica experiența exercițiului anterior, </w:t>
      </w:r>
      <w:r w:rsidRPr="007350F3">
        <w:rPr>
          <w:b/>
        </w:rPr>
        <w:t>recomandările formulate în urma evaluării de impact a POAT 2007-2013</w:t>
      </w:r>
      <w:r w:rsidRPr="006F7205">
        <w:t>, realizate în cursul anului 2015, au fost transpuse în lecții învățate, astfel:</w:t>
      </w:r>
    </w:p>
    <w:p w:rsidR="00BC3779" w:rsidRPr="007350F3" w:rsidRDefault="00BC3779" w:rsidP="007350F3">
      <w:pPr>
        <w:pStyle w:val="ListParagraph"/>
        <w:numPr>
          <w:ilvl w:val="0"/>
          <w:numId w:val="36"/>
        </w:numPr>
        <w:jc w:val="both"/>
      </w:pPr>
      <w:r w:rsidRPr="007350F3">
        <w:t>D</w:t>
      </w:r>
      <w:r w:rsidR="00B7565E">
        <w:t xml:space="preserve">omeniul </w:t>
      </w:r>
      <w:r w:rsidRPr="007350F3">
        <w:t>M</w:t>
      </w:r>
      <w:r w:rsidR="00B7565E">
        <w:t xml:space="preserve">ajor de </w:t>
      </w:r>
      <w:r w:rsidRPr="007350F3">
        <w:t>I</w:t>
      </w:r>
      <w:r w:rsidR="00B7565E">
        <w:t>ntervenție (DMI)</w:t>
      </w:r>
      <w:r w:rsidRPr="007350F3">
        <w:t xml:space="preserve"> 1.1. Sprijin pentru managementul </w:t>
      </w:r>
      <w:r w:rsidR="007F449F" w:rsidRPr="006F7205">
        <w:t>și</w:t>
      </w:r>
      <w:r w:rsidRPr="007350F3">
        <w:t xml:space="preserve"> implementarea Instrumentelor Structurale din cadrul </w:t>
      </w:r>
      <w:r w:rsidR="007F449F">
        <w:t>POAT</w:t>
      </w:r>
      <w:r w:rsidRPr="007350F3">
        <w:t xml:space="preserve"> 2007-2013</w:t>
      </w:r>
    </w:p>
    <w:p w:rsidR="00BC3779" w:rsidRPr="006F7205" w:rsidRDefault="00BC3779" w:rsidP="007350F3">
      <w:pPr>
        <w:jc w:val="both"/>
      </w:pPr>
      <w:r w:rsidRPr="007350F3">
        <w:t xml:space="preserve">Evaluarea </w:t>
      </w:r>
      <w:r w:rsidR="007F449F">
        <w:t>a evidențiat faptul că</w:t>
      </w:r>
      <w:r w:rsidRPr="007350F3">
        <w:t xml:space="preserve"> proiectele finanțate în cadrul acestui DMI</w:t>
      </w:r>
      <w:r w:rsidR="00854E3F" w:rsidRPr="007350F3">
        <w:t xml:space="preserve"> </w:t>
      </w:r>
      <w:r w:rsidRPr="007350F3">
        <w:t>au contribuit la sporirea stabilității și motivației personalului implicat în gestionarea și implementarea Instrumentelor Structurale.</w:t>
      </w:r>
      <w:r w:rsidRPr="006F7205">
        <w:t xml:space="preserve"> </w:t>
      </w:r>
      <w:r w:rsidR="008D51F9">
        <w:t>Printre r</w:t>
      </w:r>
      <w:r w:rsidRPr="007350F3">
        <w:t>ecomandări</w:t>
      </w:r>
      <w:r w:rsidR="008D51F9">
        <w:t>le ce pot duce la utilizarea mai eficientă a asistenței tehnice în perioada</w:t>
      </w:r>
      <w:r w:rsidRPr="007350F3">
        <w:t xml:space="preserve"> 2014-2020, </w:t>
      </w:r>
      <w:r w:rsidR="008D51F9">
        <w:t>se regăsesc</w:t>
      </w:r>
      <w:r w:rsidRPr="007350F3">
        <w:t>:</w:t>
      </w:r>
    </w:p>
    <w:p w:rsidR="00BC3779" w:rsidRDefault="00BC3779" w:rsidP="007350F3">
      <w:pPr>
        <w:jc w:val="both"/>
      </w:pPr>
      <w:r>
        <w:t>-</w:t>
      </w:r>
      <w:r w:rsidRPr="00BC3779">
        <w:t xml:space="preserve"> introducerea cadrului de competențe la nivelul </w:t>
      </w:r>
      <w:r w:rsidR="008D51F9">
        <w:t>autorităților de management</w:t>
      </w:r>
      <w:r w:rsidRPr="00BC3779">
        <w:t xml:space="preserve">, </w:t>
      </w:r>
      <w:r w:rsidR="008D51F9">
        <w:t>organismelor intermediare,</w:t>
      </w:r>
      <w:r w:rsidRPr="00BC3779">
        <w:t xml:space="preserve"> </w:t>
      </w:r>
      <w:r w:rsidR="008D51F9">
        <w:t>Autorității de Audit</w:t>
      </w:r>
      <w:r w:rsidRPr="00BC3779">
        <w:t>, A</w:t>
      </w:r>
      <w:r w:rsidR="008D51F9">
        <w:t>utorității de Certificare și Plată</w:t>
      </w:r>
      <w:r w:rsidRPr="00BC3779">
        <w:t>, potrivit cadrului de competențe dezvoltat de DG REGIO</w:t>
      </w:r>
      <w:r>
        <w:t>;</w:t>
      </w:r>
    </w:p>
    <w:p w:rsidR="00BC3779" w:rsidRPr="007350F3" w:rsidRDefault="00BC3779" w:rsidP="007350F3">
      <w:pPr>
        <w:jc w:val="both"/>
        <w:rPr>
          <w:b/>
        </w:rPr>
      </w:pPr>
      <w:r>
        <w:t>-</w:t>
      </w:r>
      <w:r w:rsidRPr="00BC3779">
        <w:t xml:space="preserve"> auditarea noului sistem de performanță individuală, fundamentarea nevoilor de asistență tehnică</w:t>
      </w:r>
      <w:r w:rsidR="008D51F9" w:rsidRPr="008D51F9">
        <w:t xml:space="preserve"> </w:t>
      </w:r>
      <w:r w:rsidR="008D51F9">
        <w:t xml:space="preserve">și </w:t>
      </w:r>
      <w:r w:rsidR="008D51F9" w:rsidRPr="00BC3779">
        <w:t>monitorizarea utilizării rezultatelor</w:t>
      </w:r>
      <w:r w:rsidR="008D51F9">
        <w:t xml:space="preserve"> acestor proiecte</w:t>
      </w:r>
      <w:r w:rsidRPr="00BC3779">
        <w:t>, definirea criteriilor de selecție pentru consultanți și actualizarea analizei nevoilor de asistență tehnică pentru o mai bună adaptare a asistenței la schimbările contextuale.</w:t>
      </w:r>
    </w:p>
    <w:p w:rsidR="00BC3779" w:rsidRPr="007350F3" w:rsidRDefault="00D54E4A" w:rsidP="007350F3">
      <w:pPr>
        <w:pStyle w:val="ListParagraph"/>
        <w:numPr>
          <w:ilvl w:val="0"/>
          <w:numId w:val="36"/>
        </w:numPr>
        <w:jc w:val="both"/>
      </w:pPr>
      <w:r w:rsidRPr="007350F3">
        <w:t xml:space="preserve">DMI 1.3. Formare orizontală în domeniul gestionării programelor/proiectelor, din cadrul </w:t>
      </w:r>
      <w:r w:rsidR="008D51F9">
        <w:t>POAT</w:t>
      </w:r>
      <w:r w:rsidRPr="007350F3">
        <w:t xml:space="preserve"> 2007-2013</w:t>
      </w:r>
    </w:p>
    <w:p w:rsidR="00854E3F" w:rsidRPr="007350F3" w:rsidRDefault="008E3F7D" w:rsidP="007350F3">
      <w:pPr>
        <w:jc w:val="both"/>
      </w:pPr>
      <w:r w:rsidRPr="007350F3">
        <w:t xml:space="preserve">Evaluarea </w:t>
      </w:r>
      <w:r w:rsidR="008D51F9">
        <w:t>a subliniat faptul</w:t>
      </w:r>
      <w:r w:rsidRPr="007350F3">
        <w:t xml:space="preserve"> că proiectele finanțate în cadrul acestui DMI au contribuit la </w:t>
      </w:r>
      <w:r w:rsidR="008D51F9">
        <w:t>îmbunătățirea</w:t>
      </w:r>
      <w:r w:rsidRPr="007350F3">
        <w:t xml:space="preserve"> </w:t>
      </w:r>
      <w:r w:rsidR="008D51F9" w:rsidRPr="006F7205">
        <w:t>cunoștințelor</w:t>
      </w:r>
      <w:r w:rsidRPr="007350F3">
        <w:t xml:space="preserve">, </w:t>
      </w:r>
      <w:r w:rsidR="008D51F9" w:rsidRPr="006F7205">
        <w:t>abilităților</w:t>
      </w:r>
      <w:r w:rsidRPr="007350F3">
        <w:t xml:space="preserve"> și performanței personalului implicat în gestionarea și implementarea Instrumentelor Structurale, precum </w:t>
      </w:r>
      <w:r w:rsidR="008D51F9" w:rsidRPr="006F7205">
        <w:t>și</w:t>
      </w:r>
      <w:r w:rsidRPr="007350F3">
        <w:t xml:space="preserve"> la sporirea </w:t>
      </w:r>
      <w:r w:rsidR="008D51F9" w:rsidRPr="006F7205">
        <w:t>performanțelor</w:t>
      </w:r>
      <w:r w:rsidRPr="007350F3">
        <w:t xml:space="preserve"> </w:t>
      </w:r>
      <w:r w:rsidR="008D51F9" w:rsidRPr="006F7205">
        <w:t>organizaționale</w:t>
      </w:r>
      <w:r w:rsidRPr="007350F3">
        <w:t>.</w:t>
      </w:r>
      <w:r w:rsidRPr="006F7205">
        <w:t xml:space="preserve"> </w:t>
      </w:r>
      <w:r w:rsidR="008D51F9">
        <w:t>Una dintre recomandările care poate conduce la</w:t>
      </w:r>
      <w:r w:rsidRPr="007350F3">
        <w:t xml:space="preserve"> îmbunătățirea impactului activităților similare în perioada de programare 2014-2020</w:t>
      </w:r>
      <w:r w:rsidR="008D51F9">
        <w:t xml:space="preserve"> este:</w:t>
      </w:r>
    </w:p>
    <w:p w:rsidR="008E3F7D" w:rsidRPr="007350F3" w:rsidRDefault="008E3F7D" w:rsidP="008E3F7D">
      <w:pPr>
        <w:jc w:val="both"/>
      </w:pPr>
      <w:r w:rsidRPr="007350F3">
        <w:t>-</w:t>
      </w:r>
      <w:r w:rsidRPr="006F7205">
        <w:t xml:space="preserve"> </w:t>
      </w:r>
      <w:r w:rsidRPr="007350F3">
        <w:t xml:space="preserve">efectuarea unei analize a nevoilor de formare profesională care să cuprindă </w:t>
      </w:r>
      <w:r w:rsidR="008D51F9">
        <w:t xml:space="preserve">atât </w:t>
      </w:r>
      <w:r w:rsidRPr="007350F3">
        <w:t xml:space="preserve">beneficiarii finali și potențiali ai FESI, </w:t>
      </w:r>
      <w:r w:rsidR="008D51F9">
        <w:t>cât și</w:t>
      </w:r>
      <w:r w:rsidRPr="007350F3">
        <w:t xml:space="preserve"> personalul din structurile de coordonare, gestionare și control</w:t>
      </w:r>
      <w:r w:rsidR="008D51F9">
        <w:t>.</w:t>
      </w:r>
    </w:p>
    <w:p w:rsidR="00854E3F" w:rsidRPr="007350F3" w:rsidRDefault="00B14064" w:rsidP="007350F3">
      <w:pPr>
        <w:pStyle w:val="ListParagraph"/>
        <w:numPr>
          <w:ilvl w:val="0"/>
          <w:numId w:val="36"/>
        </w:numPr>
        <w:jc w:val="both"/>
      </w:pPr>
      <w:r>
        <w:t>AP</w:t>
      </w:r>
      <w:r w:rsidR="00F549B3" w:rsidRPr="007350F3">
        <w:t xml:space="preserve"> 3 -</w:t>
      </w:r>
      <w:r w:rsidR="008D51F9">
        <w:t xml:space="preserve"> </w:t>
      </w:r>
      <w:r w:rsidR="00F549B3" w:rsidRPr="007350F3">
        <w:t xml:space="preserve">Diseminarea </w:t>
      </w:r>
      <w:r w:rsidR="008D51F9" w:rsidRPr="006F7205">
        <w:t>informației</w:t>
      </w:r>
      <w:r w:rsidR="00F549B3" w:rsidRPr="007350F3">
        <w:t xml:space="preserve"> </w:t>
      </w:r>
      <w:r w:rsidR="008D51F9" w:rsidRPr="006F7205">
        <w:t>și</w:t>
      </w:r>
      <w:r w:rsidR="00F549B3" w:rsidRPr="007350F3">
        <w:t xml:space="preserve"> promovarea Instrumentelor Structurale, din cadrul </w:t>
      </w:r>
      <w:r w:rsidR="008D51F9">
        <w:t>POAT</w:t>
      </w:r>
      <w:r w:rsidR="00F549B3" w:rsidRPr="007350F3">
        <w:t xml:space="preserve"> 2007-2013</w:t>
      </w:r>
    </w:p>
    <w:p w:rsidR="00B14064" w:rsidRPr="007350F3" w:rsidRDefault="001E327B" w:rsidP="007350F3">
      <w:pPr>
        <w:jc w:val="both"/>
      </w:pPr>
      <w:r>
        <w:t>Pe parcursul noului exercițiu de programare, se vor avea în vedere recomandările privind:</w:t>
      </w:r>
    </w:p>
    <w:p w:rsidR="00F549B3" w:rsidRPr="007350F3" w:rsidRDefault="00F549B3" w:rsidP="007350F3">
      <w:pPr>
        <w:pStyle w:val="yiv846204019msonormal"/>
        <w:spacing w:after="120" w:line="240" w:lineRule="auto"/>
        <w:jc w:val="both"/>
        <w:rPr>
          <w:rFonts w:asciiTheme="minorHAnsi" w:eastAsiaTheme="minorHAnsi" w:hAnsiTheme="minorHAnsi" w:cstheme="minorBidi"/>
          <w:kern w:val="0"/>
          <w:sz w:val="22"/>
          <w:szCs w:val="22"/>
          <w:lang w:val="ro-RO" w:eastAsia="en-US"/>
        </w:rPr>
      </w:pPr>
      <w:r>
        <w:rPr>
          <w:rFonts w:asciiTheme="minorHAnsi" w:hAnsiTheme="minorHAnsi"/>
          <w:lang w:val="ro-RO"/>
        </w:rPr>
        <w:lastRenderedPageBreak/>
        <w:t>-</w:t>
      </w:r>
      <w:r w:rsidRPr="00F549B3">
        <w:t xml:space="preserve"> </w:t>
      </w:r>
      <w:r w:rsidRPr="007350F3">
        <w:rPr>
          <w:rFonts w:asciiTheme="minorHAnsi" w:eastAsiaTheme="minorHAnsi" w:hAnsiTheme="minorHAnsi" w:cstheme="minorBidi"/>
          <w:kern w:val="0"/>
          <w:sz w:val="22"/>
          <w:szCs w:val="22"/>
          <w:lang w:val="ro-RO" w:eastAsia="en-US"/>
        </w:rPr>
        <w:t>întărirea funcției MFE de a coordona acțiunile de comunicare a mesaj</w:t>
      </w:r>
      <w:r w:rsidR="00BE7440" w:rsidRPr="007350F3">
        <w:rPr>
          <w:rFonts w:asciiTheme="minorHAnsi" w:eastAsiaTheme="minorHAnsi" w:hAnsiTheme="minorHAnsi" w:cstheme="minorBidi"/>
          <w:kern w:val="0"/>
          <w:sz w:val="22"/>
          <w:szCs w:val="22"/>
          <w:lang w:val="ro-RO" w:eastAsia="en-US"/>
        </w:rPr>
        <w:t>elor generale privind IS/FESI (î</w:t>
      </w:r>
      <w:r w:rsidRPr="007350F3">
        <w:rPr>
          <w:rFonts w:asciiTheme="minorHAnsi" w:eastAsiaTheme="minorHAnsi" w:hAnsiTheme="minorHAnsi" w:cstheme="minorBidi"/>
          <w:kern w:val="0"/>
          <w:sz w:val="22"/>
          <w:szCs w:val="22"/>
          <w:lang w:val="ro-RO" w:eastAsia="en-US"/>
        </w:rPr>
        <w:t>n urma analizării opțiunilor existente pentru coordonarea acțiunilor de comunicare, C</w:t>
      </w:r>
      <w:r w:rsidR="00B14064">
        <w:rPr>
          <w:rFonts w:asciiTheme="minorHAnsi" w:eastAsiaTheme="minorHAnsi" w:hAnsiTheme="minorHAnsi" w:cstheme="minorBidi"/>
          <w:kern w:val="0"/>
          <w:sz w:val="22"/>
          <w:szCs w:val="22"/>
          <w:lang w:val="ro-RO" w:eastAsia="en-US"/>
        </w:rPr>
        <w:t xml:space="preserve">omitetul de </w:t>
      </w:r>
      <w:r w:rsidRPr="007350F3">
        <w:rPr>
          <w:rFonts w:asciiTheme="minorHAnsi" w:eastAsiaTheme="minorHAnsi" w:hAnsiTheme="minorHAnsi" w:cstheme="minorBidi"/>
          <w:kern w:val="0"/>
          <w:sz w:val="22"/>
          <w:szCs w:val="22"/>
          <w:lang w:val="ro-RO" w:eastAsia="en-US"/>
        </w:rPr>
        <w:t>C</w:t>
      </w:r>
      <w:r w:rsidR="00B14064">
        <w:rPr>
          <w:rFonts w:asciiTheme="minorHAnsi" w:eastAsiaTheme="minorHAnsi" w:hAnsiTheme="minorHAnsi" w:cstheme="minorBidi"/>
          <w:kern w:val="0"/>
          <w:sz w:val="22"/>
          <w:szCs w:val="22"/>
          <w:lang w:val="ro-RO" w:eastAsia="en-US"/>
        </w:rPr>
        <w:t xml:space="preserve">oordonare a </w:t>
      </w:r>
      <w:r w:rsidRPr="007350F3">
        <w:rPr>
          <w:rFonts w:asciiTheme="minorHAnsi" w:eastAsiaTheme="minorHAnsi" w:hAnsiTheme="minorHAnsi" w:cstheme="minorBidi"/>
          <w:kern w:val="0"/>
          <w:sz w:val="22"/>
          <w:szCs w:val="22"/>
          <w:lang w:val="ro-RO" w:eastAsia="en-US"/>
        </w:rPr>
        <w:t>E</w:t>
      </w:r>
      <w:r w:rsidR="00B14064">
        <w:rPr>
          <w:rFonts w:asciiTheme="minorHAnsi" w:eastAsiaTheme="minorHAnsi" w:hAnsiTheme="minorHAnsi" w:cstheme="minorBidi"/>
          <w:kern w:val="0"/>
          <w:sz w:val="22"/>
          <w:szCs w:val="22"/>
          <w:lang w:val="ro-RO" w:eastAsia="en-US"/>
        </w:rPr>
        <w:t>valuării pentru POAT</w:t>
      </w:r>
      <w:r w:rsidRPr="007350F3">
        <w:rPr>
          <w:rFonts w:asciiTheme="minorHAnsi" w:eastAsiaTheme="minorHAnsi" w:hAnsiTheme="minorHAnsi" w:cstheme="minorBidi"/>
          <w:kern w:val="0"/>
          <w:sz w:val="22"/>
          <w:szCs w:val="22"/>
          <w:lang w:val="ro-RO" w:eastAsia="en-US"/>
        </w:rPr>
        <w:t xml:space="preserve"> a optat pentru realizarea anuală a unor planuri de acțiune în domeniul comunicării care să fie agreate în Grupul de Lucru pentru Comunicare și apoi aprobate de conducătorul instituției relevante </w:t>
      </w:r>
      <w:r w:rsidR="00B14064">
        <w:rPr>
          <w:rFonts w:asciiTheme="minorHAnsi" w:eastAsiaTheme="minorHAnsi" w:hAnsiTheme="minorHAnsi" w:cstheme="minorBidi"/>
          <w:kern w:val="0"/>
          <w:sz w:val="22"/>
          <w:szCs w:val="22"/>
          <w:lang w:val="ro-RO" w:eastAsia="en-US"/>
        </w:rPr>
        <w:t xml:space="preserve">- </w:t>
      </w:r>
      <w:r w:rsidRPr="007350F3">
        <w:rPr>
          <w:rFonts w:asciiTheme="minorHAnsi" w:eastAsiaTheme="minorHAnsi" w:hAnsiTheme="minorHAnsi" w:cstheme="minorBidi"/>
          <w:kern w:val="0"/>
          <w:sz w:val="22"/>
          <w:szCs w:val="22"/>
          <w:lang w:val="ro-RO" w:eastAsia="en-US"/>
        </w:rPr>
        <w:t>MFE/MDRAP/MADR, după caz</w:t>
      </w:r>
      <w:r w:rsidR="00BE7440" w:rsidRPr="007350F3">
        <w:rPr>
          <w:rFonts w:asciiTheme="minorHAnsi" w:eastAsiaTheme="minorHAnsi" w:hAnsiTheme="minorHAnsi" w:cstheme="minorBidi"/>
          <w:kern w:val="0"/>
          <w:sz w:val="22"/>
          <w:szCs w:val="22"/>
          <w:lang w:val="ro-RO" w:eastAsia="en-US"/>
        </w:rPr>
        <w:t>)</w:t>
      </w:r>
      <w:r w:rsidRPr="007350F3">
        <w:rPr>
          <w:rFonts w:asciiTheme="minorHAnsi" w:eastAsiaTheme="minorHAnsi" w:hAnsiTheme="minorHAnsi" w:cstheme="minorBidi"/>
          <w:kern w:val="0"/>
          <w:sz w:val="22"/>
          <w:szCs w:val="22"/>
          <w:lang w:val="ro-RO" w:eastAsia="en-US"/>
        </w:rPr>
        <w:t>;</w:t>
      </w:r>
    </w:p>
    <w:p w:rsidR="00F549B3" w:rsidRPr="007350F3" w:rsidRDefault="00F549B3" w:rsidP="007350F3">
      <w:pPr>
        <w:pStyle w:val="yiv846204019msonormal"/>
        <w:spacing w:after="120" w:line="240" w:lineRule="auto"/>
        <w:jc w:val="both"/>
        <w:rPr>
          <w:rFonts w:asciiTheme="minorHAnsi" w:eastAsiaTheme="minorHAnsi" w:hAnsiTheme="minorHAnsi" w:cstheme="minorBidi"/>
          <w:kern w:val="0"/>
          <w:sz w:val="22"/>
          <w:szCs w:val="22"/>
          <w:lang w:val="ro-RO" w:eastAsia="en-US"/>
        </w:rPr>
      </w:pPr>
      <w:r w:rsidRPr="007350F3">
        <w:rPr>
          <w:rFonts w:asciiTheme="minorHAnsi" w:eastAsiaTheme="minorHAnsi" w:hAnsiTheme="minorHAnsi" w:cstheme="minorBidi"/>
          <w:kern w:val="0"/>
          <w:sz w:val="22"/>
          <w:szCs w:val="22"/>
          <w:lang w:val="ro-RO" w:eastAsia="en-US"/>
        </w:rPr>
        <w:t>- realizarea unor analize detaliate a nevoilor de informare (studii și sondaje pe subgrupuri țintă de beneficiari);</w:t>
      </w:r>
    </w:p>
    <w:p w:rsidR="00F549B3" w:rsidRPr="007350F3" w:rsidRDefault="00F549B3" w:rsidP="007350F3">
      <w:pPr>
        <w:pStyle w:val="yiv846204019msonormal"/>
        <w:spacing w:after="120" w:line="240" w:lineRule="auto"/>
        <w:jc w:val="both"/>
        <w:rPr>
          <w:rFonts w:asciiTheme="minorHAnsi" w:eastAsiaTheme="minorHAnsi" w:hAnsiTheme="minorHAnsi" w:cstheme="minorBidi"/>
          <w:kern w:val="0"/>
          <w:sz w:val="22"/>
          <w:szCs w:val="22"/>
          <w:lang w:val="ro-RO" w:eastAsia="en-US"/>
        </w:rPr>
      </w:pPr>
      <w:r w:rsidRPr="007350F3">
        <w:rPr>
          <w:rFonts w:asciiTheme="minorHAnsi" w:eastAsiaTheme="minorHAnsi" w:hAnsiTheme="minorHAnsi" w:cstheme="minorBidi"/>
          <w:kern w:val="0"/>
          <w:sz w:val="22"/>
          <w:szCs w:val="22"/>
          <w:lang w:val="ro-RO" w:eastAsia="en-US"/>
        </w:rPr>
        <w:t>- realizarea unor întâlniri cu difuzorii de informații, care să contribuie la creșterea calității informației furnizate către public.</w:t>
      </w:r>
    </w:p>
    <w:p w:rsidR="00BC3779" w:rsidRPr="008E176E" w:rsidRDefault="00BC3779" w:rsidP="007350F3">
      <w:pPr>
        <w:jc w:val="both"/>
      </w:pPr>
    </w:p>
    <w:p w:rsidR="00996CA9" w:rsidRPr="00E31D81" w:rsidRDefault="00996CA9" w:rsidP="00996CA9">
      <w:pPr>
        <w:jc w:val="both"/>
        <w:rPr>
          <w:color w:val="FF0000"/>
        </w:rPr>
      </w:pPr>
      <w:r w:rsidRPr="007F3437">
        <w:rPr>
          <w:color w:val="FF0000"/>
        </w:rPr>
        <w:t>(</w:t>
      </w:r>
      <w:r w:rsidR="00554BE2" w:rsidRPr="007F3437">
        <w:rPr>
          <w:color w:val="FF0000"/>
        </w:rPr>
        <w:t xml:space="preserve">aprox. </w:t>
      </w:r>
      <w:r w:rsidR="0020195A">
        <w:rPr>
          <w:color w:val="FF0000"/>
        </w:rPr>
        <w:t>344</w:t>
      </w:r>
      <w:r w:rsidR="0061799A">
        <w:rPr>
          <w:color w:val="FF0000"/>
        </w:rPr>
        <w:t>9</w:t>
      </w:r>
      <w:bookmarkStart w:id="8" w:name="_GoBack"/>
      <w:bookmarkEnd w:id="8"/>
      <w:r w:rsidR="00F87693" w:rsidRPr="007F3437">
        <w:rPr>
          <w:color w:val="FF0000"/>
        </w:rPr>
        <w:t xml:space="preserve"> </w:t>
      </w:r>
      <w:r w:rsidRPr="007F3437">
        <w:rPr>
          <w:color w:val="FF0000"/>
        </w:rPr>
        <w:t>caractere)</w:t>
      </w:r>
    </w:p>
    <w:p w:rsidR="00396328" w:rsidRDefault="00396328" w:rsidP="00C60B13">
      <w:pPr>
        <w:pStyle w:val="Heading1"/>
        <w:numPr>
          <w:ilvl w:val="0"/>
          <w:numId w:val="29"/>
        </w:numPr>
      </w:pPr>
      <w:bookmarkStart w:id="9" w:name="_Toc451439492"/>
      <w:r>
        <w:t>Informații privind implementarea inițiativei ”Locuri de muncă pentru tineri”, dacă este cazul</w:t>
      </w:r>
      <w:bookmarkEnd w:id="9"/>
    </w:p>
    <w:p w:rsidR="00396328" w:rsidRDefault="00396328" w:rsidP="00396328">
      <w:pPr>
        <w:jc w:val="both"/>
      </w:pPr>
    </w:p>
    <w:p w:rsidR="00396328" w:rsidRPr="00396328" w:rsidRDefault="00396328" w:rsidP="00396328">
      <w:pPr>
        <w:jc w:val="both"/>
      </w:pPr>
      <w:r>
        <w:t>Nu este cazul pentru POAT.</w:t>
      </w:r>
    </w:p>
    <w:p w:rsidR="00BF45CD" w:rsidRPr="00E335B9" w:rsidRDefault="002327A6" w:rsidP="00C60B13">
      <w:pPr>
        <w:pStyle w:val="Heading1"/>
        <w:numPr>
          <w:ilvl w:val="0"/>
          <w:numId w:val="29"/>
        </w:numPr>
      </w:pPr>
      <w:bookmarkStart w:id="10" w:name="_Toc451439493"/>
      <w:r w:rsidRPr="00E31D81">
        <w:t>Probleme care afectează performanța programului</w:t>
      </w:r>
      <w:r w:rsidRPr="00E335B9">
        <w:t xml:space="preserve"> și măsurile adoptate (7</w:t>
      </w:r>
      <w:r w:rsidR="00C60B13">
        <w:t>.</w:t>
      </w:r>
      <w:r w:rsidRPr="00E335B9">
        <w:t>000 caractere)</w:t>
      </w:r>
      <w:bookmarkEnd w:id="10"/>
    </w:p>
    <w:p w:rsidR="00C60B13" w:rsidRDefault="00C60B13" w:rsidP="00C60B13">
      <w:pPr>
        <w:pStyle w:val="ListParagraph"/>
        <w:jc w:val="both"/>
      </w:pPr>
    </w:p>
    <w:p w:rsidR="001A2E5A" w:rsidRDefault="001A2E5A" w:rsidP="00ED6E21">
      <w:pPr>
        <w:pStyle w:val="ListParagraph"/>
        <w:numPr>
          <w:ilvl w:val="0"/>
          <w:numId w:val="27"/>
        </w:numPr>
        <w:jc w:val="both"/>
      </w:pPr>
      <w:r>
        <w:t>Probleme care afectează performanța programului și măsurile adoptate</w:t>
      </w:r>
    </w:p>
    <w:p w:rsidR="001A2E5A" w:rsidRDefault="001A2E5A" w:rsidP="001A2E5A">
      <w:pPr>
        <w:pStyle w:val="ListParagraph"/>
        <w:jc w:val="both"/>
      </w:pPr>
    </w:p>
    <w:p w:rsidR="001A2E5A" w:rsidRDefault="001A2E5A" w:rsidP="001A2E5A">
      <w:pPr>
        <w:jc w:val="both"/>
      </w:pPr>
      <w:r>
        <w:t>Pe parcursul anului 2015, s-au evidențiat ca aspecte problematice în implementarea POAT următoarele:</w:t>
      </w:r>
    </w:p>
    <w:p w:rsidR="008269A6" w:rsidRDefault="008269A6" w:rsidP="005E2805">
      <w:pPr>
        <w:pStyle w:val="ListParagraph"/>
        <w:numPr>
          <w:ilvl w:val="0"/>
          <w:numId w:val="30"/>
        </w:numPr>
        <w:jc w:val="both"/>
      </w:pPr>
      <w:r>
        <w:t>Întârzieri în procesul de desemnare 2014-2020</w:t>
      </w:r>
    </w:p>
    <w:p w:rsidR="00AC45B7" w:rsidRDefault="008269A6" w:rsidP="001A2E5A">
      <w:pPr>
        <w:jc w:val="both"/>
      </w:pPr>
      <w:r>
        <w:t>L</w:t>
      </w:r>
      <w:r w:rsidR="00AC45B7">
        <w:t>a data de 1 septembrie 2015</w:t>
      </w:r>
      <w:r>
        <w:t>,</w:t>
      </w:r>
      <w:r w:rsidR="00AC45B7">
        <w:t xml:space="preserve"> AM a transmis Autorit</w:t>
      </w:r>
      <w:r w:rsidR="006C6A98">
        <w:t>ăț</w:t>
      </w:r>
      <w:r w:rsidR="00AC45B7">
        <w:t xml:space="preserve">ii de Audit </w:t>
      </w:r>
      <w:r>
        <w:t>d</w:t>
      </w:r>
      <w:r w:rsidR="00AC45B7">
        <w:t xml:space="preserve">escrierea </w:t>
      </w:r>
      <w:r>
        <w:t>s</w:t>
      </w:r>
      <w:r w:rsidR="00AC45B7">
        <w:t xml:space="preserve">istemului de </w:t>
      </w:r>
      <w:r>
        <w:t>m</w:t>
      </w:r>
      <w:r w:rsidR="00AC45B7">
        <w:t xml:space="preserve">anagement </w:t>
      </w:r>
      <w:r w:rsidR="009A4FC8">
        <w:t>ș</w:t>
      </w:r>
      <w:r w:rsidR="005B3C82">
        <w:t xml:space="preserve">i </w:t>
      </w:r>
      <w:r>
        <w:t>c</w:t>
      </w:r>
      <w:r w:rsidR="005B3C82">
        <w:t xml:space="preserve">ontrol pentru </w:t>
      </w:r>
      <w:r w:rsidR="006C6A98">
        <w:t>POAT</w:t>
      </w:r>
      <w:r w:rsidR="005B3C82">
        <w:t xml:space="preserve">. Din evaluarea preliminara a </w:t>
      </w:r>
      <w:r w:rsidR="006C6A98">
        <w:t>conformității</w:t>
      </w:r>
      <w:r w:rsidR="005B3C82">
        <w:t xml:space="preserve"> sistemului de management </w:t>
      </w:r>
      <w:r w:rsidR="009A4FC8">
        <w:t>ș</w:t>
      </w:r>
      <w:r w:rsidR="005B3C82">
        <w:t>i control cu criteriile de desemnare au fost identificate o serie de deficiente</w:t>
      </w:r>
      <w:r w:rsidR="00780742">
        <w:t xml:space="preserve"> care trebuie remediate astfel </w:t>
      </w:r>
      <w:r w:rsidR="006C6A98">
        <w:t>î</w:t>
      </w:r>
      <w:r w:rsidR="00780742">
        <w:t>nc</w:t>
      </w:r>
      <w:r w:rsidR="006C6A98">
        <w:t>â</w:t>
      </w:r>
      <w:r w:rsidR="00780742">
        <w:t xml:space="preserve">t pachetul de desemnare </w:t>
      </w:r>
      <w:r w:rsidR="009A4FC8">
        <w:t>î</w:t>
      </w:r>
      <w:r w:rsidR="00780742">
        <w:t>n forma revizuit</w:t>
      </w:r>
      <w:r w:rsidR="009A4FC8">
        <w:t>ă</w:t>
      </w:r>
      <w:r w:rsidR="00780742">
        <w:t xml:space="preserve"> s</w:t>
      </w:r>
      <w:r w:rsidR="009A4FC8">
        <w:t>ă</w:t>
      </w:r>
      <w:r w:rsidR="00780742">
        <w:t xml:space="preserve"> </w:t>
      </w:r>
      <w:r w:rsidR="009A4FC8">
        <w:t>permită</w:t>
      </w:r>
      <w:r w:rsidR="00780742">
        <w:t xml:space="preserve"> o evaluare complet</w:t>
      </w:r>
      <w:r w:rsidR="009A4FC8">
        <w:t>ă</w:t>
      </w:r>
      <w:r w:rsidR="00780742">
        <w:t xml:space="preserve"> a </w:t>
      </w:r>
      <w:r w:rsidR="009A4FC8">
        <w:t>fiecărui</w:t>
      </w:r>
      <w:r w:rsidR="00780742">
        <w:t xml:space="preserve"> criteriu de desemnare </w:t>
      </w:r>
      <w:r w:rsidR="009A4FC8">
        <w:t>î</w:t>
      </w:r>
      <w:r w:rsidR="00780742">
        <w:t>n vederea emiterii unei opinii de audit f</w:t>
      </w:r>
      <w:r w:rsidR="009A4FC8">
        <w:t>ă</w:t>
      </w:r>
      <w:r w:rsidR="00780742">
        <w:t>r</w:t>
      </w:r>
      <w:r w:rsidR="009A4FC8">
        <w:t>ă</w:t>
      </w:r>
      <w:r w:rsidR="00780742">
        <w:t xml:space="preserve"> rezerve.</w:t>
      </w:r>
      <w:r w:rsidR="006C6A98">
        <w:t xml:space="preserve"> Deficiențele identificate </w:t>
      </w:r>
      <w:r>
        <w:t xml:space="preserve">la nivelul AM POAT </w:t>
      </w:r>
      <w:r w:rsidR="006C6A98">
        <w:t xml:space="preserve">au vizat </w:t>
      </w:r>
      <w:r>
        <w:t xml:space="preserve">cadrul procedural și metodologic, </w:t>
      </w:r>
      <w:r w:rsidR="002D0E10">
        <w:t xml:space="preserve"> precum și capacitatea administrativă, iar la nivel de sistem au fost recomandări privind cerințele pentru</w:t>
      </w:r>
      <w:r w:rsidR="00121CEC">
        <w:t xml:space="preserve"> </w:t>
      </w:r>
      <w:r w:rsidR="006C6A98">
        <w:t>A</w:t>
      </w:r>
      <w:r w:rsidR="001C7D39">
        <w:t xml:space="preserve">genția </w:t>
      </w:r>
      <w:r w:rsidR="006C6A98">
        <w:t>N</w:t>
      </w:r>
      <w:r w:rsidR="001C7D39">
        <w:t xml:space="preserve">ațională pentru </w:t>
      </w:r>
      <w:r w:rsidR="006C6A98">
        <w:t>A</w:t>
      </w:r>
      <w:r w:rsidR="001C7D39">
        <w:t xml:space="preserve">chiziții </w:t>
      </w:r>
      <w:r w:rsidR="006C6A98">
        <w:t>P</w:t>
      </w:r>
      <w:r w:rsidR="001C7D39">
        <w:t>ublice</w:t>
      </w:r>
      <w:r w:rsidR="006C6A98">
        <w:t>, A</w:t>
      </w:r>
      <w:r w:rsidR="001C7D39">
        <w:t xml:space="preserve">utoritatea de </w:t>
      </w:r>
      <w:r w:rsidR="006C6A98">
        <w:t>C</w:t>
      </w:r>
      <w:r w:rsidR="001C7D39">
        <w:t>ertificare</w:t>
      </w:r>
      <w:r w:rsidR="006C6A98">
        <w:t xml:space="preserve"> și SMIS</w:t>
      </w:r>
      <w:r w:rsidR="001C7D39">
        <w:t>2014+</w:t>
      </w:r>
      <w:r w:rsidR="006C6A98">
        <w:t>.</w:t>
      </w:r>
    </w:p>
    <w:p w:rsidR="002D0E10" w:rsidRDefault="002D0E10" w:rsidP="001A2E5A">
      <w:pPr>
        <w:jc w:val="both"/>
      </w:pPr>
      <w:r>
        <w:t xml:space="preserve">În ceea ce privește recomandările pentru AM POAT, acestea sunt avute în vedere </w:t>
      </w:r>
      <w:r w:rsidR="00764A4E">
        <w:t xml:space="preserve">la definitivarea pachetului de desemnare, ce urmează să fie transmis AA odată cu implementarea recomandărilor la </w:t>
      </w:r>
      <w:r w:rsidR="00764A4E" w:rsidRPr="00AC1372">
        <w:t xml:space="preserve">nivel de sistem </w:t>
      </w:r>
      <w:r w:rsidR="00BD381D" w:rsidRPr="00AC1372">
        <w:t>pentru structurile</w:t>
      </w:r>
      <w:r w:rsidR="00BD381D">
        <w:t xml:space="preserve"> </w:t>
      </w:r>
      <w:r w:rsidR="00764A4E">
        <w:t xml:space="preserve">mai sus menționate. </w:t>
      </w:r>
    </w:p>
    <w:p w:rsidR="00943F25" w:rsidRPr="00E70515" w:rsidRDefault="00943F25" w:rsidP="001A2E5A">
      <w:pPr>
        <w:pStyle w:val="ListParagraph"/>
        <w:numPr>
          <w:ilvl w:val="0"/>
          <w:numId w:val="30"/>
        </w:numPr>
        <w:jc w:val="both"/>
      </w:pPr>
      <w:r w:rsidRPr="00E70515">
        <w:t>Dezvoltarea și implementarea cu întârziere a aplicațiilor informatice SMIS2014+ și MySMIS2014</w:t>
      </w:r>
    </w:p>
    <w:p w:rsidR="00CF4B4F" w:rsidRPr="00F80C42" w:rsidRDefault="00CF4B4F" w:rsidP="00ED6E21">
      <w:pPr>
        <w:jc w:val="both"/>
      </w:pPr>
      <w:r w:rsidRPr="00E70515">
        <w:lastRenderedPageBreak/>
        <w:t xml:space="preserve">Pentru a veni în întâmpinarea regulamentelor comunitare pentru perioada de programare 2014 – 2020, </w:t>
      </w:r>
      <w:r w:rsidR="00943F25" w:rsidRPr="00E70515">
        <w:t xml:space="preserve">la nivelul MFE </w:t>
      </w:r>
      <w:r w:rsidRPr="00E70515">
        <w:t>a început dezvoltarea aplicațiilor informatice SMIS2014+ și MySMIS2014. În timp ce SMIS2014+ are ca scop înregistrarea</w:t>
      </w:r>
      <w:r w:rsidRPr="00F80C42">
        <w:t xml:space="preserve"> și stocarea, într-o formă electronică, a datelor referitoare la fiecare proiect, necesare monitorizării, evaluării, gestionării financiare, verificării, auditului și controlul acestora, MySMIS2014 permite schimbul electronic de informații între beneficiari și autorități de management, organisme intermediare, autoritatea de certificare și autoritatea de audit.</w:t>
      </w:r>
    </w:p>
    <w:p w:rsidR="00CF4B4F" w:rsidRDefault="00CF4B4F" w:rsidP="00ED6E21">
      <w:pPr>
        <w:jc w:val="both"/>
      </w:pPr>
      <w:r w:rsidRPr="00F80C42">
        <w:t>La sfârșitul lunii noiembrie 2015, aceste sisteme informatice se aflau în</w:t>
      </w:r>
      <w:r w:rsidR="00BE36B7">
        <w:t>că în</w:t>
      </w:r>
      <w:r w:rsidRPr="00F80C42">
        <w:t xml:space="preserve"> etapa de analiză, dezvoltare și implementare, înregistrându-se întârzieri semnificative față de planificarea inițială. Astfel, modulul </w:t>
      </w:r>
      <w:r w:rsidRPr="00F80C42">
        <w:rPr>
          <w:i/>
        </w:rPr>
        <w:t>Cerere de Finanțare</w:t>
      </w:r>
      <w:r w:rsidRPr="00F80C42">
        <w:t xml:space="preserve"> și cel destinat </w:t>
      </w:r>
      <w:r w:rsidRPr="00F80C42">
        <w:rPr>
          <w:i/>
        </w:rPr>
        <w:t>Apelului de proiecte</w:t>
      </w:r>
      <w:r w:rsidRPr="00F80C42">
        <w:t xml:space="preserve"> erau </w:t>
      </w:r>
      <w:r w:rsidR="007B4B7A" w:rsidRPr="00F80C42">
        <w:t xml:space="preserve">într-un stadiu avansat de dezvoltare, în timp ce modulul </w:t>
      </w:r>
      <w:r w:rsidR="007B4B7A" w:rsidRPr="00F80C42">
        <w:rPr>
          <w:i/>
        </w:rPr>
        <w:t>Contractare</w:t>
      </w:r>
      <w:r w:rsidR="007B4B7A" w:rsidRPr="00F80C42">
        <w:t xml:space="preserve"> se afla încă în etapa de analiză. Decalajele față de calendarul propus inițial pentru finalizarea celor două aplicații au dus la întârzieri în procesul de contractare a proiectelor depuse de beneficiarii POAT</w:t>
      </w:r>
      <w:r w:rsidR="00764A4E">
        <w:t>, precum și la întârzieri în procesul de desemnare</w:t>
      </w:r>
      <w:r w:rsidR="007B4B7A" w:rsidRPr="00F80C42">
        <w:t xml:space="preserve">. </w:t>
      </w:r>
    </w:p>
    <w:p w:rsidR="00BE36B7" w:rsidRDefault="00374AE3" w:rsidP="00ED6E21">
      <w:pPr>
        <w:jc w:val="both"/>
      </w:pPr>
      <w:r>
        <w:t>În acest context, în data 27.01.2016 a fost aprobat în ședință de Guvern, Memorandumul cu tema ”Aprobarea calendarului de activități ce vor fi desfășurate pentru operaționalizarea sistemului integrat de management SMIS2014+/MySMIS2014 pentru gestionarea fondurilor europene”, care stabilește calendarul estimativ pentru operaționalizarea SMIS</w:t>
      </w:r>
      <w:r w:rsidR="00FD488A">
        <w:t>2014+/MySMIS</w:t>
      </w:r>
      <w:r>
        <w:t>2014 și dispune responsabilizarea persoanelor nominalizate pentru accelerarea realizării sistemului integrat și respectarea termenelor prevăzute.</w:t>
      </w:r>
    </w:p>
    <w:p w:rsidR="00943F25" w:rsidRPr="00F80C42" w:rsidRDefault="00943F25" w:rsidP="001A2E5A">
      <w:pPr>
        <w:pStyle w:val="ListParagraph"/>
        <w:numPr>
          <w:ilvl w:val="0"/>
          <w:numId w:val="30"/>
        </w:numPr>
        <w:jc w:val="both"/>
      </w:pPr>
      <w:r w:rsidRPr="00F80C42">
        <w:t>Supraestimarea de către beneficiarii POAT a bugetelor aferente proiectelor propuse la finanțare</w:t>
      </w:r>
    </w:p>
    <w:p w:rsidR="00103832" w:rsidRDefault="00E60D16" w:rsidP="00C87FC6">
      <w:pPr>
        <w:jc w:val="both"/>
      </w:pPr>
      <w:r w:rsidRPr="00F80C42">
        <w:t xml:space="preserve">În urma adoptării </w:t>
      </w:r>
      <w:r w:rsidR="00B50D81" w:rsidRPr="00F80C42">
        <w:t xml:space="preserve">de către membrii CM a </w:t>
      </w:r>
      <w:r w:rsidRPr="00F80C42">
        <w:t>mecanismului de aprobare a proiectelor,</w:t>
      </w:r>
      <w:r w:rsidR="00B50D81" w:rsidRPr="00F80C42">
        <w:t xml:space="preserve"> </w:t>
      </w:r>
      <w:r w:rsidR="004708D1" w:rsidRPr="00F80C42">
        <w:t xml:space="preserve">a fost propusă </w:t>
      </w:r>
      <w:r w:rsidR="00B50D81" w:rsidRPr="00F80C42">
        <w:t>o</w:t>
      </w:r>
      <w:r w:rsidR="004708D1" w:rsidRPr="00F80C42">
        <w:t xml:space="preserve"> </w:t>
      </w:r>
      <w:r w:rsidR="00B50D81" w:rsidRPr="00F80C42">
        <w:t xml:space="preserve">planificare și </w:t>
      </w:r>
      <w:proofErr w:type="spellStart"/>
      <w:r w:rsidR="00B50D81" w:rsidRPr="00F80C42">
        <w:t>prioritizare</w:t>
      </w:r>
      <w:proofErr w:type="spellEnd"/>
      <w:r w:rsidR="00B50D81" w:rsidRPr="00F80C42">
        <w:t xml:space="preserve"> anuală a </w:t>
      </w:r>
      <w:r w:rsidR="004708D1" w:rsidRPr="00F80C42">
        <w:t xml:space="preserve">propunerilor de </w:t>
      </w:r>
      <w:r w:rsidR="00B50D81" w:rsidRPr="00F80C42">
        <w:t>proiecte</w:t>
      </w:r>
      <w:r w:rsidR="00D806A8" w:rsidRPr="00F80C42">
        <w:t>, pe baza căreia,</w:t>
      </w:r>
      <w:r w:rsidR="004708D1" w:rsidRPr="00F80C42">
        <w:t xml:space="preserve"> pe parcursul anului 2015, a fost supus consultării planul de proiecte aferent anilor 2015 și 2016</w:t>
      </w:r>
      <w:r w:rsidR="00D806A8" w:rsidRPr="00F80C42">
        <w:t xml:space="preserve">. Întrucât sumele propuse de beneficiari prin fișele de proiect au fost supraestimate, </w:t>
      </w:r>
      <w:r w:rsidR="00103832" w:rsidRPr="00F80C42">
        <w:t xml:space="preserve">valoarea proiectelor de pe Axa prioritară 2 </w:t>
      </w:r>
      <w:r w:rsidR="00D806A8" w:rsidRPr="00F80C42">
        <w:t xml:space="preserve">a atins </w:t>
      </w:r>
      <w:r w:rsidR="007F7BF2" w:rsidRPr="00F80C42">
        <w:t>un procent de</w:t>
      </w:r>
      <w:r w:rsidR="00103832" w:rsidRPr="00F80C42">
        <w:t xml:space="preserve"> 157% </w:t>
      </w:r>
      <w:r w:rsidR="007F7BF2" w:rsidRPr="00F80C42">
        <w:t>din</w:t>
      </w:r>
      <w:r w:rsidR="00103832" w:rsidRPr="00F80C42">
        <w:t xml:space="preserve"> alocarea pe întreaga perioadă de programare. </w:t>
      </w:r>
      <w:r w:rsidR="007F7BF2" w:rsidRPr="00F80C42">
        <w:t xml:space="preserve">În acest context, </w:t>
      </w:r>
      <w:r w:rsidR="00080713" w:rsidRPr="00F80C42">
        <w:t xml:space="preserve">în luna </w:t>
      </w:r>
      <w:r w:rsidR="00080713" w:rsidRPr="0068505F">
        <w:t>decembrie 2</w:t>
      </w:r>
      <w:r w:rsidR="00080713" w:rsidRPr="008E176E">
        <w:t>015</w:t>
      </w:r>
      <w:r w:rsidR="008E176E">
        <w:t>,</w:t>
      </w:r>
      <w:r w:rsidR="00080713" w:rsidRPr="008E176E">
        <w:t xml:space="preserve"> </w:t>
      </w:r>
      <w:r w:rsidR="00103832" w:rsidRPr="008E176E">
        <w:t xml:space="preserve">AM POAT a solicitat beneficiarilor revizuirea fișelor de proiect și a supus </w:t>
      </w:r>
      <w:r w:rsidR="00CC0F60" w:rsidRPr="008E176E">
        <w:t xml:space="preserve">consultării membrilor CM, prin procedură scrisă, </w:t>
      </w:r>
      <w:r w:rsidR="00103832" w:rsidRPr="007F3437">
        <w:t>planul</w:t>
      </w:r>
      <w:r w:rsidR="00CC0F60" w:rsidRPr="007F3437">
        <w:t xml:space="preserve"> de proiecte modificat.</w:t>
      </w:r>
    </w:p>
    <w:p w:rsidR="00374AE3" w:rsidRDefault="00374AE3" w:rsidP="00C87FC6">
      <w:pPr>
        <w:jc w:val="both"/>
      </w:pPr>
      <w:r>
        <w:t xml:space="preserve">În plus, AM POAT a introdus în formatul de </w:t>
      </w:r>
      <w:r w:rsidR="000B3746">
        <w:t>contract</w:t>
      </w:r>
      <w:r>
        <w:t xml:space="preserve">/decizie de finanțare obligativitatea stabilirii unor ținte intermediare cu privire la cheltuielile eligibile </w:t>
      </w:r>
      <w:r w:rsidRPr="00FA281F">
        <w:t>solicitate</w:t>
      </w:r>
      <w:r w:rsidR="000B3746" w:rsidRPr="00FA281F">
        <w:t xml:space="preserve"> la rambursare</w:t>
      </w:r>
      <w:r>
        <w:t xml:space="preserve">. În cazul în care aceste ținte nu sunt respectate, AM POAT va </w:t>
      </w:r>
      <w:r w:rsidR="00FA281F">
        <w:t>întreprinde demersurile pentru semnarea de acte adiționale în vederea diminuării valorii proiectelor cu</w:t>
      </w:r>
      <w:r>
        <w:t xml:space="preserve"> sumele aferente procedurilor de achiziție publică prevăzute în proiect și nelansate la data limită de realizare a țintei.</w:t>
      </w:r>
    </w:p>
    <w:p w:rsidR="00BE36B7" w:rsidRPr="007F3437" w:rsidRDefault="00BE36B7" w:rsidP="00C87FC6">
      <w:pPr>
        <w:jc w:val="both"/>
      </w:pPr>
    </w:p>
    <w:p w:rsidR="00554BE2" w:rsidRDefault="00554BE2" w:rsidP="004708D1">
      <w:pPr>
        <w:rPr>
          <w:color w:val="FF0000"/>
        </w:rPr>
      </w:pPr>
      <w:r w:rsidRPr="00E31D81">
        <w:rPr>
          <w:color w:val="FF0000"/>
        </w:rPr>
        <w:t xml:space="preserve">(aprox. </w:t>
      </w:r>
      <w:r w:rsidR="005E2805">
        <w:rPr>
          <w:color w:val="FF0000"/>
        </w:rPr>
        <w:t>4</w:t>
      </w:r>
      <w:r w:rsidR="0020195A">
        <w:rPr>
          <w:color w:val="FF0000"/>
        </w:rPr>
        <w:t>2</w:t>
      </w:r>
      <w:r w:rsidR="005E2805">
        <w:rPr>
          <w:color w:val="FF0000"/>
        </w:rPr>
        <w:t>5</w:t>
      </w:r>
      <w:r w:rsidR="0020195A">
        <w:rPr>
          <w:color w:val="FF0000"/>
        </w:rPr>
        <w:t>5</w:t>
      </w:r>
      <w:r w:rsidRPr="00E31D81">
        <w:rPr>
          <w:color w:val="FF0000"/>
        </w:rPr>
        <w:t xml:space="preserve"> caractere)</w:t>
      </w:r>
    </w:p>
    <w:p w:rsidR="00852059" w:rsidRPr="00E31D81" w:rsidRDefault="00BF45CD" w:rsidP="0068505F">
      <w:pPr>
        <w:pStyle w:val="Heading1"/>
        <w:numPr>
          <w:ilvl w:val="0"/>
          <w:numId w:val="29"/>
        </w:numPr>
      </w:pPr>
      <w:bookmarkStart w:id="11" w:name="_Toc451439494"/>
      <w:r w:rsidRPr="0068505F">
        <w:t>Rezumat pentru cetățeni</w:t>
      </w:r>
      <w:bookmarkEnd w:id="11"/>
    </w:p>
    <w:p w:rsidR="0068505F" w:rsidRDefault="0068505F" w:rsidP="00315C1A">
      <w:pPr>
        <w:jc w:val="both"/>
      </w:pPr>
    </w:p>
    <w:p w:rsidR="00315C1A" w:rsidRPr="008E176E" w:rsidRDefault="00315C1A" w:rsidP="00315C1A">
      <w:pPr>
        <w:jc w:val="both"/>
      </w:pPr>
      <w:r w:rsidRPr="00E70515">
        <w:t xml:space="preserve">Programul Operațional Asistență Tehnică </w:t>
      </w:r>
      <w:r w:rsidR="008E176E">
        <w:t xml:space="preserve">2014-2020 (POAT) </w:t>
      </w:r>
      <w:r w:rsidRPr="008E176E">
        <w:t xml:space="preserve">reprezintă un instrument menit să asigure un proces de implementare eficientă a fondurilor europene prin asistența orizontală oferită tuturor </w:t>
      </w:r>
      <w:r w:rsidRPr="008E176E">
        <w:lastRenderedPageBreak/>
        <w:t>structurilor cu rol de coordonare, gestionare și control, dar și actorilor implicați în implementarea proiectelor.</w:t>
      </w:r>
    </w:p>
    <w:p w:rsidR="004A7A2D" w:rsidRPr="008E176E" w:rsidRDefault="008B6F6A" w:rsidP="00315C1A">
      <w:pPr>
        <w:jc w:val="both"/>
      </w:pPr>
      <w:r w:rsidRPr="008E176E">
        <w:t>Având în vedere alocarea financiară foarte redusă a POAT, comparativ cu nevoile e</w:t>
      </w:r>
      <w:r w:rsidR="002646DE" w:rsidRPr="008E176E">
        <w:t>stimate la nivelul sistemului</w:t>
      </w:r>
      <w:r w:rsidRPr="007F3437">
        <w:t xml:space="preserve">, în contextul unei </w:t>
      </w:r>
      <w:r w:rsidR="004A7A2D" w:rsidRPr="007F3437">
        <w:t>abord</w:t>
      </w:r>
      <w:r w:rsidRPr="007F3437">
        <w:t>ări</w:t>
      </w:r>
      <w:r w:rsidR="004A7A2D" w:rsidRPr="00E31D81">
        <w:t xml:space="preserve"> co</w:t>
      </w:r>
      <w:r w:rsidRPr="00E31D81">
        <w:t>erente</w:t>
      </w:r>
      <w:r w:rsidR="004A7A2D" w:rsidRPr="00E31D81">
        <w:t xml:space="preserve"> a intervențiilor și</w:t>
      </w:r>
      <w:r w:rsidRPr="00E335B9">
        <w:t xml:space="preserve"> pentru</w:t>
      </w:r>
      <w:r w:rsidR="004A7A2D" w:rsidRPr="00E335B9">
        <w:t xml:space="preserve"> asigurarea nevoilor prioritare de asistență tehnică din POAT, a fost introdus la nivelul programului un mecanism de aprobare a proiecte</w:t>
      </w:r>
      <w:r w:rsidR="004A7A2D" w:rsidRPr="00E70515">
        <w:t>lor finanțate, care a fost supus la vot în prima reuniune a Comitetului de Monitorizare</w:t>
      </w:r>
      <w:r w:rsidR="008E176E">
        <w:t xml:space="preserve"> (CM)</w:t>
      </w:r>
      <w:r w:rsidR="00396328">
        <w:t xml:space="preserve"> din anul 2015</w:t>
      </w:r>
      <w:r w:rsidR="004A7A2D" w:rsidRPr="008E176E">
        <w:t>. Acest mecanism prevede elaborarea unui Plan anual de proiecte care este supus consultării membrilor CM. În vederea elaborării acestui plan, fișele pentru proiectele depuse spre finanțare sunt verificate de către A</w:t>
      </w:r>
      <w:r w:rsidR="00396328">
        <w:t xml:space="preserve">utoritatea de </w:t>
      </w:r>
      <w:r w:rsidR="004A7A2D" w:rsidRPr="008E176E">
        <w:t>M</w:t>
      </w:r>
      <w:r w:rsidR="00396328">
        <w:t>anagement pentru POAT (AM POAT)</w:t>
      </w:r>
      <w:r w:rsidR="004A7A2D" w:rsidRPr="008E176E">
        <w:t xml:space="preserve"> din punct de vedere al eligibilității, al contribuției la realizarea obiectivelor și indicatorilor POAT, precum și al capacității beneficiarului de a implementa proiectul.</w:t>
      </w:r>
    </w:p>
    <w:p w:rsidR="00615268" w:rsidRPr="00F80C42" w:rsidRDefault="00615268" w:rsidP="00615268">
      <w:pPr>
        <w:jc w:val="both"/>
      </w:pPr>
      <w:r w:rsidRPr="007F3437">
        <w:t>Pentru ca lecțiile învățate în cadru</w:t>
      </w:r>
      <w:r w:rsidRPr="00E31D81">
        <w:t>l exercițiului financiar precedent să aducă p</w:t>
      </w:r>
      <w:r w:rsidRPr="00E335B9">
        <w:t>lus-valoare implementării POAT</w:t>
      </w:r>
      <w:r w:rsidRPr="00E70515">
        <w:t>, rolul CM a fost întărit,</w:t>
      </w:r>
      <w:r w:rsidRPr="00F80C42">
        <w:t xml:space="preserve"> astfel încât necesitățile să fie abordate într-o manieră strategică, iar acțiunile să fie concentrate spre nevoile identificate.</w:t>
      </w:r>
    </w:p>
    <w:p w:rsidR="00615268" w:rsidRPr="00F80C42" w:rsidRDefault="00CD04E0" w:rsidP="00315C1A">
      <w:pPr>
        <w:jc w:val="both"/>
      </w:pPr>
      <w:r w:rsidRPr="00F80C42">
        <w:t>În contextul în care</w:t>
      </w:r>
      <w:r w:rsidR="00615268" w:rsidRPr="00F80C42">
        <w:t xml:space="preserve"> intervențiile POAT sunt similare cu cele din perioada de programare 2007-2013, </w:t>
      </w:r>
      <w:r w:rsidRPr="00F80C42">
        <w:t>exceptând</w:t>
      </w:r>
      <w:r w:rsidR="00615268" w:rsidRPr="00F80C42">
        <w:t xml:space="preserve"> asistența tehnică pentru POIM și POC, </w:t>
      </w:r>
      <w:r w:rsidRPr="00F80C42">
        <w:t xml:space="preserve">care reprezintă un element de noutate, </w:t>
      </w:r>
      <w:r w:rsidR="00615268" w:rsidRPr="00F80C42">
        <w:t>structura de bază a comitetului a pornit de la componența CM POAT 2007-2013, fiind adăugate organismele intermediare pentru POIM și POC și noi structuri solicitate de Actul delegat (UE) nr. 240/2014 în domeniul egalității de șanse și al dezvoltării teritoriale.</w:t>
      </w:r>
    </w:p>
    <w:p w:rsidR="001A5E90" w:rsidRDefault="001A5E90" w:rsidP="0040250E">
      <w:pPr>
        <w:jc w:val="both"/>
      </w:pPr>
      <w:r w:rsidRPr="00F80C42">
        <w:t xml:space="preserve">Ținând cont de prevederile Regulamentelor Europene pentru perioada 2014-2020 (Reg. 1303/2013, art.116, pct. 1), a fost elaborată o strategie de comunicare comună care să atingă aspectele orizontale comune în mod special Fondurilor Structurale și de Coeziune (FSE, FC, FEDR), dar și fondurilor ESI în general. Unele dintre instrumentele de comunicare detaliate în cadrul documentului (site-ul </w:t>
      </w:r>
      <w:hyperlink r:id="rId10" w:history="1">
        <w:r w:rsidRPr="00F80C42">
          <w:t>www.fonduri-eu.ro</w:t>
        </w:r>
      </w:hyperlink>
      <w:r w:rsidRPr="00F80C42">
        <w:t>;</w:t>
      </w:r>
      <w:r w:rsidR="0040250E" w:rsidRPr="00F80C42">
        <w:t xml:space="preserve"> Centrul de Informare și rețeaua de puncte teritoriale de informare</w:t>
      </w:r>
      <w:r w:rsidRPr="00F35F4B">
        <w:t>) și susținute din POAT constituie un prim contact pentru publicul general în ceea ce privește fondurile ESI în ansamblu și vor furniza informații generale pentru publicul larg.</w:t>
      </w:r>
      <w:r w:rsidR="0040250E" w:rsidRPr="00F35F4B">
        <w:t xml:space="preserve"> Astfel, obiectivele strategiei de comunicare pentru perioada 2014-2020 sunt creșterea și consolidarea gradului de notorietate al Instrumentelor Structurale 2014-2020; creșterea nivelului de conștientizare cu privire la rolul și contribuția UE la </w:t>
      </w:r>
      <w:proofErr w:type="spellStart"/>
      <w:r w:rsidR="0040250E" w:rsidRPr="00F35F4B">
        <w:t>co</w:t>
      </w:r>
      <w:proofErr w:type="spellEnd"/>
      <w:r w:rsidR="0040250E" w:rsidRPr="00F35F4B">
        <w:t xml:space="preserve">-finanțarea proiectelor, precum și a gradului de informare al potențialilor beneficiari cu privire la temele, </w:t>
      </w:r>
      <w:r w:rsidR="001160DF" w:rsidRPr="00F35F4B">
        <w:t>priorit</w:t>
      </w:r>
      <w:r w:rsidR="001160DF" w:rsidRPr="00783B28">
        <w:t>ățile</w:t>
      </w:r>
      <w:r w:rsidR="0040250E" w:rsidRPr="00783B28">
        <w:t xml:space="preserve"> </w:t>
      </w:r>
      <w:r w:rsidR="001160DF" w:rsidRPr="00783B28">
        <w:t>ș</w:t>
      </w:r>
      <w:r w:rsidR="001160DF" w:rsidRPr="008E176E">
        <w:t>i</w:t>
      </w:r>
      <w:r w:rsidR="0040250E" w:rsidRPr="008E176E">
        <w:t xml:space="preserve"> </w:t>
      </w:r>
      <w:r w:rsidR="001160DF" w:rsidRPr="008E176E">
        <w:t>intervențiile</w:t>
      </w:r>
      <w:r w:rsidR="0040250E" w:rsidRPr="008E176E">
        <w:t xml:space="preserve"> de </w:t>
      </w:r>
      <w:r w:rsidR="001160DF" w:rsidRPr="004871EB">
        <w:t>finanțare</w:t>
      </w:r>
      <w:r w:rsidR="0040250E" w:rsidRPr="004871EB">
        <w:t xml:space="preserve"> prin IS 2014-2020.</w:t>
      </w:r>
    </w:p>
    <w:p w:rsidR="004871EB" w:rsidRDefault="004871EB" w:rsidP="0040250E">
      <w:pPr>
        <w:jc w:val="both"/>
      </w:pPr>
      <w:r>
        <w:t xml:space="preserve">POAT este </w:t>
      </w:r>
      <w:r w:rsidR="0085603A">
        <w:t>structurat</w:t>
      </w:r>
      <w:r>
        <w:t xml:space="preserve"> în trei axe prioritare, astfel:</w:t>
      </w:r>
    </w:p>
    <w:p w:rsidR="00396328" w:rsidRDefault="00396328" w:rsidP="00396328">
      <w:pPr>
        <w:pStyle w:val="ListParagraph"/>
        <w:numPr>
          <w:ilvl w:val="0"/>
          <w:numId w:val="35"/>
        </w:numPr>
        <w:spacing w:after="120" w:line="280" w:lineRule="atLeast"/>
        <w:ind w:right="34"/>
        <w:jc w:val="both"/>
      </w:pPr>
      <w:r w:rsidRPr="00396328">
        <w:t>Întărirea capacității beneficiarilor de a pregăti și implementa proiecte finanțate din FESI și diseminarea informațiilor privind aceste fonduri</w:t>
      </w:r>
    </w:p>
    <w:p w:rsidR="00396328" w:rsidRDefault="00396328" w:rsidP="00396328">
      <w:pPr>
        <w:pStyle w:val="ListParagraph"/>
        <w:numPr>
          <w:ilvl w:val="0"/>
          <w:numId w:val="35"/>
        </w:numPr>
        <w:spacing w:after="120" w:line="280" w:lineRule="atLeast"/>
        <w:ind w:right="34"/>
        <w:jc w:val="both"/>
      </w:pPr>
      <w:r w:rsidRPr="00396328">
        <w:t>Sprijin pentru coordonarea, gestionarea și controlul FESI</w:t>
      </w:r>
    </w:p>
    <w:p w:rsidR="00396328" w:rsidRDefault="00396328" w:rsidP="00396328">
      <w:pPr>
        <w:pStyle w:val="ListParagraph"/>
        <w:numPr>
          <w:ilvl w:val="0"/>
          <w:numId w:val="35"/>
        </w:numPr>
        <w:spacing w:after="120" w:line="280" w:lineRule="atLeast"/>
        <w:ind w:right="34"/>
        <w:jc w:val="both"/>
      </w:pPr>
      <w:r w:rsidRPr="00396328">
        <w:t xml:space="preserve">Creșterea eficienței și eficacității resurselor umane implicate în sistemul de coordonare, gestionare </w:t>
      </w:r>
      <w:proofErr w:type="spellStart"/>
      <w:r w:rsidRPr="00396328">
        <w:t>şi</w:t>
      </w:r>
      <w:proofErr w:type="spellEnd"/>
      <w:r w:rsidRPr="00396328">
        <w:t xml:space="preserve"> control al FESI în România</w:t>
      </w:r>
    </w:p>
    <w:p w:rsidR="00CD04E0" w:rsidRPr="00F3668F" w:rsidRDefault="00CD04E0" w:rsidP="00CD04E0">
      <w:pPr>
        <w:spacing w:after="120" w:line="280" w:lineRule="atLeast"/>
        <w:ind w:right="34"/>
        <w:jc w:val="both"/>
        <w:rPr>
          <w:rFonts w:cs="Arial"/>
        </w:rPr>
      </w:pPr>
      <w:r w:rsidRPr="00F3668F">
        <w:t xml:space="preserve">În ceea ce privește </w:t>
      </w:r>
      <w:r w:rsidR="00E825A1" w:rsidRPr="00F3668F">
        <w:t>planificarea proiectelor pentru anii 2015 și 2016</w:t>
      </w:r>
      <w:r w:rsidRPr="00F3668F">
        <w:t>, structura acestora</w:t>
      </w:r>
      <w:r w:rsidR="00315C1A" w:rsidRPr="00F3668F">
        <w:t xml:space="preserve"> pe axe prioritare evidențiază faptul că majoritatea au</w:t>
      </w:r>
      <w:r w:rsidRPr="00F3668F">
        <w:t xml:space="preserve"> fost depuse pe Axa prioritară 2</w:t>
      </w:r>
      <w:r w:rsidR="00C84CF9" w:rsidRPr="00F3668F">
        <w:t xml:space="preserve"> (31 proiecte)</w:t>
      </w:r>
      <w:r w:rsidR="00A92C29" w:rsidRPr="00F3668F">
        <w:t xml:space="preserve">, </w:t>
      </w:r>
      <w:r w:rsidR="00A92C29" w:rsidRPr="00F3668F">
        <w:rPr>
          <w:rFonts w:cs="Arial"/>
        </w:rPr>
        <w:t>în timp ce,</w:t>
      </w:r>
      <w:r w:rsidR="00C84CF9" w:rsidRPr="00F3668F">
        <w:rPr>
          <w:rFonts w:cs="Arial"/>
        </w:rPr>
        <w:t xml:space="preserve"> </w:t>
      </w:r>
      <w:r w:rsidR="00A92C29" w:rsidRPr="00F3668F">
        <w:rPr>
          <w:rFonts w:cs="Arial"/>
        </w:rPr>
        <w:t>î</w:t>
      </w:r>
      <w:r w:rsidR="00C84CF9" w:rsidRPr="00F3668F">
        <w:rPr>
          <w:rFonts w:cs="Arial"/>
        </w:rPr>
        <w:t>n cadrul axelor prioritare 1 și 3</w:t>
      </w:r>
      <w:r w:rsidR="008E176E" w:rsidRPr="00F3668F">
        <w:rPr>
          <w:rFonts w:cs="Arial"/>
        </w:rPr>
        <w:t>,</w:t>
      </w:r>
      <w:r w:rsidR="00C84CF9" w:rsidRPr="00F3668F">
        <w:rPr>
          <w:rFonts w:cs="Arial"/>
        </w:rPr>
        <w:t xml:space="preserve"> </w:t>
      </w:r>
      <w:r w:rsidR="00926567" w:rsidRPr="00F3668F">
        <w:rPr>
          <w:rFonts w:cs="Arial"/>
        </w:rPr>
        <w:t xml:space="preserve">au fost propuse spre finanțare 13 proiecte, respectiv 17. Preponderența proiectelor propuse spre finanțare în cadrul axei prioritare 2 se datorează </w:t>
      </w:r>
      <w:r w:rsidR="00926567" w:rsidRPr="00F3668F">
        <w:t xml:space="preserve">sprijinului pe care </w:t>
      </w:r>
      <w:r w:rsidR="001E5971" w:rsidRPr="00F3668F">
        <w:t xml:space="preserve">această axă </w:t>
      </w:r>
      <w:r w:rsidR="00926567" w:rsidRPr="00F3668F">
        <w:t>îl oferă</w:t>
      </w:r>
      <w:r w:rsidR="00926567" w:rsidRPr="00F3668F">
        <w:rPr>
          <w:rFonts w:cs="Arial"/>
        </w:rPr>
        <w:t xml:space="preserve"> întregului sistem de coordonare, gestionare și control al FESI.</w:t>
      </w:r>
    </w:p>
    <w:p w:rsidR="00CD04E0" w:rsidRPr="00F3668F" w:rsidRDefault="00926567" w:rsidP="00ED6E21">
      <w:pPr>
        <w:pStyle w:val="NormalWeb"/>
        <w:suppressAutoHyphens/>
        <w:spacing w:before="280" w:beforeAutospacing="0" w:after="280" w:afterAutospacing="0" w:line="273" w:lineRule="atLeast"/>
        <w:jc w:val="both"/>
        <w:rPr>
          <w:rFonts w:asciiTheme="minorHAnsi" w:hAnsiTheme="minorHAnsi" w:cstheme="minorBidi"/>
          <w:sz w:val="22"/>
          <w:szCs w:val="22"/>
        </w:rPr>
      </w:pPr>
      <w:r w:rsidRPr="00F3668F">
        <w:rPr>
          <w:rFonts w:asciiTheme="minorHAnsi" w:hAnsiTheme="minorHAnsi" w:cs="Arial"/>
          <w:sz w:val="22"/>
          <w:szCs w:val="22"/>
        </w:rPr>
        <w:lastRenderedPageBreak/>
        <w:t xml:space="preserve">Propunerile incluse în plan </w:t>
      </w:r>
      <w:r w:rsidRPr="00F3668F">
        <w:rPr>
          <w:rFonts w:asciiTheme="minorHAnsi" w:hAnsiTheme="minorHAnsi" w:cs="Arial"/>
          <w:sz w:val="22"/>
          <w:szCs w:val="22"/>
          <w:u w:val="single"/>
        </w:rPr>
        <w:t>în cadrul</w:t>
      </w:r>
      <w:r w:rsidR="00C90C20" w:rsidRPr="00F3668F">
        <w:rPr>
          <w:rFonts w:asciiTheme="minorHAnsi" w:hAnsiTheme="minorHAnsi" w:cs="Arial"/>
          <w:sz w:val="22"/>
          <w:szCs w:val="22"/>
          <w:u w:val="single"/>
        </w:rPr>
        <w:t xml:space="preserve"> ax</w:t>
      </w:r>
      <w:r w:rsidRPr="00F3668F">
        <w:rPr>
          <w:rFonts w:asciiTheme="minorHAnsi" w:hAnsiTheme="minorHAnsi" w:cs="Arial"/>
          <w:sz w:val="22"/>
          <w:szCs w:val="22"/>
          <w:u w:val="single"/>
        </w:rPr>
        <w:t>ei prioritare 1</w:t>
      </w:r>
      <w:r w:rsidR="00C90C20" w:rsidRPr="00F3668F">
        <w:rPr>
          <w:rFonts w:asciiTheme="minorHAnsi" w:hAnsiTheme="minorHAnsi" w:cs="Arial"/>
          <w:sz w:val="22"/>
          <w:szCs w:val="22"/>
        </w:rPr>
        <w:t xml:space="preserve"> </w:t>
      </w:r>
      <w:r w:rsidRPr="00F3668F">
        <w:rPr>
          <w:rFonts w:asciiTheme="minorHAnsi" w:eastAsiaTheme="minorHAnsi" w:hAnsiTheme="minorHAnsi" w:cstheme="minorBidi"/>
          <w:sz w:val="22"/>
          <w:szCs w:val="22"/>
          <w:lang w:eastAsia="en-US"/>
        </w:rPr>
        <w:t xml:space="preserve">vizează activități de instruire, promovare a informațiilor referitoare la </w:t>
      </w:r>
      <w:r w:rsidR="00396328" w:rsidRPr="00F3668F">
        <w:rPr>
          <w:rFonts w:asciiTheme="minorHAnsi" w:eastAsiaTheme="minorHAnsi" w:hAnsiTheme="minorHAnsi" w:cstheme="minorBidi"/>
          <w:sz w:val="22"/>
          <w:szCs w:val="22"/>
          <w:lang w:eastAsia="en-US"/>
        </w:rPr>
        <w:t>FESI</w:t>
      </w:r>
      <w:r w:rsidRPr="00F3668F">
        <w:rPr>
          <w:rFonts w:asciiTheme="minorHAnsi" w:eastAsiaTheme="minorHAnsi" w:hAnsiTheme="minorHAnsi" w:cstheme="minorBidi"/>
          <w:sz w:val="22"/>
          <w:szCs w:val="22"/>
          <w:lang w:eastAsia="en-US"/>
        </w:rPr>
        <w:t xml:space="preserve">, </w:t>
      </w:r>
      <w:r w:rsidRPr="00F3668F">
        <w:rPr>
          <w:rFonts w:asciiTheme="minorHAnsi" w:hAnsiTheme="minorHAnsi" w:cs="Arial"/>
          <w:sz w:val="22"/>
          <w:szCs w:val="22"/>
        </w:rPr>
        <w:t>precum și activități destinate dezvoltării culturii parteneriale</w:t>
      </w:r>
      <w:r w:rsidR="00C90C20" w:rsidRPr="00F3668F">
        <w:rPr>
          <w:rFonts w:asciiTheme="minorHAnsi" w:hAnsiTheme="minorHAnsi" w:cs="Arial"/>
          <w:sz w:val="22"/>
          <w:szCs w:val="22"/>
        </w:rPr>
        <w:t xml:space="preserve">. </w:t>
      </w:r>
      <w:r w:rsidRPr="00F3668F">
        <w:rPr>
          <w:rFonts w:asciiTheme="minorHAnsi" w:hAnsiTheme="minorHAnsi" w:cs="Arial"/>
          <w:sz w:val="22"/>
          <w:szCs w:val="22"/>
        </w:rPr>
        <w:t>Valoarea totală eligibilă a acestora este de</w:t>
      </w:r>
      <w:r w:rsidR="00B716BF" w:rsidRPr="00F3668F">
        <w:rPr>
          <w:rFonts w:asciiTheme="minorHAnsi" w:hAnsiTheme="minorHAnsi" w:cs="Arial"/>
          <w:sz w:val="22"/>
          <w:szCs w:val="22"/>
        </w:rPr>
        <w:t xml:space="preserve"> 27.847.595 EUR</w:t>
      </w:r>
      <w:r w:rsidR="00B716BF" w:rsidRPr="00F3668F">
        <w:rPr>
          <w:rFonts w:asciiTheme="minorHAnsi" w:eastAsiaTheme="minorHAnsi" w:hAnsiTheme="minorHAnsi" w:cstheme="minorBidi"/>
          <w:sz w:val="22"/>
          <w:szCs w:val="22"/>
          <w:lang w:eastAsia="en-US"/>
        </w:rPr>
        <w:t>,</w:t>
      </w:r>
      <w:r w:rsidR="0052584C" w:rsidRPr="00F3668F">
        <w:rPr>
          <w:rFonts w:asciiTheme="minorHAnsi" w:eastAsiaTheme="minorHAnsi" w:hAnsiTheme="minorHAnsi" w:cstheme="minorBidi"/>
          <w:sz w:val="22"/>
          <w:szCs w:val="22"/>
          <w:lang w:eastAsia="en-US"/>
        </w:rPr>
        <w:t xml:space="preserve"> reprezentând </w:t>
      </w:r>
      <w:r w:rsidR="00C90C20" w:rsidRPr="00F3668F">
        <w:rPr>
          <w:rFonts w:asciiTheme="minorHAnsi" w:eastAsiaTheme="minorHAnsi" w:hAnsiTheme="minorHAnsi" w:cstheme="minorBidi"/>
          <w:sz w:val="22"/>
          <w:szCs w:val="22"/>
          <w:lang w:eastAsia="en-US"/>
        </w:rPr>
        <w:t xml:space="preserve">35% din alocarea totală. </w:t>
      </w:r>
    </w:p>
    <w:p w:rsidR="00926567" w:rsidRPr="00F3668F" w:rsidRDefault="00315C1A" w:rsidP="00926567">
      <w:pPr>
        <w:jc w:val="both"/>
      </w:pPr>
      <w:r w:rsidRPr="00F3668F">
        <w:rPr>
          <w:u w:val="single"/>
        </w:rPr>
        <w:t>Referitor la Axa prioritară 2</w:t>
      </w:r>
      <w:r w:rsidRPr="00F3668F">
        <w:t xml:space="preserve">, </w:t>
      </w:r>
      <w:r w:rsidR="00C90C20" w:rsidRPr="00F3668F">
        <w:t xml:space="preserve">valoarea </w:t>
      </w:r>
      <w:r w:rsidR="00B716BF" w:rsidRPr="00F3668F">
        <w:t xml:space="preserve">eligibilă a </w:t>
      </w:r>
      <w:r w:rsidR="00C90C20" w:rsidRPr="00F3668F">
        <w:t>proiectelor incluse în planul aferent anilor 2015 și 2016</w:t>
      </w:r>
      <w:r w:rsidR="00B716BF" w:rsidRPr="00F3668F">
        <w:t xml:space="preserve">, de 59.167.994 EUR, </w:t>
      </w:r>
      <w:r w:rsidR="00C90C20" w:rsidRPr="00F3668F">
        <w:t>se situează la 92% față de alocarea totală</w:t>
      </w:r>
      <w:r w:rsidR="00B716BF" w:rsidRPr="00F3668F">
        <w:t>.</w:t>
      </w:r>
      <w:r w:rsidR="00926567" w:rsidRPr="00F3668F">
        <w:t xml:space="preserve"> </w:t>
      </w:r>
      <w:r w:rsidR="00B716BF" w:rsidRPr="00F3668F">
        <w:t>Acestea urmăresc desfășurarea de activități în vederea îmbunătățirii cadrului și condițiilor pentru coordonarea și controlul FESI și pentru gestionarea POAT, POIM și POC, activități destinate evaluării la nivelul AP, POAT și POC, precum și activități pentru dezvoltarea și menținerea unui sistem informatic funcțional și eficient pentru FSC.</w:t>
      </w:r>
    </w:p>
    <w:p w:rsidR="00926567" w:rsidRPr="00F3668F" w:rsidRDefault="00926567" w:rsidP="00926567">
      <w:pPr>
        <w:jc w:val="both"/>
      </w:pPr>
      <w:r w:rsidRPr="00F3668F">
        <w:t xml:space="preserve">Dată fiind importanța resurselor umane în sistemul de gestionare a fondurilor, </w:t>
      </w:r>
      <w:r w:rsidRPr="00F3668F">
        <w:rPr>
          <w:u w:val="single"/>
        </w:rPr>
        <w:t>axa prioritară 3</w:t>
      </w:r>
      <w:r w:rsidRPr="00F3668F">
        <w:t xml:space="preserve"> este dedicată dezvoltării și implementării unei politici de resurse umane bazată pe recrutare transparentă în funcție de criterii de competență și calificare, dezvoltare profesională, dar și evaluare pe bază de performanță.</w:t>
      </w:r>
      <w:r w:rsidR="00D62041" w:rsidRPr="00F3668F">
        <w:t xml:space="preserve"> Valoarea eligibilă a propunerilor din cadrul acestei axe este de 85.883.436 EUR, reprezentând 79% din alocarea aferentă acestei axe prioritare.</w:t>
      </w:r>
    </w:p>
    <w:p w:rsidR="00315C1A" w:rsidRPr="001E5971" w:rsidRDefault="001C7E94" w:rsidP="00315C1A">
      <w:pPr>
        <w:jc w:val="both"/>
      </w:pPr>
      <w:r w:rsidRPr="00F3668F">
        <w:t>O contribuție importantă la proiectarea POAT 2014-2020 au avut-o constatările evaluări</w:t>
      </w:r>
      <w:r w:rsidR="00EA614E" w:rsidRPr="00F3668F">
        <w:t>i</w:t>
      </w:r>
      <w:r w:rsidRPr="00F3668F">
        <w:t xml:space="preserve"> ex-ante</w:t>
      </w:r>
      <w:r w:rsidR="00EA614E" w:rsidRPr="00F3668F">
        <w:t xml:space="preserve">, care a urmărit în principal îmbunătățirea calității procesului de elaborare și implementare a </w:t>
      </w:r>
      <w:r w:rsidRPr="00F3668F">
        <w:t>program</w:t>
      </w:r>
      <w:r w:rsidR="00EA614E" w:rsidRPr="00F3668F">
        <w:t>ului. Această evaluare a fost realizată cu sprijinul Unității Centrale de Evaluare din cadrul D</w:t>
      </w:r>
      <w:r w:rsidR="001E5971" w:rsidRPr="00F3668F">
        <w:t xml:space="preserve">irecției </w:t>
      </w:r>
      <w:r w:rsidR="00EA614E" w:rsidRPr="00F3668F">
        <w:t>G</w:t>
      </w:r>
      <w:r w:rsidR="001E5971" w:rsidRPr="00F3668F">
        <w:t xml:space="preserve">enerale </w:t>
      </w:r>
      <w:r w:rsidR="00EA614E" w:rsidRPr="00F3668F">
        <w:t>A</w:t>
      </w:r>
      <w:r w:rsidR="001E5971" w:rsidRPr="00F3668F">
        <w:t xml:space="preserve">naliză, </w:t>
      </w:r>
      <w:r w:rsidR="00EA614E" w:rsidRPr="00F3668F">
        <w:t>P</w:t>
      </w:r>
      <w:r w:rsidR="001E5971" w:rsidRPr="00F3668F">
        <w:t xml:space="preserve">rogramare și </w:t>
      </w:r>
      <w:r w:rsidR="00EA614E" w:rsidRPr="00F3668F">
        <w:t>E</w:t>
      </w:r>
      <w:r w:rsidR="001E5971" w:rsidRPr="00F3668F">
        <w:t>valuare</w:t>
      </w:r>
      <w:r w:rsidR="00EA614E" w:rsidRPr="00F3668F">
        <w:t xml:space="preserve"> – MFE, printre principalele teme abordate numărându-se coerența</w:t>
      </w:r>
      <w:r w:rsidR="00EA614E" w:rsidRPr="001E5971">
        <w:t xml:space="preserve"> externă, logica de intervenție a programului, performanța și contribuția strategică a acestuia. </w:t>
      </w:r>
    </w:p>
    <w:p w:rsidR="00CC62A9" w:rsidRPr="00E335B9" w:rsidRDefault="00CC62A9" w:rsidP="00CC62A9">
      <w:pPr>
        <w:jc w:val="both"/>
      </w:pPr>
      <w:r w:rsidRPr="001E5971">
        <w:t>Recomandările formulate în cadrul Raportului de evaluare au fost incluse în documentul de programare</w:t>
      </w:r>
      <w:r w:rsidRPr="007F3437">
        <w:t xml:space="preserve"> în mod progresiv</w:t>
      </w:r>
      <w:r w:rsidR="008638FB" w:rsidRPr="007F3437">
        <w:t xml:space="preserve"> și au vizat</w:t>
      </w:r>
      <w:r w:rsidRPr="007F3437">
        <w:t xml:space="preserve"> mai degrabă sugestii pentru a-i da valoare adăugată</w:t>
      </w:r>
      <w:r w:rsidR="008638FB" w:rsidRPr="007F3437">
        <w:t xml:space="preserve">, </w:t>
      </w:r>
      <w:r w:rsidR="00F02530">
        <w:t>nefiind identificate</w:t>
      </w:r>
      <w:r w:rsidR="00F02530" w:rsidRPr="00E31D81">
        <w:t xml:space="preserve"> </w:t>
      </w:r>
      <w:r w:rsidR="008638FB" w:rsidRPr="00E31D81">
        <w:t>inconsecvențe ale programului.</w:t>
      </w:r>
    </w:p>
    <w:p w:rsidR="00CC62A9" w:rsidRPr="007F3437" w:rsidRDefault="00CC62A9" w:rsidP="00CC62A9">
      <w:pPr>
        <w:jc w:val="both"/>
      </w:pPr>
      <w:r w:rsidRPr="00E70515">
        <w:t xml:space="preserve">O serie de comentarii au fost primite și incluse în </w:t>
      </w:r>
      <w:r w:rsidR="008638FB" w:rsidRPr="00E70515">
        <w:t>documentul de programare</w:t>
      </w:r>
      <w:r w:rsidRPr="00E70515">
        <w:t xml:space="preserve"> </w:t>
      </w:r>
      <w:r w:rsidR="001E5971" w:rsidRPr="00614B9F">
        <w:t xml:space="preserve">în special </w:t>
      </w:r>
      <w:r w:rsidRPr="001E5971">
        <w:t xml:space="preserve">cu privire </w:t>
      </w:r>
      <w:r w:rsidRPr="007F3437">
        <w:t>la aspecte legate de achiziții publice și ajutor de stat, personal insuficient în cadrul structurilor FESI și insuficiența personalului calificat și instruit, necesitatea optimizării SMIS, nevoia de a distinge clar între acțiunile orizontale și cele specifice ale POAT, de a delimita POAT de PO Capacitate Administrativă, simplificarea procedurilor de implementare a proiectelor, coordonarea și comunicarea cu alte AM-uri și OI-uri. Propunerile și sugestiile primite din partea actorilor interesați relevanți au fost luate în considerare și încorporate în structura POAT.</w:t>
      </w:r>
    </w:p>
    <w:p w:rsidR="00632B16" w:rsidRPr="00E70515" w:rsidRDefault="008638FB" w:rsidP="00632B16">
      <w:pPr>
        <w:jc w:val="both"/>
      </w:pPr>
      <w:r w:rsidRPr="00E31D81">
        <w:t>În ceea ce privește Planul de Evaluare POAT, acesta este un document strategic prin care se stabilește modul de organizare a evaluărilor ce</w:t>
      </w:r>
      <w:r w:rsidRPr="00E70515">
        <w:t xml:space="preserve"> se vor realiza pe parcursul noului exercițiu financiar. Documentul a fost aprobat în cadrul reuniunii CMPOAT organizată în data de 9 iunie 2015, iar versiunea finală a acestuia a fost publicată pe site-ul ministerului (</w:t>
      </w:r>
      <w:hyperlink r:id="rId11" w:anchor="implementare-program" w:history="1">
        <w:r w:rsidR="00396328" w:rsidRPr="006808D9">
          <w:rPr>
            <w:rStyle w:val="Hyperlink"/>
          </w:rPr>
          <w:t>http://www.fonduri-ue.ro/poat-2014#implementare-program</w:t>
        </w:r>
      </w:hyperlink>
      <w:r w:rsidRPr="00E70515">
        <w:t>) și transmisă CE prin SFC2014</w:t>
      </w:r>
      <w:r w:rsidR="00B51964" w:rsidRPr="00E70515">
        <w:t xml:space="preserve"> în data de 16 septembrie 2015.</w:t>
      </w:r>
    </w:p>
    <w:p w:rsidR="00632B16" w:rsidRPr="00F80C42" w:rsidRDefault="00B51964" w:rsidP="00632B16">
      <w:pPr>
        <w:jc w:val="both"/>
      </w:pPr>
      <w:r w:rsidRPr="00E70515">
        <w:t xml:space="preserve">Una dintre preocupările majore </w:t>
      </w:r>
      <w:r w:rsidR="00030AAC" w:rsidRPr="00E70515">
        <w:t xml:space="preserve">pentru pregătirea perioadei de programare 2014-2020 a reprezentat-o </w:t>
      </w:r>
      <w:r w:rsidR="00632B16" w:rsidRPr="00E70515">
        <w:t>dezvoltarea aplicațiilor informatice SMIS2014+ și MySMIS2014. În timp ce SMI</w:t>
      </w:r>
      <w:r w:rsidR="00632B16" w:rsidRPr="00F80C42">
        <w:t xml:space="preserve">S2014+ are ca scop înregistrarea și stocarea, într-o formă electronică, a datelor referitoare la fiecare proiect, </w:t>
      </w:r>
      <w:r w:rsidR="00030AAC" w:rsidRPr="00F80C42">
        <w:t>MySMIS2014</w:t>
      </w:r>
      <w:r w:rsidR="00632B16" w:rsidRPr="00F80C42">
        <w:t xml:space="preserve"> permite schimbul electronic de informații între beneficiari și autorități de management, organisme intermediare, autoritatea de certificare și autoritatea de audit.</w:t>
      </w:r>
    </w:p>
    <w:p w:rsidR="008638FB" w:rsidRPr="00F80C42" w:rsidRDefault="003A2F7D" w:rsidP="00CC62A9">
      <w:pPr>
        <w:jc w:val="both"/>
      </w:pPr>
      <w:r w:rsidRPr="00F80C42">
        <w:t xml:space="preserve">MySMIS2014 oferă beneficii pentru toate părțile implicate în procesul finanțărilor europene: potențialilor beneficiari le oferă un instrument online de depunere a cererilor de finanțare în mod transparent, cu </w:t>
      </w:r>
      <w:r w:rsidRPr="00F80C42">
        <w:lastRenderedPageBreak/>
        <w:t>eliminarea oricăror intermediari, administrației publice un instrument de culegere a datelor structurat, pentru a facilita nevoia de rapoarte cat mai amănunțite, și un sprijin pentru reducerea timpului de procesare a documentelor, iar beneficiarilor un mijloc prin care sunt la curent permanent cu etapele în care se află documentele depuse de ei în diferite stadii ale proiectului.</w:t>
      </w:r>
    </w:p>
    <w:p w:rsidR="007C510A" w:rsidRPr="007F3437" w:rsidRDefault="001C6DEE" w:rsidP="00C50B83">
      <w:pPr>
        <w:spacing w:line="276" w:lineRule="auto"/>
        <w:jc w:val="both"/>
      </w:pPr>
      <w:r>
        <w:t>P</w:t>
      </w:r>
      <w:r w:rsidR="00CB26A6">
        <w:t xml:space="preserve">entru a facilita procesul de implementare a proiectelor ce se vor finanța în cadrul noului program, </w:t>
      </w:r>
      <w:r w:rsidR="007C510A">
        <w:t>AM a</w:t>
      </w:r>
      <w:r w:rsidR="00CB26A6">
        <w:t>re în vedere</w:t>
      </w:r>
      <w:r w:rsidR="007C510A">
        <w:t xml:space="preserve"> elaborarea de</w:t>
      </w:r>
      <w:r w:rsidR="007C510A" w:rsidRPr="00441598">
        <w:t xml:space="preserve"> ghiduri și formulare ma</w:t>
      </w:r>
      <w:r w:rsidR="00CB26A6">
        <w:t xml:space="preserve">i clare, proceduri simplificate și, în special, </w:t>
      </w:r>
      <w:proofErr w:type="spellStart"/>
      <w:r w:rsidR="007C510A" w:rsidRPr="00441598">
        <w:t>helpdesk</w:t>
      </w:r>
      <w:proofErr w:type="spellEnd"/>
      <w:r w:rsidR="007C510A" w:rsidRPr="00441598">
        <w:t xml:space="preserve"> pentru beneficiari</w:t>
      </w:r>
      <w:r w:rsidR="00CB26A6">
        <w:t xml:space="preserve"> atât în ceea ce privește elaborarea cererilor de finanțare, cât și a cererilor de rambursare, pe parcursul implementării efective a proiectelor.</w:t>
      </w:r>
    </w:p>
    <w:p w:rsidR="00EA614E" w:rsidRPr="007F3437" w:rsidRDefault="00EA614E" w:rsidP="00315C1A">
      <w:pPr>
        <w:jc w:val="both"/>
      </w:pPr>
    </w:p>
    <w:p w:rsidR="00852059" w:rsidRPr="007F3437" w:rsidRDefault="00554BE2" w:rsidP="00852059">
      <w:pPr>
        <w:jc w:val="both"/>
        <w:rPr>
          <w:color w:val="FF0000"/>
        </w:rPr>
      </w:pPr>
      <w:r w:rsidRPr="007F3437">
        <w:rPr>
          <w:color w:val="FF0000"/>
        </w:rPr>
        <w:t>(se publică și se încarcă ca fișier separat sub formă de anexă la raport)</w:t>
      </w:r>
    </w:p>
    <w:p w:rsidR="00852059" w:rsidRPr="00E31D81" w:rsidRDefault="00852059" w:rsidP="00852059">
      <w:pPr>
        <w:jc w:val="both"/>
      </w:pPr>
    </w:p>
    <w:p w:rsidR="00852059" w:rsidRPr="00E31D81" w:rsidRDefault="00F3668F" w:rsidP="00F3668F">
      <w:pPr>
        <w:pStyle w:val="Heading1"/>
        <w:numPr>
          <w:ilvl w:val="0"/>
          <w:numId w:val="29"/>
        </w:numPr>
      </w:pPr>
      <w:bookmarkStart w:id="12" w:name="_Toc451439495"/>
      <w:r w:rsidRPr="00F3668F">
        <w:t>Raport privind implementarea instrumentelor financiare</w:t>
      </w:r>
      <w:bookmarkEnd w:id="12"/>
    </w:p>
    <w:p w:rsidR="00852059" w:rsidRPr="00E31D81" w:rsidRDefault="00852059" w:rsidP="00852059">
      <w:pPr>
        <w:jc w:val="both"/>
      </w:pPr>
    </w:p>
    <w:p w:rsidR="00852059" w:rsidRDefault="00F3668F" w:rsidP="00852059">
      <w:pPr>
        <w:jc w:val="both"/>
      </w:pPr>
      <w:r>
        <w:t>Nu este cazul pentru POAT.</w:t>
      </w:r>
    </w:p>
    <w:p w:rsidR="00F3668F" w:rsidRDefault="00F3668F" w:rsidP="00852059">
      <w:pPr>
        <w:jc w:val="both"/>
      </w:pPr>
    </w:p>
    <w:p w:rsidR="00F3668F" w:rsidRPr="00F80C42" w:rsidRDefault="00F3668F" w:rsidP="00852059">
      <w:pPr>
        <w:jc w:val="both"/>
        <w:sectPr w:rsidR="00F3668F" w:rsidRPr="00F80C42" w:rsidSect="00996CA9">
          <w:pgSz w:w="12240" w:h="15840"/>
          <w:pgMar w:top="1440" w:right="1440" w:bottom="1440" w:left="1440" w:header="720" w:footer="720" w:gutter="0"/>
          <w:cols w:space="720"/>
          <w:docGrid w:linePitch="360"/>
        </w:sectPr>
      </w:pPr>
    </w:p>
    <w:p w:rsidR="00852059" w:rsidRPr="00F80C42" w:rsidRDefault="00852059" w:rsidP="0068505F">
      <w:pPr>
        <w:pStyle w:val="Heading1"/>
        <w:numPr>
          <w:ilvl w:val="0"/>
          <w:numId w:val="29"/>
        </w:numPr>
      </w:pPr>
      <w:bookmarkStart w:id="13" w:name="_Toc451439496"/>
      <w:r w:rsidRPr="00F80C42">
        <w:lastRenderedPageBreak/>
        <w:t xml:space="preserve">Acțiunile desfășurate pentru îndeplinirea </w:t>
      </w:r>
      <w:proofErr w:type="spellStart"/>
      <w:r w:rsidRPr="00F80C42">
        <w:t>condiționalităților</w:t>
      </w:r>
      <w:proofErr w:type="spellEnd"/>
      <w:r w:rsidRPr="00F80C42">
        <w:t xml:space="preserve"> ex-ante</w:t>
      </w:r>
      <w:bookmarkEnd w:id="13"/>
    </w:p>
    <w:p w:rsidR="00852059" w:rsidRPr="00F80C42" w:rsidRDefault="00852059" w:rsidP="00852059">
      <w:pPr>
        <w:pStyle w:val="ListParagraph"/>
        <w:rPr>
          <w:b/>
          <w:sz w:val="18"/>
          <w:szCs w:val="18"/>
        </w:rPr>
      </w:pPr>
    </w:p>
    <w:p w:rsidR="00852059" w:rsidRPr="00F80C42" w:rsidRDefault="00852059" w:rsidP="00852059">
      <w:pPr>
        <w:pStyle w:val="ListParagraph"/>
        <w:rPr>
          <w:b/>
        </w:rPr>
      </w:pPr>
      <w:r w:rsidRPr="00F80C42">
        <w:rPr>
          <w:b/>
        </w:rPr>
        <w:t>Tabelul 1</w:t>
      </w:r>
      <w:r w:rsidR="00653232">
        <w:rPr>
          <w:b/>
        </w:rPr>
        <w:t>4</w:t>
      </w:r>
    </w:p>
    <w:p w:rsidR="00852059" w:rsidRPr="00F80C42" w:rsidRDefault="00852059" w:rsidP="00852059">
      <w:pPr>
        <w:pStyle w:val="ListParagraph"/>
        <w:rPr>
          <w:b/>
        </w:rPr>
      </w:pPr>
      <w:r w:rsidRPr="00F80C42">
        <w:rPr>
          <w:b/>
        </w:rPr>
        <w:t xml:space="preserve">Acțiuni întreprinse pentru îndeplinirea </w:t>
      </w:r>
      <w:proofErr w:type="spellStart"/>
      <w:r w:rsidRPr="00F80C42">
        <w:rPr>
          <w:b/>
        </w:rPr>
        <w:t>condiționalităților</w:t>
      </w:r>
      <w:proofErr w:type="spellEnd"/>
      <w:r w:rsidRPr="00F80C42">
        <w:rPr>
          <w:b/>
        </w:rPr>
        <w:t xml:space="preserve"> ex-ante </w:t>
      </w:r>
      <w:r w:rsidR="00653232">
        <w:rPr>
          <w:b/>
        </w:rPr>
        <w:t>generale</w:t>
      </w:r>
      <w:r w:rsidR="00181328" w:rsidRPr="00F80C42">
        <w:rPr>
          <w:b/>
        </w:rPr>
        <w:t xml:space="preserve"> </w:t>
      </w:r>
      <w:r w:rsidRPr="00F80C42">
        <w:rPr>
          <w:b/>
        </w:rPr>
        <w:t xml:space="preserve">aplicabile POAT 2014-2020 </w:t>
      </w:r>
    </w:p>
    <w:p w:rsidR="00852059" w:rsidRPr="00F80C42" w:rsidRDefault="00852059" w:rsidP="00852059">
      <w:pPr>
        <w:pStyle w:val="ListParagraph"/>
        <w:rPr>
          <w:b/>
        </w:rPr>
      </w:pPr>
    </w:p>
    <w:tbl>
      <w:tblPr>
        <w:tblW w:w="14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350"/>
        <w:gridCol w:w="1980"/>
        <w:gridCol w:w="1090"/>
        <w:gridCol w:w="992"/>
        <w:gridCol w:w="1350"/>
        <w:gridCol w:w="1009"/>
        <w:gridCol w:w="1290"/>
        <w:gridCol w:w="4163"/>
      </w:tblGrid>
      <w:tr w:rsidR="00653232" w:rsidRPr="00F80C42" w:rsidTr="00C50B83">
        <w:trPr>
          <w:trHeight w:val="336"/>
          <w:tblHeader/>
        </w:trPr>
        <w:tc>
          <w:tcPr>
            <w:tcW w:w="1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pStyle w:val="CM1"/>
              <w:spacing w:before="200" w:after="200"/>
              <w:jc w:val="both"/>
              <w:rPr>
                <w:rFonts w:asciiTheme="minorHAnsi" w:hAnsiTheme="minorHAnsi"/>
                <w:b/>
                <w:sz w:val="18"/>
                <w:szCs w:val="18"/>
              </w:rPr>
            </w:pPr>
            <w:r w:rsidRPr="00F80C42">
              <w:rPr>
                <w:rFonts w:asciiTheme="minorHAnsi" w:hAnsiTheme="minorHAnsi"/>
                <w:b/>
                <w:sz w:val="18"/>
                <w:szCs w:val="18"/>
              </w:rPr>
              <w:t>Condiționalitatea ex-ante generală</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spacing w:beforeLines="20" w:before="48" w:afterLines="20" w:after="48" w:line="240" w:lineRule="auto"/>
              <w:jc w:val="both"/>
              <w:rPr>
                <w:b/>
                <w:sz w:val="18"/>
                <w:szCs w:val="18"/>
              </w:rPr>
            </w:pPr>
            <w:r w:rsidRPr="00F80C42">
              <w:rPr>
                <w:b/>
                <w:sz w:val="18"/>
                <w:szCs w:val="18"/>
              </w:rPr>
              <w:t>Criterii neîndeplinite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autoSpaceDE w:val="0"/>
              <w:autoSpaceDN w:val="0"/>
              <w:adjustRightInd w:val="0"/>
              <w:spacing w:line="240" w:lineRule="auto"/>
              <w:jc w:val="center"/>
              <w:rPr>
                <w:rFonts w:cs="TimesNewRomanPSMT"/>
                <w:b/>
                <w:sz w:val="18"/>
                <w:szCs w:val="18"/>
                <w:lang w:eastAsia="ro-RO"/>
              </w:rPr>
            </w:pPr>
            <w:r w:rsidRPr="00F80C42">
              <w:rPr>
                <w:rFonts w:cs="TimesNewRomanPSMT"/>
                <w:b/>
                <w:sz w:val="18"/>
                <w:szCs w:val="18"/>
                <w:lang w:eastAsia="ro-RO"/>
              </w:rPr>
              <w:t>Acțiuni întreprinse</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spacing w:beforeLines="20" w:before="48" w:afterLines="20" w:after="48" w:line="240" w:lineRule="auto"/>
              <w:jc w:val="center"/>
              <w:rPr>
                <w:b/>
                <w:sz w:val="18"/>
                <w:szCs w:val="18"/>
              </w:rPr>
            </w:pPr>
            <w:r w:rsidRPr="00F80C42">
              <w:rPr>
                <w:b/>
                <w:sz w:val="18"/>
                <w:szCs w:val="18"/>
              </w:rPr>
              <w:t>Termenul-limită</w:t>
            </w:r>
            <w:r>
              <w:rPr>
                <w:b/>
                <w:sz w:val="18"/>
                <w:szCs w:val="18"/>
              </w:rPr>
              <w:t xml:space="preserve"> (data)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spacing w:beforeLines="20" w:before="48" w:afterLines="20" w:after="48" w:line="240" w:lineRule="auto"/>
              <w:ind w:left="-108" w:right="-108"/>
              <w:jc w:val="center"/>
              <w:rPr>
                <w:b/>
                <w:sz w:val="18"/>
                <w:szCs w:val="18"/>
              </w:rPr>
            </w:pPr>
            <w:r w:rsidRPr="00F80C42">
              <w:rPr>
                <w:b/>
                <w:sz w:val="18"/>
                <w:szCs w:val="18"/>
              </w:rPr>
              <w:t>Organisme responsabile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spacing w:beforeLines="20" w:before="48" w:afterLines="20" w:after="48" w:line="240" w:lineRule="auto"/>
              <w:jc w:val="center"/>
              <w:rPr>
                <w:b/>
                <w:sz w:val="18"/>
                <w:szCs w:val="18"/>
              </w:rPr>
            </w:pPr>
            <w:r w:rsidRPr="00F80C42">
              <w:rPr>
                <w:b/>
                <w:sz w:val="18"/>
                <w:szCs w:val="18"/>
              </w:rPr>
              <w:t>Acțiune încheiată până la termenul-limită (Da/Nu)</w:t>
            </w: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Default="00653232" w:rsidP="00C50B83">
            <w:pPr>
              <w:spacing w:beforeLines="20" w:before="48" w:afterLines="20" w:after="48" w:line="240" w:lineRule="auto"/>
              <w:ind w:right="-108"/>
              <w:jc w:val="center"/>
              <w:rPr>
                <w:b/>
                <w:sz w:val="18"/>
                <w:szCs w:val="18"/>
              </w:rPr>
            </w:pPr>
            <w:r>
              <w:rPr>
                <w:b/>
                <w:sz w:val="18"/>
                <w:szCs w:val="18"/>
              </w:rPr>
              <w:t>Criterii îndeplinite</w:t>
            </w:r>
          </w:p>
          <w:p w:rsidR="00653232" w:rsidRPr="00F80C42" w:rsidRDefault="00653232" w:rsidP="00C50B83">
            <w:pPr>
              <w:spacing w:beforeLines="20" w:before="48" w:afterLines="20" w:after="48" w:line="240" w:lineRule="auto"/>
              <w:jc w:val="center"/>
              <w:rPr>
                <w:b/>
                <w:sz w:val="18"/>
                <w:szCs w:val="18"/>
              </w:rPr>
            </w:pPr>
            <w:r>
              <w:rPr>
                <w:b/>
                <w:sz w:val="18"/>
                <w:szCs w:val="18"/>
              </w:rPr>
              <w:t>(Da/Nu)</w:t>
            </w: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spacing w:beforeLines="20" w:before="48" w:afterLines="20" w:after="48" w:line="240" w:lineRule="auto"/>
              <w:jc w:val="center"/>
              <w:rPr>
                <w:b/>
                <w:sz w:val="18"/>
                <w:szCs w:val="18"/>
              </w:rPr>
            </w:pPr>
            <w:r w:rsidRPr="00F80C42">
              <w:rPr>
                <w:b/>
                <w:sz w:val="18"/>
                <w:szCs w:val="18"/>
              </w:rPr>
              <w:t>Data preconizată pentru implementarea deplină a celorlalte acțiuni, dacă este cazul</w:t>
            </w:r>
          </w:p>
        </w:tc>
        <w:tc>
          <w:tcPr>
            <w:tcW w:w="4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53232" w:rsidRPr="00F80C42" w:rsidRDefault="00653232" w:rsidP="00C50B83">
            <w:pPr>
              <w:spacing w:beforeLines="20" w:before="48" w:afterLines="20" w:after="48" w:line="240" w:lineRule="auto"/>
              <w:jc w:val="center"/>
              <w:rPr>
                <w:b/>
                <w:sz w:val="18"/>
                <w:szCs w:val="18"/>
              </w:rPr>
            </w:pPr>
            <w:r w:rsidRPr="00F80C42">
              <w:rPr>
                <w:b/>
                <w:sz w:val="18"/>
                <w:szCs w:val="18"/>
              </w:rPr>
              <w:t>Comentariu (pentru fiecare acțiune)</w:t>
            </w:r>
          </w:p>
        </w:tc>
      </w:tr>
      <w:tr w:rsidR="0042237E" w:rsidRPr="00F80C42" w:rsidTr="003C79AE">
        <w:trPr>
          <w:trHeight w:val="336"/>
        </w:trPr>
        <w:tc>
          <w:tcPr>
            <w:tcW w:w="1676" w:type="dxa"/>
            <w:vMerge w:val="restart"/>
            <w:shd w:val="clear" w:color="auto" w:fill="auto"/>
          </w:tcPr>
          <w:p w:rsidR="0042237E" w:rsidRPr="00F80C42" w:rsidRDefault="0042237E" w:rsidP="0042237E">
            <w:pPr>
              <w:pStyle w:val="CM1"/>
              <w:jc w:val="both"/>
              <w:rPr>
                <w:rFonts w:asciiTheme="minorHAnsi" w:hAnsiTheme="minorHAnsi"/>
                <w:sz w:val="18"/>
                <w:szCs w:val="18"/>
              </w:rPr>
            </w:pPr>
            <w:r w:rsidRPr="00C50B83">
              <w:rPr>
                <w:rFonts w:asciiTheme="minorHAnsi" w:hAnsiTheme="minorHAnsi"/>
                <w:sz w:val="18"/>
                <w:szCs w:val="18"/>
              </w:rPr>
              <w:t>4. Achizițiile publice -Existența unor măsuri de aplicare eficace a dreptului Uniunii din domeniul achizițiilor publice în ceea ce privește fondurile ESI</w:t>
            </w:r>
          </w:p>
        </w:tc>
        <w:tc>
          <w:tcPr>
            <w:tcW w:w="1350" w:type="dxa"/>
            <w:shd w:val="clear" w:color="auto" w:fill="auto"/>
          </w:tcPr>
          <w:p w:rsidR="0042237E" w:rsidRPr="00F80C42" w:rsidRDefault="0042237E" w:rsidP="0042237E">
            <w:pPr>
              <w:spacing w:beforeLines="20" w:before="48" w:afterLines="20" w:after="48" w:line="240" w:lineRule="auto"/>
              <w:jc w:val="both"/>
              <w:rPr>
                <w:sz w:val="18"/>
                <w:szCs w:val="18"/>
              </w:rPr>
            </w:pPr>
            <w:r w:rsidRPr="00C50B83">
              <w:rPr>
                <w:sz w:val="18"/>
                <w:szCs w:val="18"/>
              </w:rPr>
              <w:t>1. Măsuri pentru aplicarea eficace a normelor Uniunii din domeniul achizițiilor publice prin intermediul unor mecanisme adecvate;</w:t>
            </w:r>
          </w:p>
        </w:tc>
        <w:tc>
          <w:tcPr>
            <w:tcW w:w="1980" w:type="dxa"/>
            <w:shd w:val="clear" w:color="auto" w:fill="auto"/>
          </w:tcPr>
          <w:p w:rsidR="0042237E" w:rsidRDefault="0042237E" w:rsidP="0042237E">
            <w:p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 xml:space="preserve">Asigurarea cadrului legislativ clar, stabil și coerent </w:t>
            </w:r>
          </w:p>
          <w:p w:rsidR="0042237E" w:rsidRPr="00C50B83"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Împuternicirea autorității competente pentru a asigura coerența cu legislația sectorială</w:t>
            </w:r>
          </w:p>
          <w:p w:rsidR="0042237E" w:rsidRPr="00C50B83"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Monitorizarea și gestionarea achizițiilor publice</w:t>
            </w:r>
          </w:p>
          <w:p w:rsidR="0042237E" w:rsidRPr="00C50B83"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Evaluarea impactului și consultarea actorilor interesați în elaborarea noii legislații</w:t>
            </w:r>
          </w:p>
          <w:p w:rsidR="0042237E" w:rsidRPr="00C50B83"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Transpunerea directivelor viitoare</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Pr>
                <w:rFonts w:cs="TimesNewRomanPSMT"/>
                <w:sz w:val="18"/>
                <w:szCs w:val="18"/>
                <w:lang w:eastAsia="ro-RO"/>
              </w:rPr>
              <w:t>Promovarea noii legislații</w:t>
            </w:r>
          </w:p>
          <w:p w:rsidR="0042237E" w:rsidRDefault="0042237E" w:rsidP="0042237E">
            <w:p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lastRenderedPageBreak/>
              <w:t>Asigurarea cadrului instituțional eficient</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Coordonarea interi</w:t>
            </w:r>
            <w:r>
              <w:rPr>
                <w:rFonts w:cs="TimesNewRomanPSMT"/>
                <w:sz w:val="18"/>
                <w:szCs w:val="18"/>
                <w:lang w:eastAsia="ro-RO"/>
              </w:rPr>
              <w:t>nstituțională și instituțională</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Pr>
                <w:rFonts w:cs="TimesNewRomanPSMT"/>
                <w:sz w:val="18"/>
                <w:szCs w:val="18"/>
                <w:lang w:eastAsia="ro-RO"/>
              </w:rPr>
              <w:t>Jurisprudență accesibilă</w:t>
            </w:r>
          </w:p>
          <w:p w:rsidR="0042237E" w:rsidRDefault="0042237E" w:rsidP="0042237E">
            <w:p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Mecanisme eficiente de verificare și control</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Eficientizarea controalelor ex-ante</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Consolidarea UCVAP pentru punerea în aplicare a observațiilor</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Prevenirea și detectarea conflictului de interese</w:t>
            </w:r>
          </w:p>
          <w:p w:rsidR="0042237E" w:rsidRDefault="0042237E" w:rsidP="0042237E">
            <w:p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Consolidarea eficacității sistemului de căi de atac</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Descurajarea contestațiilor abuzive</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Specializarea judecătorilor curților de apel</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Decizii CNSC previzibile</w:t>
            </w:r>
          </w:p>
          <w:p w:rsidR="0042237E" w:rsidRPr="00C50B83" w:rsidRDefault="0042237E" w:rsidP="0042237E">
            <w:p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 xml:space="preserve">Măsurile vor fi detaliate, ajustate și monitorizate în cadrul Grupului de </w:t>
            </w:r>
            <w:r w:rsidRPr="00C50B83">
              <w:rPr>
                <w:rFonts w:cs="TimesNewRomanPSMT"/>
                <w:sz w:val="18"/>
                <w:szCs w:val="18"/>
                <w:lang w:eastAsia="ro-RO"/>
              </w:rPr>
              <w:lastRenderedPageBreak/>
              <w:t>Lucru comun RO-CE (DG MARKT/REGIO) pe baza unui calendar stabilit de comun acord.</w:t>
            </w:r>
          </w:p>
        </w:tc>
        <w:tc>
          <w:tcPr>
            <w:tcW w:w="1090" w:type="dxa"/>
            <w:shd w:val="clear" w:color="auto" w:fill="auto"/>
          </w:tcPr>
          <w:p w:rsidR="0042237E" w:rsidRPr="00F80C42" w:rsidRDefault="0042237E" w:rsidP="0042237E">
            <w:pPr>
              <w:spacing w:beforeLines="20" w:before="48" w:afterLines="20" w:after="48" w:line="240" w:lineRule="auto"/>
              <w:jc w:val="both"/>
              <w:rPr>
                <w:sz w:val="18"/>
                <w:szCs w:val="18"/>
              </w:rPr>
            </w:pPr>
            <w:r>
              <w:rPr>
                <w:sz w:val="18"/>
                <w:szCs w:val="18"/>
              </w:rPr>
              <w:lastRenderedPageBreak/>
              <w:t>31.12.2016</w:t>
            </w:r>
          </w:p>
        </w:tc>
        <w:tc>
          <w:tcPr>
            <w:tcW w:w="992" w:type="dxa"/>
            <w:tcBorders>
              <w:bottom w:val="single" w:sz="4" w:space="0" w:color="auto"/>
            </w:tcBorders>
            <w:shd w:val="clear" w:color="auto" w:fill="auto"/>
          </w:tcPr>
          <w:p w:rsidR="0042237E" w:rsidRPr="0042237E" w:rsidRDefault="0042237E" w:rsidP="0042237E">
            <w:pPr>
              <w:jc w:val="both"/>
              <w:rPr>
                <w:sz w:val="18"/>
                <w:szCs w:val="18"/>
              </w:rPr>
            </w:pPr>
            <w:r w:rsidRPr="0042237E">
              <w:rPr>
                <w:sz w:val="18"/>
                <w:szCs w:val="18"/>
              </w:rPr>
              <w:t>ANAP</w:t>
            </w:r>
          </w:p>
          <w:p w:rsidR="0042237E" w:rsidRPr="0042237E" w:rsidRDefault="0042237E" w:rsidP="0042237E">
            <w:pPr>
              <w:jc w:val="both"/>
              <w:rPr>
                <w:sz w:val="18"/>
                <w:szCs w:val="18"/>
              </w:rPr>
            </w:pPr>
          </w:p>
        </w:tc>
        <w:tc>
          <w:tcPr>
            <w:tcW w:w="1350" w:type="dxa"/>
            <w:tcBorders>
              <w:bottom w:val="single" w:sz="4" w:space="0" w:color="auto"/>
            </w:tcBorders>
            <w:shd w:val="clear" w:color="auto" w:fill="auto"/>
          </w:tcPr>
          <w:p w:rsidR="0042237E" w:rsidRPr="0042237E" w:rsidRDefault="0042237E" w:rsidP="0042237E">
            <w:pPr>
              <w:jc w:val="both"/>
              <w:rPr>
                <w:sz w:val="18"/>
                <w:szCs w:val="18"/>
              </w:rPr>
            </w:pPr>
            <w:r w:rsidRPr="0042237E">
              <w:rPr>
                <w:sz w:val="18"/>
                <w:szCs w:val="18"/>
              </w:rPr>
              <w:t>Nu</w:t>
            </w:r>
          </w:p>
        </w:tc>
        <w:tc>
          <w:tcPr>
            <w:tcW w:w="1009" w:type="dxa"/>
            <w:tcBorders>
              <w:bottom w:val="single" w:sz="4" w:space="0" w:color="auto"/>
            </w:tcBorders>
          </w:tcPr>
          <w:p w:rsidR="0042237E" w:rsidRPr="0042237E" w:rsidRDefault="0042237E" w:rsidP="0042237E">
            <w:pPr>
              <w:jc w:val="both"/>
              <w:rPr>
                <w:sz w:val="18"/>
                <w:szCs w:val="18"/>
              </w:rPr>
            </w:pPr>
            <w:r w:rsidRPr="0042237E">
              <w:rPr>
                <w:sz w:val="18"/>
                <w:szCs w:val="18"/>
              </w:rPr>
              <w:t xml:space="preserve">Nu </w:t>
            </w:r>
          </w:p>
        </w:tc>
        <w:tc>
          <w:tcPr>
            <w:tcW w:w="1290" w:type="dxa"/>
            <w:tcBorders>
              <w:bottom w:val="single" w:sz="4" w:space="0" w:color="auto"/>
            </w:tcBorders>
          </w:tcPr>
          <w:p w:rsidR="0042237E" w:rsidRPr="0042237E" w:rsidRDefault="0042237E" w:rsidP="0042237E">
            <w:pPr>
              <w:jc w:val="both"/>
              <w:rPr>
                <w:sz w:val="18"/>
                <w:szCs w:val="18"/>
              </w:rPr>
            </w:pPr>
            <w:r w:rsidRPr="0042237E">
              <w:rPr>
                <w:sz w:val="18"/>
                <w:szCs w:val="18"/>
              </w:rPr>
              <w:t>31.12.2016</w:t>
            </w:r>
          </w:p>
        </w:tc>
        <w:tc>
          <w:tcPr>
            <w:tcW w:w="4163" w:type="dxa"/>
            <w:tcBorders>
              <w:bottom w:val="single" w:sz="4" w:space="0" w:color="auto"/>
            </w:tcBorders>
          </w:tcPr>
          <w:p w:rsidR="0042237E" w:rsidRPr="0042237E" w:rsidRDefault="0042237E" w:rsidP="0042237E">
            <w:pPr>
              <w:spacing w:line="240" w:lineRule="auto"/>
              <w:jc w:val="both"/>
              <w:rPr>
                <w:sz w:val="18"/>
                <w:szCs w:val="18"/>
              </w:rPr>
            </w:pPr>
            <w:r w:rsidRPr="0042237E">
              <w:rPr>
                <w:sz w:val="18"/>
                <w:szCs w:val="18"/>
              </w:rPr>
              <w:t>Acțiunile inițial asumate pentru condiționalitatea privind achizițiile publice au fost modificate în concordanță cu HG nr. 901/2015 privind aprobarea Strategiei naționale în domeniul achizițiilor publice (</w:t>
            </w:r>
            <w:hyperlink r:id="rId12" w:history="1">
              <w:r w:rsidRPr="0042237E">
                <w:rPr>
                  <w:sz w:val="18"/>
                  <w:szCs w:val="18"/>
                </w:rPr>
                <w:t>http://www.anrmap.ro/ro/web/public/strategia-nationala-in-domeniul-achizitiilor-publice</w:t>
              </w:r>
            </w:hyperlink>
            <w:r w:rsidRPr="0042237E">
              <w:rPr>
                <w:sz w:val="18"/>
                <w:szCs w:val="18"/>
              </w:rPr>
              <w:t>) și cu deciziile luate de comun acord cu Comisia Europeană. Astfel, acest criteriu se va realiza prin:</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asigurarea calității cadrului legislativ, inclusiv evaluarea opțiunilor de transpunere a noilor directive în legislația națională;</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asigurarea funcțiilor de monitorizare și supervizare ale sistemului de achiziții publice din România.</w:t>
            </w:r>
          </w:p>
          <w:p w:rsidR="0042237E" w:rsidRPr="0042237E" w:rsidRDefault="0042237E" w:rsidP="0042237E">
            <w:pPr>
              <w:spacing w:line="240" w:lineRule="auto"/>
              <w:jc w:val="both"/>
              <w:rPr>
                <w:sz w:val="18"/>
                <w:szCs w:val="18"/>
              </w:rPr>
            </w:pPr>
            <w:r w:rsidRPr="0042237E">
              <w:rPr>
                <w:sz w:val="18"/>
                <w:szCs w:val="18"/>
              </w:rPr>
              <w:t>A fost adoptată Hotărârea de Guvern nr. 634/28 iulie 2015 privind organizarea și funcționarea Agenției Naționale pentru Achiziții Publice (ANAP), în cadrul căreia a fost înființată  Direcția de monitorizare și statistică și Direcția supraveghere sistem. ANAP preia toate atribuțiile ANRMAP.</w:t>
            </w:r>
          </w:p>
          <w:p w:rsidR="0042237E" w:rsidRPr="0042237E" w:rsidRDefault="0042237E" w:rsidP="0042237E">
            <w:pPr>
              <w:spacing w:line="240" w:lineRule="auto"/>
              <w:jc w:val="both"/>
              <w:rPr>
                <w:sz w:val="18"/>
                <w:szCs w:val="18"/>
              </w:rPr>
            </w:pPr>
            <w:r w:rsidRPr="0042237E">
              <w:rPr>
                <w:sz w:val="18"/>
                <w:szCs w:val="18"/>
              </w:rPr>
              <w:t xml:space="preserve">La data de 10 mai a fost adoptat, de către Parlamentul României,  pachetul legislativ de transpunere a noilor </w:t>
            </w:r>
            <w:r w:rsidRPr="0042237E">
              <w:rPr>
                <w:sz w:val="18"/>
                <w:szCs w:val="18"/>
              </w:rPr>
              <w:lastRenderedPageBreak/>
              <w:t xml:space="preserve">directive europene în materia achizițiilor publice (achiziții publice, utilități, concesiuni și remedii). </w:t>
            </w:r>
          </w:p>
          <w:p w:rsidR="0042237E" w:rsidRPr="0042237E" w:rsidRDefault="0042237E" w:rsidP="0042237E">
            <w:pPr>
              <w:spacing w:line="240" w:lineRule="auto"/>
              <w:jc w:val="both"/>
              <w:rPr>
                <w:sz w:val="18"/>
                <w:szCs w:val="18"/>
              </w:rPr>
            </w:pPr>
            <w:r w:rsidRPr="0042237E">
              <w:rPr>
                <w:sz w:val="18"/>
                <w:szCs w:val="18"/>
              </w:rPr>
              <w:t xml:space="preserve">Alte acțiuni relevante care conduc la îndeplinirea criteriului sunt: </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adoptarea legislației secundare aferente (3 norme metodologice);</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pregătirea și aplicarea unei metodologii de evaluare a impactului înainte de modificarea legilor din domeniul achiziţiilor publice;</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implementarea măsurilor operaționale de corectare și prevenire a inconsecvențelor legislative;</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dezvoltarea şi implementarea unui ghid online (în loc de legislație terțiară);</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elaborarea și implementarea noului sistem de monitorizare;</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publicarea tuturor contractelor de atribuire pe SEAP/SICAP, inclusiv a modificărilor contractuale, pentru accesul publicului;</w:t>
            </w:r>
          </w:p>
          <w:p w:rsidR="0042237E" w:rsidRPr="0042237E" w:rsidRDefault="0042237E" w:rsidP="0042237E">
            <w:pPr>
              <w:pStyle w:val="ListParagraph"/>
              <w:numPr>
                <w:ilvl w:val="0"/>
                <w:numId w:val="38"/>
              </w:numPr>
              <w:tabs>
                <w:tab w:val="left" w:pos="210"/>
              </w:tabs>
              <w:spacing w:after="0" w:line="240" w:lineRule="auto"/>
              <w:ind w:left="210" w:hanging="210"/>
              <w:jc w:val="both"/>
              <w:rPr>
                <w:sz w:val="18"/>
                <w:szCs w:val="18"/>
              </w:rPr>
            </w:pPr>
            <w:r w:rsidRPr="0042237E">
              <w:rPr>
                <w:sz w:val="18"/>
                <w:szCs w:val="18"/>
              </w:rPr>
              <w:t xml:space="preserve">elaborarea procedurilor pentru a asigura </w:t>
            </w:r>
            <w:proofErr w:type="spellStart"/>
            <w:r w:rsidRPr="0042237E">
              <w:rPr>
                <w:sz w:val="18"/>
                <w:szCs w:val="18"/>
              </w:rPr>
              <w:t>follow-up</w:t>
            </w:r>
            <w:proofErr w:type="spellEnd"/>
            <w:r w:rsidRPr="0042237E">
              <w:rPr>
                <w:sz w:val="18"/>
                <w:szCs w:val="18"/>
              </w:rPr>
              <w:t xml:space="preserve"> pe baza informațiilor furnizate de funcția de monitorizare.</w:t>
            </w:r>
          </w:p>
        </w:tc>
      </w:tr>
      <w:tr w:rsidR="0042237E" w:rsidRPr="00F80C42" w:rsidTr="003C79AE">
        <w:trPr>
          <w:trHeight w:val="336"/>
        </w:trPr>
        <w:tc>
          <w:tcPr>
            <w:tcW w:w="1676" w:type="dxa"/>
            <w:vMerge/>
            <w:shd w:val="clear" w:color="auto" w:fill="auto"/>
          </w:tcPr>
          <w:p w:rsidR="0042237E" w:rsidRPr="00C50B83" w:rsidRDefault="0042237E" w:rsidP="0042237E">
            <w:pPr>
              <w:pStyle w:val="CM1"/>
              <w:jc w:val="both"/>
              <w:rPr>
                <w:rFonts w:asciiTheme="minorHAnsi" w:hAnsiTheme="minorHAnsi"/>
                <w:sz w:val="18"/>
                <w:szCs w:val="18"/>
              </w:rPr>
            </w:pPr>
          </w:p>
        </w:tc>
        <w:tc>
          <w:tcPr>
            <w:tcW w:w="1350" w:type="dxa"/>
            <w:shd w:val="clear" w:color="auto" w:fill="auto"/>
          </w:tcPr>
          <w:p w:rsidR="0042237E" w:rsidRPr="00C50B83" w:rsidRDefault="0042237E" w:rsidP="0042237E">
            <w:pPr>
              <w:spacing w:beforeLines="20" w:before="48" w:afterLines="20" w:after="48" w:line="240" w:lineRule="auto"/>
              <w:jc w:val="both"/>
              <w:rPr>
                <w:sz w:val="18"/>
                <w:szCs w:val="18"/>
              </w:rPr>
            </w:pPr>
            <w:r w:rsidRPr="00C50B83">
              <w:rPr>
                <w:sz w:val="18"/>
                <w:szCs w:val="18"/>
              </w:rPr>
              <w:t>2. Măsuri de asigurare a procedurilor transparente de atribuire a contractelor;</w:t>
            </w:r>
          </w:p>
        </w:tc>
        <w:tc>
          <w:tcPr>
            <w:tcW w:w="1980" w:type="dxa"/>
            <w:shd w:val="clear" w:color="auto" w:fill="auto"/>
          </w:tcPr>
          <w:p w:rsidR="0042237E" w:rsidRPr="00F80C42" w:rsidRDefault="0042237E" w:rsidP="0042237E">
            <w:pPr>
              <w:autoSpaceDE w:val="0"/>
              <w:autoSpaceDN w:val="0"/>
              <w:adjustRightInd w:val="0"/>
              <w:spacing w:after="0" w:line="240" w:lineRule="auto"/>
              <w:jc w:val="both"/>
              <w:rPr>
                <w:rFonts w:cs="TimesNewRomanPSMT"/>
                <w:sz w:val="18"/>
                <w:szCs w:val="18"/>
                <w:lang w:eastAsia="ro-RO"/>
              </w:rPr>
            </w:pPr>
            <w:r w:rsidRPr="00C50B83">
              <w:rPr>
                <w:rFonts w:cs="TimesNewRomanPSMT"/>
                <w:sz w:val="18"/>
                <w:szCs w:val="18"/>
                <w:lang w:eastAsia="ro-RO"/>
              </w:rPr>
              <w:t>Elaborarea unui ghid de bune practici cu privire la principalele etape ce trebuie urmate în timpul procesului de evaluare, indiferent de sursa fondurilor și sursa de finanțare.</w:t>
            </w:r>
          </w:p>
        </w:tc>
        <w:tc>
          <w:tcPr>
            <w:tcW w:w="1090" w:type="dxa"/>
            <w:shd w:val="clear" w:color="auto" w:fill="auto"/>
          </w:tcPr>
          <w:p w:rsidR="0042237E" w:rsidRPr="00F80C42" w:rsidRDefault="0042237E" w:rsidP="0042237E">
            <w:pPr>
              <w:spacing w:beforeLines="20" w:before="48" w:afterLines="20" w:after="48" w:line="240" w:lineRule="auto"/>
              <w:jc w:val="both"/>
              <w:rPr>
                <w:sz w:val="18"/>
                <w:szCs w:val="18"/>
              </w:rPr>
            </w:pPr>
            <w:r>
              <w:rPr>
                <w:sz w:val="18"/>
                <w:szCs w:val="18"/>
              </w:rPr>
              <w:t>31.12.2016</w:t>
            </w:r>
          </w:p>
        </w:tc>
        <w:tc>
          <w:tcPr>
            <w:tcW w:w="992" w:type="dxa"/>
            <w:tcBorders>
              <w:bottom w:val="single" w:sz="4" w:space="0" w:color="auto"/>
            </w:tcBorders>
            <w:shd w:val="clear" w:color="auto" w:fill="auto"/>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ANAP</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SGG</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MFP</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CNANDR</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ANAR</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ANI</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Curtea de Conturi</w:t>
            </w:r>
          </w:p>
        </w:tc>
        <w:tc>
          <w:tcPr>
            <w:tcW w:w="1350" w:type="dxa"/>
            <w:tcBorders>
              <w:bottom w:val="single" w:sz="4" w:space="0" w:color="auto"/>
            </w:tcBorders>
            <w:shd w:val="clear" w:color="auto" w:fill="auto"/>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 xml:space="preserve">Nu </w:t>
            </w:r>
          </w:p>
        </w:tc>
        <w:tc>
          <w:tcPr>
            <w:tcW w:w="1009" w:type="dxa"/>
            <w:tcBorders>
              <w:bottom w:val="single" w:sz="4" w:space="0" w:color="auto"/>
            </w:tcBorders>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 xml:space="preserve">Nu </w:t>
            </w:r>
          </w:p>
        </w:tc>
        <w:tc>
          <w:tcPr>
            <w:tcW w:w="1290" w:type="dxa"/>
            <w:tcBorders>
              <w:bottom w:val="single" w:sz="4" w:space="0" w:color="auto"/>
            </w:tcBorders>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31.12.2016</w:t>
            </w:r>
          </w:p>
        </w:tc>
        <w:tc>
          <w:tcPr>
            <w:tcW w:w="4163" w:type="dxa"/>
            <w:tcBorders>
              <w:bottom w:val="single" w:sz="4" w:space="0" w:color="auto"/>
            </w:tcBorders>
          </w:tcPr>
          <w:p w:rsidR="0042237E" w:rsidRPr="0042237E" w:rsidRDefault="0042237E" w:rsidP="0042237E">
            <w:pPr>
              <w:spacing w:line="240" w:lineRule="auto"/>
              <w:jc w:val="both"/>
              <w:rPr>
                <w:rFonts w:cs="TimesNewRomanPSMT"/>
                <w:sz w:val="18"/>
                <w:szCs w:val="18"/>
                <w:lang w:eastAsia="ro-RO"/>
              </w:rPr>
            </w:pPr>
            <w:r w:rsidRPr="0042237E">
              <w:rPr>
                <w:rFonts w:cs="TimesNewRomanPSMT"/>
                <w:sz w:val="18"/>
                <w:szCs w:val="18"/>
                <w:lang w:eastAsia="ro-RO"/>
              </w:rPr>
              <w:t>În conformitate cu HG nr. 901/2015 privind aprobarea Strategiei naționale în domeniul achizițiilor publice, acest criteriu se va realiza prin acțiuni privind asigurarea regularității și calității procesului de achiziții publice.</w:t>
            </w:r>
          </w:p>
          <w:p w:rsidR="0042237E" w:rsidRPr="0042237E" w:rsidRDefault="0042237E" w:rsidP="0042237E">
            <w:pPr>
              <w:spacing w:line="240" w:lineRule="auto"/>
              <w:jc w:val="both"/>
              <w:rPr>
                <w:rFonts w:cs="TimesNewRomanPSMT"/>
                <w:sz w:val="18"/>
                <w:szCs w:val="18"/>
                <w:lang w:eastAsia="ro-RO"/>
              </w:rPr>
            </w:pPr>
            <w:r w:rsidRPr="0042237E">
              <w:rPr>
                <w:rFonts w:cs="TimesNewRomanPSMT"/>
                <w:sz w:val="18"/>
                <w:szCs w:val="18"/>
                <w:lang w:eastAsia="ro-RO"/>
              </w:rPr>
              <w:t xml:space="preserve">Etape de realizare: </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dezvoltarea controlului intern;</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eficientizarea controlului extern ex-ante;</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îmbunătățirea și extindere sistemelor pentru a preveni conflictele de interese -  utilizarea sistemului PREVENT (lege aflată în curs de adoptare la nivelul Parlamentului);</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eficientizarea controlului Curții de Conturi – a fost înființată Direcția de control al achizițiilor.</w:t>
            </w:r>
          </w:p>
          <w:p w:rsidR="0042237E" w:rsidRPr="0042237E" w:rsidRDefault="0042237E" w:rsidP="0042237E">
            <w:pPr>
              <w:spacing w:line="240" w:lineRule="auto"/>
              <w:jc w:val="both"/>
              <w:rPr>
                <w:rFonts w:cs="TimesNewRomanPSMT"/>
                <w:sz w:val="18"/>
                <w:szCs w:val="18"/>
                <w:lang w:eastAsia="ro-RO"/>
              </w:rPr>
            </w:pPr>
            <w:r w:rsidRPr="0042237E">
              <w:rPr>
                <w:rFonts w:cs="TimesNewRomanPSMT"/>
                <w:sz w:val="18"/>
                <w:szCs w:val="18"/>
                <w:lang w:eastAsia="ro-RO"/>
              </w:rPr>
              <w:t>Acțiunile privind controlul vor fi implementate în baza Memorandumului de Înțelegere cu BEI, semnat în luna decembrie 2015 și a acordului specific MFP care se va semna în luna mai 2016.</w:t>
            </w:r>
          </w:p>
        </w:tc>
      </w:tr>
      <w:tr w:rsidR="0042237E" w:rsidRPr="00F80C42" w:rsidTr="003C79AE">
        <w:trPr>
          <w:trHeight w:val="336"/>
        </w:trPr>
        <w:tc>
          <w:tcPr>
            <w:tcW w:w="1676" w:type="dxa"/>
            <w:vMerge/>
            <w:shd w:val="clear" w:color="auto" w:fill="auto"/>
          </w:tcPr>
          <w:p w:rsidR="0042237E" w:rsidRPr="00C50B83" w:rsidRDefault="0042237E" w:rsidP="0042237E">
            <w:pPr>
              <w:pStyle w:val="CM1"/>
              <w:jc w:val="both"/>
              <w:rPr>
                <w:rFonts w:asciiTheme="minorHAnsi" w:hAnsiTheme="minorHAnsi"/>
                <w:sz w:val="18"/>
                <w:szCs w:val="18"/>
              </w:rPr>
            </w:pPr>
          </w:p>
        </w:tc>
        <w:tc>
          <w:tcPr>
            <w:tcW w:w="1350" w:type="dxa"/>
            <w:shd w:val="clear" w:color="auto" w:fill="auto"/>
          </w:tcPr>
          <w:p w:rsidR="0042237E" w:rsidRPr="00C50B83" w:rsidRDefault="0042237E" w:rsidP="0042237E">
            <w:pPr>
              <w:spacing w:beforeLines="20" w:before="48" w:afterLines="20" w:after="48" w:line="240" w:lineRule="auto"/>
              <w:jc w:val="both"/>
              <w:rPr>
                <w:sz w:val="18"/>
                <w:szCs w:val="18"/>
              </w:rPr>
            </w:pPr>
            <w:r w:rsidRPr="003C79AE">
              <w:rPr>
                <w:sz w:val="18"/>
                <w:szCs w:val="18"/>
              </w:rPr>
              <w:t xml:space="preserve">3. Măsuri de formare profesională și difuzare a informațiilor pentru personalul implicat în </w:t>
            </w:r>
            <w:r w:rsidRPr="003C79AE">
              <w:rPr>
                <w:sz w:val="18"/>
                <w:szCs w:val="18"/>
              </w:rPr>
              <w:lastRenderedPageBreak/>
              <w:t>implementarea fondurilor ESI;</w:t>
            </w:r>
          </w:p>
        </w:tc>
        <w:tc>
          <w:tcPr>
            <w:tcW w:w="1980" w:type="dxa"/>
            <w:shd w:val="clear" w:color="auto" w:fill="auto"/>
          </w:tcPr>
          <w:p w:rsidR="0042237E" w:rsidRDefault="0042237E" w:rsidP="0042237E">
            <w:pPr>
              <w:autoSpaceDE w:val="0"/>
              <w:autoSpaceDN w:val="0"/>
              <w:adjustRightInd w:val="0"/>
              <w:spacing w:after="0" w:line="240" w:lineRule="auto"/>
              <w:jc w:val="both"/>
              <w:rPr>
                <w:rFonts w:cs="TimesNewRomanPSMT"/>
                <w:sz w:val="18"/>
                <w:szCs w:val="18"/>
                <w:lang w:eastAsia="ro-RO"/>
              </w:rPr>
            </w:pPr>
            <w:r w:rsidRPr="003C79AE">
              <w:rPr>
                <w:rFonts w:cs="TimesNewRomanPSMT"/>
                <w:sz w:val="18"/>
                <w:szCs w:val="18"/>
                <w:lang w:eastAsia="ro-RO"/>
              </w:rPr>
              <w:lastRenderedPageBreak/>
              <w:t xml:space="preserve">România va elabora o Strategie națională privind formarea personalului, strategie ce va avea în vedere următoarele sarcini: </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3C79AE">
              <w:rPr>
                <w:rFonts w:cs="TimesNewRomanPSMT"/>
                <w:sz w:val="18"/>
                <w:szCs w:val="18"/>
                <w:lang w:eastAsia="ro-RO"/>
              </w:rPr>
              <w:t>Crearea unui grup de experți pentru evaluare</w:t>
            </w:r>
          </w:p>
          <w:p w:rsidR="0042237E"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3C79AE">
              <w:rPr>
                <w:rFonts w:cs="TimesNewRomanPSMT"/>
                <w:sz w:val="18"/>
                <w:szCs w:val="18"/>
                <w:lang w:eastAsia="ro-RO"/>
              </w:rPr>
              <w:lastRenderedPageBreak/>
              <w:t>Examinarea eficacității acțiunilor de formare a personalului</w:t>
            </w:r>
          </w:p>
          <w:p w:rsidR="0042237E" w:rsidRPr="00F80C42" w:rsidRDefault="0042237E" w:rsidP="0042237E">
            <w:pPr>
              <w:pStyle w:val="ListParagraph"/>
              <w:numPr>
                <w:ilvl w:val="0"/>
                <w:numId w:val="32"/>
              </w:numPr>
              <w:autoSpaceDE w:val="0"/>
              <w:autoSpaceDN w:val="0"/>
              <w:adjustRightInd w:val="0"/>
              <w:spacing w:after="0" w:line="240" w:lineRule="auto"/>
              <w:jc w:val="both"/>
              <w:rPr>
                <w:rFonts w:cs="TimesNewRomanPSMT"/>
                <w:sz w:val="18"/>
                <w:szCs w:val="18"/>
                <w:lang w:eastAsia="ro-RO"/>
              </w:rPr>
            </w:pPr>
            <w:r w:rsidRPr="003C79AE">
              <w:rPr>
                <w:rFonts w:cs="TimesNewRomanPSMT"/>
                <w:sz w:val="18"/>
                <w:szCs w:val="18"/>
                <w:lang w:eastAsia="ro-RO"/>
              </w:rPr>
              <w:t>Elaborarea unui ghid de bune practici cu privire la etapele principale ce trebuie urmate în procesul de evaluare, indiferent de sursa fondurilor și sursa de finanțare</w:t>
            </w:r>
          </w:p>
        </w:tc>
        <w:tc>
          <w:tcPr>
            <w:tcW w:w="1090" w:type="dxa"/>
            <w:shd w:val="clear" w:color="auto" w:fill="auto"/>
          </w:tcPr>
          <w:p w:rsidR="0042237E" w:rsidRPr="00F80C42" w:rsidRDefault="0042237E" w:rsidP="0042237E">
            <w:pPr>
              <w:spacing w:beforeLines="20" w:before="48" w:afterLines="20" w:after="48" w:line="240" w:lineRule="auto"/>
              <w:jc w:val="both"/>
              <w:rPr>
                <w:sz w:val="18"/>
                <w:szCs w:val="18"/>
              </w:rPr>
            </w:pPr>
            <w:r>
              <w:rPr>
                <w:sz w:val="18"/>
                <w:szCs w:val="18"/>
              </w:rPr>
              <w:lastRenderedPageBreak/>
              <w:t>31.12.2016</w:t>
            </w:r>
          </w:p>
        </w:tc>
        <w:tc>
          <w:tcPr>
            <w:tcW w:w="992" w:type="dxa"/>
            <w:tcBorders>
              <w:bottom w:val="single" w:sz="4" w:space="0" w:color="auto"/>
            </w:tcBorders>
            <w:shd w:val="clear" w:color="auto" w:fill="auto"/>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MFP</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MDRAP</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MMAP</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ANAP</w:t>
            </w:r>
          </w:p>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AADR</w:t>
            </w:r>
          </w:p>
        </w:tc>
        <w:tc>
          <w:tcPr>
            <w:tcW w:w="1350" w:type="dxa"/>
            <w:tcBorders>
              <w:bottom w:val="single" w:sz="4" w:space="0" w:color="auto"/>
            </w:tcBorders>
            <w:shd w:val="clear" w:color="auto" w:fill="auto"/>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 xml:space="preserve">Nu </w:t>
            </w:r>
          </w:p>
        </w:tc>
        <w:tc>
          <w:tcPr>
            <w:tcW w:w="1009" w:type="dxa"/>
            <w:tcBorders>
              <w:bottom w:val="single" w:sz="4" w:space="0" w:color="auto"/>
            </w:tcBorders>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 xml:space="preserve">Nu </w:t>
            </w:r>
          </w:p>
        </w:tc>
        <w:tc>
          <w:tcPr>
            <w:tcW w:w="1290" w:type="dxa"/>
            <w:tcBorders>
              <w:bottom w:val="single" w:sz="4" w:space="0" w:color="auto"/>
            </w:tcBorders>
          </w:tcPr>
          <w:p w:rsidR="0042237E" w:rsidRPr="0042237E" w:rsidRDefault="0042237E" w:rsidP="0042237E">
            <w:pPr>
              <w:jc w:val="both"/>
              <w:rPr>
                <w:rFonts w:cs="TimesNewRomanPSMT"/>
                <w:sz w:val="18"/>
                <w:szCs w:val="18"/>
                <w:lang w:eastAsia="ro-RO"/>
              </w:rPr>
            </w:pPr>
            <w:r w:rsidRPr="0042237E">
              <w:rPr>
                <w:rFonts w:cs="TimesNewRomanPSMT"/>
                <w:sz w:val="18"/>
                <w:szCs w:val="18"/>
                <w:lang w:eastAsia="ro-RO"/>
              </w:rPr>
              <w:t>31.12.2016</w:t>
            </w:r>
          </w:p>
        </w:tc>
        <w:tc>
          <w:tcPr>
            <w:tcW w:w="4163" w:type="dxa"/>
            <w:tcBorders>
              <w:bottom w:val="single" w:sz="4" w:space="0" w:color="auto"/>
            </w:tcBorders>
          </w:tcPr>
          <w:p w:rsidR="0042237E" w:rsidRPr="0042237E" w:rsidRDefault="0042237E" w:rsidP="0042237E">
            <w:pPr>
              <w:spacing w:line="240" w:lineRule="auto"/>
              <w:jc w:val="both"/>
              <w:rPr>
                <w:rFonts w:cs="TimesNewRomanPSMT"/>
                <w:sz w:val="18"/>
                <w:szCs w:val="18"/>
                <w:lang w:eastAsia="ro-RO"/>
              </w:rPr>
            </w:pPr>
            <w:r w:rsidRPr="0042237E">
              <w:rPr>
                <w:rFonts w:cs="TimesNewRomanPSMT"/>
                <w:sz w:val="18"/>
                <w:szCs w:val="18"/>
                <w:lang w:eastAsia="ro-RO"/>
              </w:rPr>
              <w:t>Criteriul se va realiza prin asigurarea capacității autorităților contractante, cu accent pe profesionalizare și aspecte de integritate.</w:t>
            </w:r>
          </w:p>
          <w:p w:rsidR="0042237E" w:rsidRPr="0042237E" w:rsidRDefault="0042237E" w:rsidP="0042237E">
            <w:pPr>
              <w:spacing w:line="240" w:lineRule="auto"/>
              <w:jc w:val="both"/>
              <w:rPr>
                <w:rFonts w:cs="TimesNewRomanPSMT"/>
                <w:sz w:val="18"/>
                <w:szCs w:val="18"/>
                <w:lang w:eastAsia="ro-RO"/>
              </w:rPr>
            </w:pPr>
            <w:r w:rsidRPr="0042237E">
              <w:rPr>
                <w:rFonts w:cs="TimesNewRomanPSMT"/>
                <w:sz w:val="18"/>
                <w:szCs w:val="18"/>
                <w:lang w:eastAsia="ro-RO"/>
              </w:rPr>
              <w:t>Etape de realizare:</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 xml:space="preserve">soluţionarea deficiențelor din implementarea proiectelor (cartografierea utilităţilor; modificarea legilației naționale privind  documentaţia tehnico-economice aferente investiţiilor; promovarea </w:t>
            </w:r>
            <w:r w:rsidRPr="0042237E">
              <w:rPr>
                <w:rFonts w:cs="TimesNewRomanPSMT"/>
                <w:sz w:val="18"/>
                <w:szCs w:val="18"/>
                <w:lang w:eastAsia="ro-RO"/>
              </w:rPr>
              <w:lastRenderedPageBreak/>
              <w:t>proiectului de act normativ privind introducerea condițiilor standard de contract FIDIC în legislația națională);</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profesionalizarea responsabililor de achiziții;</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achiziții centralizate pentru administrația centrală;</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unităţi centralizate de achiziții publice la nivelul administratiei locale si regionale;</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 xml:space="preserve">utilizarea procedurilor on-line;  </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configurarea de platforme de cumpărare;</w:t>
            </w:r>
          </w:p>
          <w:p w:rsidR="0042237E" w:rsidRPr="0042237E" w:rsidRDefault="0042237E" w:rsidP="0042237E">
            <w:pPr>
              <w:pStyle w:val="ListParagraph"/>
              <w:numPr>
                <w:ilvl w:val="0"/>
                <w:numId w:val="38"/>
              </w:numPr>
              <w:tabs>
                <w:tab w:val="left" w:pos="210"/>
              </w:tabs>
              <w:spacing w:after="0" w:line="240" w:lineRule="auto"/>
              <w:ind w:left="210" w:hanging="210"/>
              <w:jc w:val="both"/>
              <w:rPr>
                <w:rFonts w:cs="TimesNewRomanPSMT"/>
                <w:sz w:val="18"/>
                <w:szCs w:val="18"/>
                <w:lang w:eastAsia="ro-RO"/>
              </w:rPr>
            </w:pPr>
            <w:r w:rsidRPr="0042237E">
              <w:rPr>
                <w:rFonts w:cs="TimesNewRomanPSMT"/>
                <w:sz w:val="18"/>
                <w:szCs w:val="18"/>
                <w:lang w:eastAsia="ro-RO"/>
              </w:rPr>
              <w:t>studiu de fezabilitate pentru a evalua oportunitatea listei operatorilor economici autorizați.</w:t>
            </w:r>
          </w:p>
        </w:tc>
      </w:tr>
      <w:tr w:rsidR="00BD6323" w:rsidRPr="00F80C42" w:rsidTr="003C79AE">
        <w:trPr>
          <w:trHeight w:val="336"/>
        </w:trPr>
        <w:tc>
          <w:tcPr>
            <w:tcW w:w="1676" w:type="dxa"/>
            <w:vMerge/>
            <w:shd w:val="clear" w:color="auto" w:fill="auto"/>
          </w:tcPr>
          <w:p w:rsidR="00BD6323" w:rsidRPr="00C50B83" w:rsidRDefault="00BD6323" w:rsidP="00BD6323">
            <w:pPr>
              <w:pStyle w:val="CM1"/>
              <w:jc w:val="both"/>
              <w:rPr>
                <w:rFonts w:asciiTheme="minorHAnsi" w:hAnsiTheme="minorHAnsi"/>
                <w:sz w:val="18"/>
                <w:szCs w:val="18"/>
              </w:rPr>
            </w:pPr>
          </w:p>
        </w:tc>
        <w:tc>
          <w:tcPr>
            <w:tcW w:w="1350" w:type="dxa"/>
            <w:shd w:val="clear" w:color="auto" w:fill="auto"/>
          </w:tcPr>
          <w:p w:rsidR="00BD6323" w:rsidRPr="003C79AE" w:rsidRDefault="00BD6323" w:rsidP="00BD6323">
            <w:pPr>
              <w:spacing w:beforeLines="20" w:before="48" w:afterLines="20" w:after="48" w:line="240" w:lineRule="auto"/>
              <w:jc w:val="both"/>
              <w:rPr>
                <w:sz w:val="18"/>
                <w:szCs w:val="18"/>
              </w:rPr>
            </w:pPr>
            <w:r w:rsidRPr="003C79AE">
              <w:rPr>
                <w:rFonts w:ascii="Calibri" w:eastAsia="Calibri" w:hAnsi="Calibri" w:cs="Times New Roman"/>
                <w:noProof/>
                <w:sz w:val="18"/>
                <w:szCs w:val="18"/>
              </w:rPr>
              <w:t>4. Măsuri de asigurare a capacității administrative de punere în aplicare și aplicare a normelor Uniunii din domeniul achizițiilor publice.</w:t>
            </w:r>
          </w:p>
        </w:tc>
        <w:tc>
          <w:tcPr>
            <w:tcW w:w="1980" w:type="dxa"/>
            <w:shd w:val="clear" w:color="auto" w:fill="auto"/>
          </w:tcPr>
          <w:p w:rsidR="00BD6323" w:rsidRPr="003C79AE" w:rsidRDefault="00BD6323" w:rsidP="00BD6323">
            <w:pPr>
              <w:autoSpaceDE w:val="0"/>
              <w:autoSpaceDN w:val="0"/>
              <w:adjustRightInd w:val="0"/>
              <w:spacing w:after="0" w:line="240" w:lineRule="auto"/>
              <w:jc w:val="both"/>
              <w:rPr>
                <w:rFonts w:cs="TimesNewRomanPSMT"/>
                <w:sz w:val="18"/>
                <w:szCs w:val="18"/>
                <w:lang w:eastAsia="ro-RO"/>
              </w:rPr>
            </w:pPr>
            <w:r>
              <w:rPr>
                <w:rFonts w:cs="TimesNewRomanPSMT"/>
                <w:sz w:val="18"/>
                <w:szCs w:val="18"/>
                <w:lang w:eastAsia="ro-RO"/>
              </w:rPr>
              <w:t>E</w:t>
            </w:r>
            <w:r w:rsidRPr="003C79AE">
              <w:rPr>
                <w:rFonts w:cs="TimesNewRomanPSMT"/>
                <w:sz w:val="18"/>
                <w:szCs w:val="18"/>
                <w:lang w:eastAsia="ro-RO"/>
              </w:rPr>
              <w:t>laborarea, ori de câte ori este relevant, a unei documentații standardizate de licitație și recurgerea, ori de câte ori este relevant, la unitățile centrale de achiziții.</w:t>
            </w:r>
          </w:p>
        </w:tc>
        <w:tc>
          <w:tcPr>
            <w:tcW w:w="1090" w:type="dxa"/>
            <w:shd w:val="clear" w:color="auto" w:fill="auto"/>
          </w:tcPr>
          <w:p w:rsidR="00BD6323" w:rsidRDefault="00BD6323" w:rsidP="00BD6323">
            <w:pPr>
              <w:spacing w:beforeLines="20" w:before="48" w:afterLines="20" w:after="48" w:line="240" w:lineRule="auto"/>
              <w:jc w:val="both"/>
              <w:rPr>
                <w:sz w:val="18"/>
                <w:szCs w:val="18"/>
              </w:rPr>
            </w:pPr>
            <w:r>
              <w:rPr>
                <w:sz w:val="18"/>
                <w:szCs w:val="18"/>
              </w:rPr>
              <w:t>31.12.2016</w:t>
            </w:r>
          </w:p>
        </w:tc>
        <w:tc>
          <w:tcPr>
            <w:tcW w:w="992" w:type="dxa"/>
            <w:tcBorders>
              <w:bottom w:val="single" w:sz="4" w:space="0" w:color="auto"/>
            </w:tcBorders>
            <w:shd w:val="clear" w:color="auto" w:fill="auto"/>
          </w:tcPr>
          <w:p w:rsidR="00BD6323" w:rsidRPr="00BD6323" w:rsidRDefault="00BD6323" w:rsidP="00BD6323">
            <w:pPr>
              <w:jc w:val="both"/>
              <w:rPr>
                <w:rFonts w:ascii="Calibri" w:eastAsia="Calibri" w:hAnsi="Calibri" w:cs="Times New Roman"/>
                <w:noProof/>
                <w:sz w:val="18"/>
                <w:szCs w:val="18"/>
              </w:rPr>
            </w:pPr>
            <w:r w:rsidRPr="00BD6323">
              <w:rPr>
                <w:rFonts w:ascii="Calibri" w:eastAsia="Calibri" w:hAnsi="Calibri" w:cs="Times New Roman"/>
                <w:noProof/>
                <w:sz w:val="18"/>
                <w:szCs w:val="18"/>
              </w:rPr>
              <w:t>MFP</w:t>
            </w:r>
          </w:p>
          <w:p w:rsidR="00BD6323" w:rsidRPr="00BD6323" w:rsidRDefault="00BD6323" w:rsidP="00BD6323">
            <w:pPr>
              <w:jc w:val="both"/>
              <w:rPr>
                <w:rFonts w:ascii="Calibri" w:eastAsia="Calibri" w:hAnsi="Calibri" w:cs="Times New Roman"/>
                <w:noProof/>
                <w:sz w:val="18"/>
                <w:szCs w:val="18"/>
              </w:rPr>
            </w:pPr>
            <w:r w:rsidRPr="00BD6323">
              <w:rPr>
                <w:rFonts w:ascii="Calibri" w:eastAsia="Calibri" w:hAnsi="Calibri" w:cs="Times New Roman"/>
                <w:noProof/>
                <w:sz w:val="18"/>
                <w:szCs w:val="18"/>
              </w:rPr>
              <w:t>ANAP</w:t>
            </w:r>
          </w:p>
          <w:p w:rsidR="00BD6323" w:rsidRPr="00BD6323" w:rsidRDefault="00BD6323" w:rsidP="00BD6323">
            <w:pPr>
              <w:jc w:val="both"/>
              <w:rPr>
                <w:rFonts w:ascii="Calibri" w:eastAsia="Calibri" w:hAnsi="Calibri" w:cs="Times New Roman"/>
                <w:noProof/>
                <w:sz w:val="18"/>
                <w:szCs w:val="18"/>
              </w:rPr>
            </w:pPr>
            <w:r w:rsidRPr="00BD6323">
              <w:rPr>
                <w:rFonts w:ascii="Calibri" w:eastAsia="Calibri" w:hAnsi="Calibri" w:cs="Times New Roman"/>
                <w:noProof/>
                <w:sz w:val="18"/>
                <w:szCs w:val="18"/>
              </w:rPr>
              <w:t>CNSC</w:t>
            </w:r>
          </w:p>
          <w:p w:rsidR="00BD6323" w:rsidRPr="00BD6323" w:rsidRDefault="00BD6323" w:rsidP="00BD6323">
            <w:pPr>
              <w:jc w:val="both"/>
              <w:rPr>
                <w:rFonts w:ascii="Calibri" w:eastAsia="Calibri" w:hAnsi="Calibri" w:cs="Times New Roman"/>
                <w:noProof/>
                <w:sz w:val="18"/>
                <w:szCs w:val="18"/>
              </w:rPr>
            </w:pPr>
            <w:r w:rsidRPr="00BD6323">
              <w:rPr>
                <w:rFonts w:ascii="Calibri" w:eastAsia="Calibri" w:hAnsi="Calibri" w:cs="Times New Roman"/>
                <w:noProof/>
                <w:sz w:val="18"/>
                <w:szCs w:val="18"/>
              </w:rPr>
              <w:t>CSM</w:t>
            </w:r>
          </w:p>
        </w:tc>
        <w:tc>
          <w:tcPr>
            <w:tcW w:w="1350" w:type="dxa"/>
            <w:tcBorders>
              <w:bottom w:val="single" w:sz="4" w:space="0" w:color="auto"/>
            </w:tcBorders>
            <w:shd w:val="clear" w:color="auto" w:fill="auto"/>
          </w:tcPr>
          <w:p w:rsidR="00BD6323" w:rsidRPr="00BD6323" w:rsidRDefault="00BD6323" w:rsidP="00BD6323">
            <w:pPr>
              <w:jc w:val="both"/>
              <w:rPr>
                <w:rFonts w:ascii="Calibri" w:eastAsia="Calibri" w:hAnsi="Calibri" w:cs="Times New Roman"/>
                <w:noProof/>
                <w:sz w:val="18"/>
                <w:szCs w:val="18"/>
              </w:rPr>
            </w:pPr>
            <w:r w:rsidRPr="00BD6323">
              <w:rPr>
                <w:rFonts w:ascii="Calibri" w:eastAsia="Calibri" w:hAnsi="Calibri" w:cs="Times New Roman"/>
                <w:noProof/>
                <w:sz w:val="18"/>
                <w:szCs w:val="18"/>
              </w:rPr>
              <w:t>Nu</w:t>
            </w:r>
          </w:p>
        </w:tc>
        <w:tc>
          <w:tcPr>
            <w:tcW w:w="1009" w:type="dxa"/>
            <w:tcBorders>
              <w:bottom w:val="single" w:sz="4" w:space="0" w:color="auto"/>
            </w:tcBorders>
          </w:tcPr>
          <w:p w:rsidR="00BD6323" w:rsidRPr="00BD6323" w:rsidRDefault="00BD6323" w:rsidP="00BD6323">
            <w:pPr>
              <w:jc w:val="both"/>
              <w:rPr>
                <w:rFonts w:ascii="Calibri" w:eastAsia="Calibri" w:hAnsi="Calibri" w:cs="Times New Roman"/>
                <w:noProof/>
                <w:sz w:val="18"/>
                <w:szCs w:val="18"/>
              </w:rPr>
            </w:pPr>
            <w:r w:rsidRPr="00BD6323">
              <w:rPr>
                <w:rFonts w:ascii="Calibri" w:eastAsia="Calibri" w:hAnsi="Calibri" w:cs="Times New Roman"/>
                <w:noProof/>
                <w:sz w:val="18"/>
                <w:szCs w:val="18"/>
              </w:rPr>
              <w:t>Nu</w:t>
            </w:r>
          </w:p>
        </w:tc>
        <w:tc>
          <w:tcPr>
            <w:tcW w:w="1290" w:type="dxa"/>
            <w:tcBorders>
              <w:bottom w:val="single" w:sz="4" w:space="0" w:color="auto"/>
            </w:tcBorders>
          </w:tcPr>
          <w:p w:rsidR="00BD6323" w:rsidRPr="00BD6323" w:rsidRDefault="00BD6323" w:rsidP="00BD6323">
            <w:pPr>
              <w:jc w:val="both"/>
              <w:rPr>
                <w:rFonts w:ascii="Calibri" w:eastAsia="Calibri" w:hAnsi="Calibri" w:cs="Times New Roman"/>
                <w:noProof/>
                <w:sz w:val="18"/>
                <w:szCs w:val="18"/>
              </w:rPr>
            </w:pPr>
            <w:r w:rsidRPr="00BD6323">
              <w:rPr>
                <w:rFonts w:ascii="Calibri" w:eastAsia="Calibri" w:hAnsi="Calibri" w:cs="Times New Roman"/>
                <w:noProof/>
                <w:sz w:val="18"/>
                <w:szCs w:val="18"/>
              </w:rPr>
              <w:t>31.12.2016</w:t>
            </w:r>
          </w:p>
        </w:tc>
        <w:tc>
          <w:tcPr>
            <w:tcW w:w="4163" w:type="dxa"/>
            <w:tcBorders>
              <w:bottom w:val="single" w:sz="4" w:space="0" w:color="auto"/>
            </w:tcBorders>
          </w:tcPr>
          <w:p w:rsidR="00BD6323" w:rsidRPr="00BD6323" w:rsidRDefault="00BD6323" w:rsidP="00BD6323">
            <w:pPr>
              <w:spacing w:line="240" w:lineRule="auto"/>
              <w:jc w:val="both"/>
              <w:rPr>
                <w:rFonts w:ascii="Calibri" w:eastAsia="Calibri" w:hAnsi="Calibri" w:cs="Times New Roman"/>
                <w:noProof/>
                <w:sz w:val="18"/>
                <w:szCs w:val="18"/>
              </w:rPr>
            </w:pPr>
            <w:r w:rsidRPr="00BD6323">
              <w:rPr>
                <w:rFonts w:ascii="Calibri" w:eastAsia="Calibri" w:hAnsi="Calibri" w:cs="Times New Roman"/>
                <w:noProof/>
                <w:sz w:val="18"/>
                <w:szCs w:val="18"/>
              </w:rPr>
              <w:t xml:space="preserve">Criteriul 4 va fi realizat prin asigurarea coerenței generale și eficiența cadrului instituțional. </w:t>
            </w:r>
          </w:p>
          <w:p w:rsidR="00BD6323" w:rsidRPr="00BD6323" w:rsidRDefault="00BD6323" w:rsidP="00BD6323">
            <w:pPr>
              <w:spacing w:line="240" w:lineRule="auto"/>
              <w:jc w:val="both"/>
              <w:rPr>
                <w:rFonts w:ascii="Calibri" w:eastAsia="Calibri" w:hAnsi="Calibri" w:cs="Times New Roman"/>
                <w:noProof/>
                <w:sz w:val="18"/>
                <w:szCs w:val="18"/>
              </w:rPr>
            </w:pPr>
            <w:r w:rsidRPr="00BD6323">
              <w:rPr>
                <w:rFonts w:ascii="Calibri" w:eastAsia="Calibri" w:hAnsi="Calibri" w:cs="Times New Roman"/>
                <w:noProof/>
                <w:sz w:val="18"/>
                <w:szCs w:val="18"/>
              </w:rPr>
              <w:t xml:space="preserve">Etape de realizare: </w:t>
            </w:r>
          </w:p>
          <w:p w:rsidR="00BD6323" w:rsidRPr="00BD6323" w:rsidRDefault="00BD6323" w:rsidP="00BD6323">
            <w:pPr>
              <w:pStyle w:val="ListParagraph"/>
              <w:numPr>
                <w:ilvl w:val="0"/>
                <w:numId w:val="38"/>
              </w:numPr>
              <w:tabs>
                <w:tab w:val="left" w:pos="21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consolidarea politicii de achiziţii publice la nivel guvernamental central;</w:t>
            </w:r>
          </w:p>
          <w:p w:rsidR="00BD6323" w:rsidRPr="00BD6323" w:rsidRDefault="00BD6323" w:rsidP="00BD6323">
            <w:pPr>
              <w:pStyle w:val="ListParagraph"/>
              <w:numPr>
                <w:ilvl w:val="0"/>
                <w:numId w:val="38"/>
              </w:numPr>
              <w:tabs>
                <w:tab w:val="left" w:pos="21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asigurarea unei abordări echilibrate si trans-sectoriale în promovarea politicii de achiziţii publice;</w:t>
            </w:r>
            <w:r w:rsidRPr="00BD6323">
              <w:rPr>
                <w:rFonts w:ascii="Calibri" w:eastAsia="Calibri" w:hAnsi="Calibri" w:cs="Times New Roman"/>
                <w:noProof/>
                <w:sz w:val="18"/>
                <w:szCs w:val="18"/>
              </w:rPr>
              <w:tab/>
            </w:r>
          </w:p>
          <w:p w:rsidR="00BD6323" w:rsidRPr="00BD6323" w:rsidRDefault="00BD6323" w:rsidP="00BD6323">
            <w:pPr>
              <w:pStyle w:val="ListParagraph"/>
              <w:numPr>
                <w:ilvl w:val="0"/>
                <w:numId w:val="38"/>
              </w:numPr>
              <w:tabs>
                <w:tab w:val="left" w:pos="21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aplicarea unui mecanism de cooperare inter-instituțională;</w:t>
            </w:r>
          </w:p>
          <w:p w:rsidR="00BD6323" w:rsidRPr="00BD6323" w:rsidRDefault="00BD6323" w:rsidP="00BD6323">
            <w:pPr>
              <w:pStyle w:val="ListParagraph"/>
              <w:numPr>
                <w:ilvl w:val="0"/>
                <w:numId w:val="38"/>
              </w:numPr>
              <w:tabs>
                <w:tab w:val="left" w:pos="21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reforma şi consolidarea funcţiei de help-desk în cadrul sistemului de achiziţii publice;</w:t>
            </w:r>
          </w:p>
          <w:p w:rsidR="00BD6323" w:rsidRPr="00BD6323" w:rsidRDefault="00BD6323" w:rsidP="00BD6323">
            <w:pPr>
              <w:pStyle w:val="ListParagraph"/>
              <w:numPr>
                <w:ilvl w:val="0"/>
                <w:numId w:val="38"/>
              </w:numPr>
              <w:tabs>
                <w:tab w:val="left" w:pos="21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 xml:space="preserve"> asigurarea unui sistem de remedii îmbunătăţit şi eficient.</w:t>
            </w:r>
          </w:p>
          <w:p w:rsidR="00BD6323" w:rsidRPr="00BD6323" w:rsidRDefault="00BD6323" w:rsidP="00BD6323">
            <w:pPr>
              <w:spacing w:line="240" w:lineRule="auto"/>
              <w:jc w:val="both"/>
              <w:rPr>
                <w:rFonts w:ascii="Calibri" w:eastAsia="Calibri" w:hAnsi="Calibri" w:cs="Times New Roman"/>
                <w:noProof/>
                <w:sz w:val="18"/>
                <w:szCs w:val="18"/>
              </w:rPr>
            </w:pPr>
            <w:r w:rsidRPr="00BD6323">
              <w:rPr>
                <w:rFonts w:ascii="Calibri" w:eastAsia="Calibri" w:hAnsi="Calibri" w:cs="Times New Roman"/>
                <w:noProof/>
                <w:sz w:val="18"/>
                <w:szCs w:val="18"/>
              </w:rPr>
              <w:t>Acțiunea este parțial îndeplinită prin:</w:t>
            </w:r>
          </w:p>
          <w:p w:rsidR="00BD6323" w:rsidRPr="00BD6323" w:rsidRDefault="00BD6323" w:rsidP="00BD6323">
            <w:pPr>
              <w:pStyle w:val="ListParagraph"/>
              <w:numPr>
                <w:ilvl w:val="0"/>
                <w:numId w:val="38"/>
              </w:numPr>
              <w:tabs>
                <w:tab w:val="left" w:pos="19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lastRenderedPageBreak/>
              <w:t xml:space="preserve"> adoptarea OUG nr. 13/2015 privind înfiinţarea, organizarea şi funcţionarea Agenţiei Naționale pentru Achiziții Publice și a HG nr. 634/28 iulie 2015 privind organizarea şi funcţionarea Agenţiei Naţionale pentru Achiziţii Publice;</w:t>
            </w:r>
          </w:p>
          <w:p w:rsidR="00BD6323" w:rsidRPr="00BD6323" w:rsidRDefault="00BD6323" w:rsidP="00BD6323">
            <w:pPr>
              <w:pStyle w:val="ListParagraph"/>
              <w:numPr>
                <w:ilvl w:val="0"/>
                <w:numId w:val="38"/>
              </w:numPr>
              <w:tabs>
                <w:tab w:val="left" w:pos="19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înființarea Comitetului Interministerial pentru Achiziții Publice;</w:t>
            </w:r>
          </w:p>
          <w:p w:rsidR="00BD6323" w:rsidRPr="00BD6323" w:rsidRDefault="00BD6323" w:rsidP="00BD6323">
            <w:pPr>
              <w:pStyle w:val="ListParagraph"/>
              <w:numPr>
                <w:ilvl w:val="0"/>
                <w:numId w:val="38"/>
              </w:numPr>
              <w:tabs>
                <w:tab w:val="left" w:pos="19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semnarea Protocolului de stabilire a mecanismului de cooperare inter-instituţională;</w:t>
            </w:r>
          </w:p>
          <w:p w:rsidR="00BD6323" w:rsidRPr="00BD6323" w:rsidRDefault="00BD6323" w:rsidP="00BD6323">
            <w:pPr>
              <w:pStyle w:val="ListParagraph"/>
              <w:numPr>
                <w:ilvl w:val="0"/>
                <w:numId w:val="38"/>
              </w:numPr>
              <w:tabs>
                <w:tab w:val="left" w:pos="19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extinderea help desk-ului la fondurile naţionale şi asigurarea interconectivităţii cu departamentele operaționale;</w:t>
            </w:r>
          </w:p>
          <w:p w:rsidR="00BD6323" w:rsidRPr="00BD6323" w:rsidRDefault="00BD6323" w:rsidP="00BD6323">
            <w:pPr>
              <w:pStyle w:val="ListParagraph"/>
              <w:numPr>
                <w:ilvl w:val="0"/>
                <w:numId w:val="38"/>
              </w:numPr>
              <w:tabs>
                <w:tab w:val="left" w:pos="210"/>
              </w:tabs>
              <w:spacing w:after="0" w:line="240" w:lineRule="auto"/>
              <w:ind w:left="210" w:hanging="210"/>
              <w:jc w:val="both"/>
              <w:rPr>
                <w:rFonts w:ascii="Calibri" w:eastAsia="Calibri" w:hAnsi="Calibri" w:cs="Times New Roman"/>
                <w:noProof/>
                <w:sz w:val="18"/>
                <w:szCs w:val="18"/>
              </w:rPr>
            </w:pPr>
            <w:r w:rsidRPr="00BD6323">
              <w:rPr>
                <w:rFonts w:ascii="Calibri" w:eastAsia="Calibri" w:hAnsi="Calibri" w:cs="Times New Roman"/>
                <w:noProof/>
                <w:sz w:val="18"/>
                <w:szCs w:val="18"/>
              </w:rPr>
              <w:t xml:space="preserve">adoptarea metodologiilor/procedurilor pentru formularea și promovarea politicii în domeniul achiziţiilor publice. </w:t>
            </w:r>
          </w:p>
          <w:p w:rsidR="00BD6323" w:rsidRPr="00BD6323" w:rsidRDefault="00BD6323" w:rsidP="00BD6323">
            <w:pPr>
              <w:spacing w:line="240" w:lineRule="auto"/>
              <w:jc w:val="both"/>
              <w:rPr>
                <w:rFonts w:ascii="Calibri" w:eastAsia="Calibri" w:hAnsi="Calibri" w:cs="Times New Roman"/>
                <w:noProof/>
                <w:sz w:val="18"/>
                <w:szCs w:val="18"/>
              </w:rPr>
            </w:pPr>
            <w:r w:rsidRPr="00BD6323">
              <w:rPr>
                <w:rFonts w:ascii="Calibri" w:eastAsia="Calibri" w:hAnsi="Calibri" w:cs="Times New Roman"/>
                <w:noProof/>
                <w:sz w:val="18"/>
                <w:szCs w:val="18"/>
              </w:rPr>
              <w:t>Acțiunile care vizează CNSC, Curtea de Apel și CSM  sunt în derulare, realizarea acestora depinde de adoptarea de către Parlament a legii privind remediile şi căile de atac în materie de atribuire a contractelor de achiziţie publică și a contractelor de concesiune.</w:t>
            </w:r>
          </w:p>
        </w:tc>
      </w:tr>
      <w:tr w:rsidR="00653232" w:rsidRPr="00F80C42" w:rsidTr="00C50B83">
        <w:trPr>
          <w:trHeight w:val="336"/>
        </w:trPr>
        <w:tc>
          <w:tcPr>
            <w:tcW w:w="1676" w:type="dxa"/>
            <w:vMerge w:val="restart"/>
            <w:shd w:val="clear" w:color="auto" w:fill="auto"/>
          </w:tcPr>
          <w:p w:rsidR="00653232" w:rsidRPr="00F80C42" w:rsidRDefault="00653232" w:rsidP="00C50B83">
            <w:pPr>
              <w:pStyle w:val="CM1"/>
              <w:spacing w:after="200"/>
              <w:jc w:val="both"/>
              <w:rPr>
                <w:rFonts w:asciiTheme="minorHAnsi" w:hAnsiTheme="minorHAnsi"/>
                <w:sz w:val="18"/>
                <w:szCs w:val="18"/>
              </w:rPr>
            </w:pPr>
            <w:r w:rsidRPr="00F80C42">
              <w:rPr>
                <w:rFonts w:asciiTheme="minorHAnsi" w:hAnsiTheme="minorHAnsi"/>
                <w:sz w:val="18"/>
                <w:szCs w:val="18"/>
              </w:rPr>
              <w:lastRenderedPageBreak/>
              <w:t xml:space="preserve">G7. Sistemele statistice și indicatorii de rezultat - </w:t>
            </w:r>
          </w:p>
          <w:p w:rsidR="00653232" w:rsidRPr="00F80C42" w:rsidRDefault="00653232" w:rsidP="00C50B83">
            <w:pPr>
              <w:pStyle w:val="CM1"/>
              <w:spacing w:before="200" w:after="200"/>
              <w:jc w:val="both"/>
              <w:rPr>
                <w:rFonts w:asciiTheme="minorHAnsi" w:hAnsiTheme="minorHAnsi"/>
                <w:sz w:val="18"/>
                <w:szCs w:val="18"/>
              </w:rPr>
            </w:pPr>
            <w:r w:rsidRPr="00F80C42">
              <w:rPr>
                <w:rFonts w:asciiTheme="minorHAnsi" w:hAnsiTheme="minorHAnsi"/>
                <w:sz w:val="18"/>
                <w:szCs w:val="18"/>
              </w:rPr>
              <w:t xml:space="preserve">Existența unei baze statistice necesare pentru a efectua evaluări ale eficacității și impactului programelor. Existența unui </w:t>
            </w:r>
            <w:r w:rsidRPr="00F80C42">
              <w:rPr>
                <w:rFonts w:asciiTheme="minorHAnsi" w:hAnsiTheme="minorHAnsi"/>
                <w:sz w:val="18"/>
                <w:szCs w:val="18"/>
              </w:rPr>
              <w:lastRenderedPageBreak/>
              <w:t>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350" w:type="dxa"/>
            <w:vMerge w:val="restart"/>
            <w:shd w:val="clear" w:color="auto" w:fill="auto"/>
          </w:tcPr>
          <w:p w:rsidR="00653232" w:rsidRPr="00F80C42" w:rsidRDefault="00653232" w:rsidP="00C50B83">
            <w:pPr>
              <w:spacing w:beforeLines="20" w:before="48" w:afterLines="20" w:after="48" w:line="240" w:lineRule="auto"/>
              <w:jc w:val="both"/>
              <w:rPr>
                <w:sz w:val="18"/>
                <w:szCs w:val="18"/>
              </w:rPr>
            </w:pPr>
            <w:r w:rsidRPr="00F80C42">
              <w:rPr>
                <w:sz w:val="18"/>
                <w:szCs w:val="18"/>
              </w:rPr>
              <w:lastRenderedPageBreak/>
              <w:t>1 - Existența unor măsuri privind colectarea și agregarea rapidă a datelor statistice, cu următoarele elemente:</w:t>
            </w:r>
          </w:p>
          <w:p w:rsidR="00653232" w:rsidRPr="00F80C42" w:rsidRDefault="00653232" w:rsidP="00C50B83">
            <w:pPr>
              <w:spacing w:beforeLines="20" w:before="48" w:afterLines="20" w:after="48" w:line="240" w:lineRule="auto"/>
              <w:jc w:val="both"/>
              <w:rPr>
                <w:sz w:val="18"/>
                <w:szCs w:val="18"/>
              </w:rPr>
            </w:pPr>
            <w:r w:rsidRPr="00F80C42">
              <w:rPr>
                <w:sz w:val="18"/>
                <w:szCs w:val="18"/>
              </w:rPr>
              <w:t xml:space="preserve">identificarea surselor și </w:t>
            </w:r>
            <w:r w:rsidRPr="00F80C42">
              <w:rPr>
                <w:sz w:val="18"/>
                <w:szCs w:val="18"/>
              </w:rPr>
              <w:lastRenderedPageBreak/>
              <w:t>mecanismelor de asigurare a validării statistice.</w:t>
            </w:r>
          </w:p>
        </w:tc>
        <w:tc>
          <w:tcPr>
            <w:tcW w:w="1980" w:type="dxa"/>
            <w:shd w:val="clear" w:color="auto" w:fill="auto"/>
          </w:tcPr>
          <w:p w:rsidR="00653232" w:rsidRPr="00F80C42" w:rsidRDefault="00653232" w:rsidP="00C50B83">
            <w:pPr>
              <w:autoSpaceDE w:val="0"/>
              <w:autoSpaceDN w:val="0"/>
              <w:adjustRightInd w:val="0"/>
              <w:spacing w:line="240" w:lineRule="auto"/>
              <w:jc w:val="both"/>
              <w:rPr>
                <w:rFonts w:cs="TimesNewRomanPSMT"/>
                <w:sz w:val="18"/>
                <w:szCs w:val="18"/>
                <w:lang w:eastAsia="ro-RO"/>
              </w:rPr>
            </w:pPr>
            <w:r w:rsidRPr="00F80C42">
              <w:rPr>
                <w:rFonts w:cs="TimesNewRomanPSMT"/>
                <w:sz w:val="18"/>
                <w:szCs w:val="18"/>
                <w:lang w:eastAsia="ro-RO"/>
              </w:rPr>
              <w:lastRenderedPageBreak/>
              <w:t xml:space="preserve">Elaborarea și aprobarea procedurilor de monitorizare a indicatorilor financiari și fizici ai PO, care vor conține informații privind organismele responsabile pentru colectarea datelor, resursele umane dedicate, termenele de colectare a datelor, conținutul datelor și </w:t>
            </w:r>
            <w:r w:rsidRPr="00F80C42">
              <w:rPr>
                <w:rFonts w:cs="TimesNewRomanPSMT"/>
                <w:sz w:val="18"/>
                <w:szCs w:val="18"/>
                <w:lang w:eastAsia="ro-RO"/>
              </w:rPr>
              <w:lastRenderedPageBreak/>
              <w:t>modalitățile de procesare a acestora.</w:t>
            </w:r>
          </w:p>
        </w:tc>
        <w:tc>
          <w:tcPr>
            <w:tcW w:w="1090" w:type="dxa"/>
            <w:shd w:val="clear" w:color="auto" w:fill="auto"/>
          </w:tcPr>
          <w:p w:rsidR="00653232" w:rsidRPr="00F80C42" w:rsidRDefault="00653232" w:rsidP="00C50B83">
            <w:pPr>
              <w:spacing w:beforeLines="20" w:before="48" w:afterLines="20" w:after="48" w:line="240" w:lineRule="auto"/>
              <w:jc w:val="both"/>
              <w:rPr>
                <w:sz w:val="18"/>
                <w:szCs w:val="18"/>
              </w:rPr>
            </w:pPr>
            <w:r w:rsidRPr="00F80C42">
              <w:rPr>
                <w:sz w:val="18"/>
                <w:szCs w:val="18"/>
              </w:rPr>
              <w:lastRenderedPageBreak/>
              <w:t>31.12.2015</w:t>
            </w:r>
          </w:p>
        </w:tc>
        <w:tc>
          <w:tcPr>
            <w:tcW w:w="992" w:type="dxa"/>
            <w:tcBorders>
              <w:bottom w:val="single" w:sz="4" w:space="0" w:color="auto"/>
            </w:tcBorders>
            <w:shd w:val="clear" w:color="auto" w:fill="auto"/>
          </w:tcPr>
          <w:p w:rsidR="00653232" w:rsidRPr="00F80C42" w:rsidRDefault="00653232" w:rsidP="00C50B83">
            <w:pPr>
              <w:spacing w:beforeLines="20" w:before="48" w:afterLines="20" w:after="48" w:line="240" w:lineRule="auto"/>
              <w:jc w:val="both"/>
              <w:rPr>
                <w:sz w:val="18"/>
                <w:szCs w:val="18"/>
              </w:rPr>
            </w:pPr>
            <w:r w:rsidRPr="00F80C42">
              <w:rPr>
                <w:sz w:val="18"/>
                <w:szCs w:val="18"/>
              </w:rPr>
              <w:t>AMPOAT</w:t>
            </w:r>
          </w:p>
        </w:tc>
        <w:tc>
          <w:tcPr>
            <w:tcW w:w="1350" w:type="dxa"/>
            <w:tcBorders>
              <w:bottom w:val="single" w:sz="4" w:space="0" w:color="auto"/>
            </w:tcBorders>
            <w:shd w:val="clear" w:color="auto" w:fill="auto"/>
          </w:tcPr>
          <w:p w:rsidR="00653232" w:rsidRPr="00D278E8" w:rsidRDefault="00653232" w:rsidP="00C50B83">
            <w:pPr>
              <w:spacing w:beforeLines="20" w:before="48" w:afterLines="20" w:after="48" w:line="240" w:lineRule="auto"/>
              <w:jc w:val="both"/>
              <w:rPr>
                <w:sz w:val="18"/>
                <w:szCs w:val="18"/>
              </w:rPr>
            </w:pPr>
            <w:r w:rsidRPr="00D278E8">
              <w:rPr>
                <w:sz w:val="18"/>
                <w:szCs w:val="18"/>
              </w:rPr>
              <w:t>Da</w:t>
            </w:r>
          </w:p>
        </w:tc>
        <w:tc>
          <w:tcPr>
            <w:tcW w:w="1009" w:type="dxa"/>
            <w:tcBorders>
              <w:bottom w:val="single" w:sz="4" w:space="0" w:color="auto"/>
            </w:tcBorders>
          </w:tcPr>
          <w:p w:rsidR="00653232" w:rsidRPr="00D278E8" w:rsidRDefault="00653232" w:rsidP="00C50B83">
            <w:pPr>
              <w:spacing w:beforeLines="20" w:before="48" w:afterLines="20" w:after="48" w:line="240" w:lineRule="auto"/>
              <w:jc w:val="both"/>
              <w:rPr>
                <w:sz w:val="18"/>
                <w:szCs w:val="18"/>
              </w:rPr>
            </w:pPr>
            <w:r w:rsidRPr="00D278E8">
              <w:rPr>
                <w:sz w:val="18"/>
                <w:szCs w:val="18"/>
              </w:rPr>
              <w:t>Da</w:t>
            </w:r>
          </w:p>
        </w:tc>
        <w:tc>
          <w:tcPr>
            <w:tcW w:w="1290" w:type="dxa"/>
            <w:tcBorders>
              <w:bottom w:val="single" w:sz="4" w:space="0" w:color="auto"/>
            </w:tcBorders>
          </w:tcPr>
          <w:p w:rsidR="00653232" w:rsidRPr="00F80C42" w:rsidRDefault="00653232" w:rsidP="00C50B83">
            <w:pPr>
              <w:spacing w:beforeLines="20" w:before="48" w:afterLines="20" w:after="48" w:line="240" w:lineRule="auto"/>
              <w:jc w:val="both"/>
              <w:rPr>
                <w:sz w:val="18"/>
                <w:szCs w:val="18"/>
              </w:rPr>
            </w:pPr>
          </w:p>
        </w:tc>
        <w:tc>
          <w:tcPr>
            <w:tcW w:w="4163" w:type="dxa"/>
            <w:tcBorders>
              <w:bottom w:val="single" w:sz="4" w:space="0" w:color="auto"/>
            </w:tcBorders>
          </w:tcPr>
          <w:p w:rsidR="00653232" w:rsidRDefault="00653232" w:rsidP="00C50B83">
            <w:pPr>
              <w:keepNext/>
              <w:widowControl w:val="0"/>
              <w:tabs>
                <w:tab w:val="left" w:pos="0"/>
              </w:tabs>
              <w:spacing w:before="60" w:after="60" w:line="240" w:lineRule="auto"/>
              <w:jc w:val="both"/>
              <w:rPr>
                <w:rStyle w:val="Hyperlink"/>
                <w:sz w:val="18"/>
                <w:szCs w:val="18"/>
              </w:rPr>
            </w:pPr>
            <w:r w:rsidRPr="00F80C42">
              <w:rPr>
                <w:rFonts w:cs="TimesNewRomanPSMT"/>
                <w:sz w:val="18"/>
                <w:szCs w:val="18"/>
                <w:lang w:eastAsia="ro-RO"/>
              </w:rPr>
              <w:t xml:space="preserve">Ghidul </w:t>
            </w:r>
            <w:r w:rsidR="00C50B83">
              <w:rPr>
                <w:rFonts w:cs="TimesNewRomanPSMT"/>
                <w:sz w:val="18"/>
                <w:szCs w:val="18"/>
                <w:lang w:eastAsia="ro-RO"/>
              </w:rPr>
              <w:t>Indicatorilor</w:t>
            </w:r>
            <w:r w:rsidRPr="00F80C42">
              <w:rPr>
                <w:rFonts w:cs="TimesNewRomanPSMT"/>
                <w:sz w:val="18"/>
                <w:szCs w:val="18"/>
                <w:lang w:eastAsia="ro-RO"/>
              </w:rPr>
              <w:t xml:space="preserve"> POAT 2014-2020 a fost aprobat în data de 30 decembrie 2015 și a fost publicat pe pagina de internet a Ministerului Fondurilor Europene (MFE) </w:t>
            </w:r>
            <w:r w:rsidRPr="00F80C42">
              <w:rPr>
                <w:sz w:val="18"/>
                <w:szCs w:val="18"/>
              </w:rPr>
              <w:t>(</w:t>
            </w:r>
            <w:hyperlink r:id="rId13" w:anchor="implementare-program" w:history="1">
              <w:r w:rsidRPr="00F80C42">
                <w:rPr>
                  <w:rStyle w:val="Hyperlink"/>
                  <w:sz w:val="18"/>
                  <w:szCs w:val="18"/>
                </w:rPr>
                <w:t>http://www.fonduri-ue.ro/poat-2014#implementare-program</w:t>
              </w:r>
            </w:hyperlink>
            <w:r w:rsidRPr="00F80C42">
              <w:rPr>
                <w:rStyle w:val="Hyperlink"/>
                <w:sz w:val="18"/>
                <w:szCs w:val="18"/>
              </w:rPr>
              <w:t>)</w:t>
            </w:r>
            <w:r>
              <w:rPr>
                <w:rStyle w:val="Hyperlink"/>
                <w:sz w:val="18"/>
                <w:szCs w:val="18"/>
              </w:rPr>
              <w:t>.</w:t>
            </w:r>
          </w:p>
          <w:p w:rsidR="00653232" w:rsidRPr="00F35F4B" w:rsidRDefault="00653232" w:rsidP="00C50B83">
            <w:pPr>
              <w:keepNext/>
              <w:widowControl w:val="0"/>
              <w:tabs>
                <w:tab w:val="left" w:pos="0"/>
              </w:tabs>
              <w:spacing w:before="60" w:after="60" w:line="240" w:lineRule="auto"/>
              <w:jc w:val="both"/>
              <w:rPr>
                <w:rFonts w:cs="TimesNewRomanPSMT"/>
                <w:sz w:val="18"/>
                <w:szCs w:val="18"/>
                <w:lang w:eastAsia="ro-RO"/>
              </w:rPr>
            </w:pPr>
            <w:r>
              <w:rPr>
                <w:rStyle w:val="Hyperlink"/>
                <w:sz w:val="18"/>
                <w:szCs w:val="18"/>
              </w:rPr>
              <w:t xml:space="preserve">Ghidul conține fișe pentru fiecare indicator cu informații </w:t>
            </w:r>
            <w:r w:rsidRPr="00E220F4">
              <w:rPr>
                <w:rFonts w:cs="TimesNewRomanPSMT"/>
                <w:sz w:val="18"/>
                <w:szCs w:val="18"/>
                <w:lang w:eastAsia="ro-RO"/>
              </w:rPr>
              <w:t>privind organismele responsabile pentru colectarea datelor, resursele umane dedicate, termenele de colectare a datelor, conținutul datelor și modalitățile de procesare a acestora</w:t>
            </w:r>
            <w:r>
              <w:rPr>
                <w:rFonts w:cs="TimesNewRomanPSMT"/>
                <w:sz w:val="18"/>
                <w:szCs w:val="18"/>
                <w:lang w:eastAsia="ro-RO"/>
              </w:rPr>
              <w:t>.</w:t>
            </w:r>
            <w:r w:rsidRPr="00F80C42">
              <w:rPr>
                <w:rFonts w:cs="TimesNewRomanPSMT"/>
                <w:sz w:val="18"/>
                <w:szCs w:val="18"/>
                <w:lang w:eastAsia="ro-RO"/>
              </w:rPr>
              <w:t xml:space="preserve"> Pe baza </w:t>
            </w:r>
            <w:r w:rsidRPr="00F35F4B">
              <w:rPr>
                <w:rFonts w:cs="TimesNewRomanPSMT"/>
                <w:sz w:val="18"/>
                <w:szCs w:val="18"/>
                <w:lang w:eastAsia="ro-RO"/>
              </w:rPr>
              <w:t xml:space="preserve">acestui ghid vor fi elaborate procedurile de monitorizare a </w:t>
            </w:r>
            <w:r w:rsidRPr="00F35F4B">
              <w:rPr>
                <w:rFonts w:cs="TimesNewRomanPSMT"/>
                <w:sz w:val="18"/>
                <w:szCs w:val="18"/>
                <w:lang w:eastAsia="ro-RO"/>
              </w:rPr>
              <w:lastRenderedPageBreak/>
              <w:t>indicatorilor financiari și fizici.</w:t>
            </w:r>
          </w:p>
          <w:p w:rsidR="00653232" w:rsidRPr="00F35F4B" w:rsidRDefault="00653232" w:rsidP="00C50B83">
            <w:pPr>
              <w:keepNext/>
              <w:widowControl w:val="0"/>
              <w:tabs>
                <w:tab w:val="left" w:pos="0"/>
              </w:tabs>
              <w:spacing w:before="60" w:after="60" w:line="240" w:lineRule="auto"/>
              <w:jc w:val="both"/>
              <w:rPr>
                <w:rFonts w:cs="TimesNewRomanPSMT"/>
                <w:sz w:val="18"/>
                <w:szCs w:val="18"/>
                <w:lang w:eastAsia="ro-RO"/>
              </w:rPr>
            </w:pPr>
            <w:r w:rsidRPr="00F35F4B">
              <w:rPr>
                <w:rFonts w:cs="TimesNewRomanPSMT"/>
                <w:sz w:val="18"/>
                <w:szCs w:val="18"/>
                <w:lang w:eastAsia="ro-RO"/>
              </w:rPr>
              <w:t xml:space="preserve">Au fost elaborate și aprobate următoarele proceduri operaționale care contribuie la monitorizarea indicatorilor POAT: </w:t>
            </w:r>
          </w:p>
          <w:p w:rsidR="00653232" w:rsidRPr="00F35F4B" w:rsidRDefault="00653232" w:rsidP="00C50B83">
            <w:pPr>
              <w:keepNext/>
              <w:widowControl w:val="0"/>
              <w:tabs>
                <w:tab w:val="left" w:pos="0"/>
              </w:tabs>
              <w:spacing w:before="60" w:after="60" w:line="240" w:lineRule="auto"/>
              <w:jc w:val="both"/>
              <w:rPr>
                <w:rFonts w:cs="TimesNewRomanPSMT"/>
                <w:sz w:val="18"/>
                <w:szCs w:val="18"/>
                <w:lang w:eastAsia="ro-RO"/>
              </w:rPr>
            </w:pPr>
            <w:r w:rsidRPr="00F35F4B">
              <w:rPr>
                <w:rFonts w:cs="TimesNewRomanPSMT"/>
                <w:sz w:val="18"/>
                <w:szCs w:val="18"/>
                <w:lang w:eastAsia="ro-RO"/>
              </w:rPr>
              <w:t>PO-DGAT-05 Monitorizare proiecte</w:t>
            </w:r>
          </w:p>
          <w:p w:rsidR="00653232" w:rsidRPr="00783B28" w:rsidRDefault="00653232" w:rsidP="00C50B83">
            <w:pPr>
              <w:keepNext/>
              <w:widowControl w:val="0"/>
              <w:tabs>
                <w:tab w:val="left" w:pos="0"/>
              </w:tabs>
              <w:spacing w:before="60" w:after="60" w:line="240" w:lineRule="auto"/>
              <w:jc w:val="both"/>
              <w:rPr>
                <w:rFonts w:cs="TimesNewRomanPSMT"/>
                <w:sz w:val="18"/>
                <w:szCs w:val="18"/>
                <w:lang w:eastAsia="ro-RO"/>
              </w:rPr>
            </w:pPr>
            <w:r w:rsidRPr="00F35F4B">
              <w:rPr>
                <w:rFonts w:cs="TimesNewRomanPSMT"/>
                <w:sz w:val="18"/>
                <w:szCs w:val="18"/>
                <w:lang w:eastAsia="ro-RO"/>
              </w:rPr>
              <w:t>PO-DGAT-07 Elaborarea</w:t>
            </w:r>
            <w:r w:rsidRPr="00783B28">
              <w:rPr>
                <w:rFonts w:cs="TimesNewRomanPSMT"/>
                <w:sz w:val="18"/>
                <w:szCs w:val="18"/>
                <w:lang w:eastAsia="ro-RO"/>
              </w:rPr>
              <w:t xml:space="preserve"> RAI și RFI aferente POAT 2007-2013 și POAT 2014-2020  </w:t>
            </w:r>
          </w:p>
          <w:p w:rsidR="00653232" w:rsidRPr="007F3437" w:rsidRDefault="00653232" w:rsidP="00C50B83">
            <w:pPr>
              <w:spacing w:beforeLines="20" w:before="48" w:afterLines="20" w:after="48" w:line="240" w:lineRule="auto"/>
              <w:jc w:val="both"/>
              <w:rPr>
                <w:sz w:val="18"/>
                <w:szCs w:val="18"/>
              </w:rPr>
            </w:pPr>
            <w:r w:rsidRPr="00783B28">
              <w:rPr>
                <w:rFonts w:cs="TimesNewRomanPSMT"/>
                <w:sz w:val="18"/>
                <w:szCs w:val="18"/>
                <w:lang w:eastAsia="ro-RO"/>
              </w:rPr>
              <w:t>PO-DGAT-10 Organizarea și funcționarea Comitetului de Monitorizare pentru POAT 2014-2020</w:t>
            </w:r>
            <w:r w:rsidRPr="008E176E">
              <w:rPr>
                <w:rFonts w:eastAsia="Calibri"/>
                <w:sz w:val="18"/>
                <w:szCs w:val="18"/>
              </w:rPr>
              <w:t xml:space="preserve"> </w:t>
            </w:r>
          </w:p>
        </w:tc>
      </w:tr>
      <w:tr w:rsidR="00653232" w:rsidRPr="00F80C42" w:rsidTr="00C50B83">
        <w:trPr>
          <w:trHeight w:val="975"/>
        </w:trPr>
        <w:tc>
          <w:tcPr>
            <w:tcW w:w="1676" w:type="dxa"/>
            <w:vMerge/>
            <w:shd w:val="clear" w:color="auto" w:fill="auto"/>
            <w:vAlign w:val="center"/>
          </w:tcPr>
          <w:p w:rsidR="00653232" w:rsidRPr="00F80C42" w:rsidRDefault="00653232" w:rsidP="00C50B83">
            <w:pPr>
              <w:pStyle w:val="CM1"/>
              <w:spacing w:before="200" w:after="200"/>
              <w:jc w:val="center"/>
              <w:rPr>
                <w:rFonts w:asciiTheme="minorHAnsi" w:hAnsiTheme="minorHAnsi"/>
                <w:sz w:val="18"/>
                <w:szCs w:val="18"/>
              </w:rPr>
            </w:pPr>
          </w:p>
        </w:tc>
        <w:tc>
          <w:tcPr>
            <w:tcW w:w="1350" w:type="dxa"/>
            <w:vMerge/>
            <w:shd w:val="clear" w:color="auto" w:fill="auto"/>
            <w:vAlign w:val="center"/>
          </w:tcPr>
          <w:p w:rsidR="00653232" w:rsidRPr="00F80C42" w:rsidRDefault="00653232" w:rsidP="00C50B83">
            <w:pPr>
              <w:spacing w:beforeLines="20" w:before="48" w:afterLines="20" w:after="48" w:line="240" w:lineRule="auto"/>
              <w:jc w:val="both"/>
              <w:rPr>
                <w:sz w:val="18"/>
                <w:szCs w:val="18"/>
              </w:rPr>
            </w:pPr>
          </w:p>
        </w:tc>
        <w:tc>
          <w:tcPr>
            <w:tcW w:w="1980" w:type="dxa"/>
            <w:shd w:val="clear" w:color="auto" w:fill="auto"/>
          </w:tcPr>
          <w:p w:rsidR="00653232" w:rsidRPr="00F80C42" w:rsidRDefault="00653232" w:rsidP="00C50B83">
            <w:pPr>
              <w:autoSpaceDE w:val="0"/>
              <w:autoSpaceDN w:val="0"/>
              <w:adjustRightInd w:val="0"/>
              <w:spacing w:line="240" w:lineRule="auto"/>
              <w:jc w:val="both"/>
              <w:rPr>
                <w:rFonts w:cs="TimesNewRomanPSMT"/>
                <w:sz w:val="18"/>
                <w:szCs w:val="18"/>
                <w:lang w:eastAsia="ro-RO"/>
              </w:rPr>
            </w:pPr>
            <w:r w:rsidRPr="00F80C42">
              <w:rPr>
                <w:rFonts w:cs="TimesNewRomanPSMT"/>
                <w:sz w:val="18"/>
                <w:szCs w:val="18"/>
                <w:lang w:eastAsia="ro-RO"/>
              </w:rPr>
              <w:t>Adaptarea SMIS</w:t>
            </w:r>
            <w:r w:rsidR="00E637F7">
              <w:rPr>
                <w:rFonts w:cs="TimesNewRomanPSMT"/>
                <w:sz w:val="18"/>
                <w:szCs w:val="18"/>
                <w:lang w:eastAsia="ro-RO"/>
              </w:rPr>
              <w:t>2014+</w:t>
            </w:r>
            <w:r w:rsidRPr="00F80C42">
              <w:rPr>
                <w:rFonts w:cs="TimesNewRomanPSMT"/>
                <w:sz w:val="18"/>
                <w:szCs w:val="18"/>
                <w:lang w:eastAsia="ro-RO"/>
              </w:rPr>
              <w:t>/MySMIS</w:t>
            </w:r>
            <w:r w:rsidR="00E637F7">
              <w:rPr>
                <w:rFonts w:cs="TimesNewRomanPSMT"/>
                <w:sz w:val="18"/>
                <w:szCs w:val="18"/>
                <w:lang w:eastAsia="ro-RO"/>
              </w:rPr>
              <w:t>2014</w:t>
            </w:r>
            <w:r w:rsidRPr="00F80C42">
              <w:rPr>
                <w:rFonts w:cs="TimesNewRomanPSMT"/>
                <w:sz w:val="18"/>
                <w:szCs w:val="18"/>
                <w:lang w:eastAsia="ro-RO"/>
              </w:rPr>
              <w:t xml:space="preserve"> la cerințele Regulamentului Delegat (UE) nr. 480/2014</w:t>
            </w:r>
          </w:p>
          <w:p w:rsidR="00653232" w:rsidRPr="00F80C42" w:rsidRDefault="00653232" w:rsidP="00C50B83">
            <w:pPr>
              <w:spacing w:beforeLines="20" w:before="48" w:afterLines="20" w:after="48" w:line="240" w:lineRule="auto"/>
              <w:jc w:val="both"/>
              <w:rPr>
                <w:rFonts w:cs="TimesNewRomanPSMT"/>
                <w:sz w:val="18"/>
                <w:szCs w:val="18"/>
                <w:lang w:eastAsia="ro-RO"/>
              </w:rPr>
            </w:pPr>
          </w:p>
        </w:tc>
        <w:tc>
          <w:tcPr>
            <w:tcW w:w="1090" w:type="dxa"/>
            <w:tcBorders>
              <w:bottom w:val="single" w:sz="4" w:space="0" w:color="auto"/>
            </w:tcBorders>
            <w:shd w:val="clear" w:color="auto" w:fill="auto"/>
          </w:tcPr>
          <w:p w:rsidR="00653232" w:rsidRPr="00F80C42" w:rsidRDefault="00653232" w:rsidP="00C50B83">
            <w:pPr>
              <w:spacing w:beforeLines="20" w:before="48" w:afterLines="20" w:after="48" w:line="240" w:lineRule="auto"/>
              <w:jc w:val="both"/>
              <w:rPr>
                <w:sz w:val="18"/>
                <w:szCs w:val="18"/>
              </w:rPr>
            </w:pPr>
            <w:r w:rsidRPr="00F80C42">
              <w:rPr>
                <w:sz w:val="18"/>
                <w:szCs w:val="18"/>
              </w:rPr>
              <w:t>31.12.2015</w:t>
            </w:r>
          </w:p>
        </w:tc>
        <w:tc>
          <w:tcPr>
            <w:tcW w:w="992" w:type="dxa"/>
            <w:tcBorders>
              <w:bottom w:val="single" w:sz="4" w:space="0" w:color="auto"/>
            </w:tcBorders>
            <w:shd w:val="clear" w:color="auto" w:fill="auto"/>
          </w:tcPr>
          <w:p w:rsidR="00E637F7" w:rsidRPr="00E637F7" w:rsidRDefault="00E637F7" w:rsidP="00E637F7">
            <w:pPr>
              <w:spacing w:beforeLines="20" w:before="48" w:afterLines="20" w:after="48" w:line="240" w:lineRule="auto"/>
              <w:jc w:val="both"/>
              <w:rPr>
                <w:sz w:val="18"/>
                <w:szCs w:val="18"/>
              </w:rPr>
            </w:pPr>
            <w:r w:rsidRPr="00E637F7">
              <w:rPr>
                <w:sz w:val="18"/>
                <w:szCs w:val="18"/>
              </w:rPr>
              <w:t>MFE – DIRECȚIA SMIS</w:t>
            </w:r>
          </w:p>
          <w:p w:rsidR="00E637F7" w:rsidRPr="00E637F7" w:rsidRDefault="00E637F7" w:rsidP="00E637F7">
            <w:pPr>
              <w:spacing w:beforeLines="20" w:before="48" w:afterLines="20" w:after="48" w:line="240" w:lineRule="auto"/>
              <w:jc w:val="both"/>
              <w:rPr>
                <w:sz w:val="18"/>
                <w:szCs w:val="18"/>
              </w:rPr>
            </w:pPr>
            <w:r w:rsidRPr="00E637F7">
              <w:rPr>
                <w:sz w:val="18"/>
                <w:szCs w:val="18"/>
              </w:rPr>
              <w:t>AMPOAT</w:t>
            </w:r>
          </w:p>
          <w:p w:rsidR="00E637F7" w:rsidRPr="00E637F7" w:rsidRDefault="00E637F7" w:rsidP="00E637F7">
            <w:pPr>
              <w:spacing w:beforeLines="20" w:before="48" w:afterLines="20" w:after="48" w:line="240" w:lineRule="auto"/>
              <w:jc w:val="both"/>
              <w:rPr>
                <w:sz w:val="18"/>
                <w:szCs w:val="18"/>
              </w:rPr>
            </w:pPr>
            <w:r w:rsidRPr="00E637F7">
              <w:rPr>
                <w:sz w:val="18"/>
                <w:szCs w:val="18"/>
              </w:rPr>
              <w:t>AMPOCA</w:t>
            </w:r>
          </w:p>
          <w:p w:rsidR="00E637F7" w:rsidRPr="00E637F7" w:rsidRDefault="00E637F7" w:rsidP="00E637F7">
            <w:pPr>
              <w:spacing w:beforeLines="20" w:before="48" w:afterLines="20" w:after="48" w:line="240" w:lineRule="auto"/>
              <w:jc w:val="both"/>
              <w:rPr>
                <w:sz w:val="18"/>
                <w:szCs w:val="18"/>
              </w:rPr>
            </w:pPr>
            <w:r w:rsidRPr="00E637F7">
              <w:rPr>
                <w:sz w:val="18"/>
                <w:szCs w:val="18"/>
              </w:rPr>
              <w:t>AMPOCU</w:t>
            </w:r>
          </w:p>
          <w:p w:rsidR="00E637F7" w:rsidRPr="00E637F7" w:rsidRDefault="00E637F7" w:rsidP="00E637F7">
            <w:pPr>
              <w:spacing w:beforeLines="20" w:before="48" w:afterLines="20" w:after="48" w:line="240" w:lineRule="auto"/>
              <w:jc w:val="both"/>
              <w:rPr>
                <w:sz w:val="18"/>
                <w:szCs w:val="18"/>
              </w:rPr>
            </w:pPr>
            <w:r w:rsidRPr="00E637F7">
              <w:rPr>
                <w:sz w:val="18"/>
                <w:szCs w:val="18"/>
              </w:rPr>
              <w:t>AMPOC</w:t>
            </w:r>
          </w:p>
          <w:p w:rsidR="00653232" w:rsidRPr="00F80C42" w:rsidRDefault="00E637F7" w:rsidP="00E637F7">
            <w:pPr>
              <w:spacing w:beforeLines="20" w:before="48" w:afterLines="20" w:after="48" w:line="240" w:lineRule="auto"/>
              <w:jc w:val="both"/>
              <w:rPr>
                <w:sz w:val="18"/>
                <w:szCs w:val="18"/>
              </w:rPr>
            </w:pPr>
            <w:r w:rsidRPr="00E637F7">
              <w:rPr>
                <w:sz w:val="18"/>
                <w:szCs w:val="18"/>
              </w:rPr>
              <w:t>AMPOR</w:t>
            </w:r>
          </w:p>
        </w:tc>
        <w:tc>
          <w:tcPr>
            <w:tcW w:w="1350" w:type="dxa"/>
            <w:shd w:val="clear" w:color="auto" w:fill="auto"/>
          </w:tcPr>
          <w:p w:rsidR="00653232" w:rsidRPr="00F80C42" w:rsidRDefault="00653232" w:rsidP="00C50B83">
            <w:pPr>
              <w:spacing w:beforeLines="20" w:before="48" w:afterLines="20" w:after="48" w:line="240" w:lineRule="auto"/>
              <w:jc w:val="both"/>
              <w:rPr>
                <w:sz w:val="18"/>
                <w:szCs w:val="18"/>
              </w:rPr>
            </w:pPr>
            <w:r w:rsidRPr="00F80C42">
              <w:rPr>
                <w:sz w:val="18"/>
                <w:szCs w:val="18"/>
              </w:rPr>
              <w:t>Nu</w:t>
            </w:r>
          </w:p>
        </w:tc>
        <w:tc>
          <w:tcPr>
            <w:tcW w:w="1009" w:type="dxa"/>
          </w:tcPr>
          <w:p w:rsidR="00653232" w:rsidRPr="00F80C42" w:rsidRDefault="00653232" w:rsidP="00C50B83">
            <w:pPr>
              <w:spacing w:beforeLines="20" w:before="48" w:afterLines="20" w:after="48" w:line="240" w:lineRule="auto"/>
              <w:jc w:val="both"/>
              <w:rPr>
                <w:sz w:val="18"/>
                <w:szCs w:val="18"/>
              </w:rPr>
            </w:pPr>
            <w:r>
              <w:rPr>
                <w:sz w:val="18"/>
                <w:szCs w:val="18"/>
              </w:rPr>
              <w:t>Nu</w:t>
            </w:r>
          </w:p>
        </w:tc>
        <w:tc>
          <w:tcPr>
            <w:tcW w:w="1290" w:type="dxa"/>
          </w:tcPr>
          <w:p w:rsidR="00653232" w:rsidRPr="00C87FC6" w:rsidRDefault="00653232" w:rsidP="00C50B83">
            <w:pPr>
              <w:spacing w:beforeLines="20" w:before="48" w:afterLines="20" w:after="48" w:line="240" w:lineRule="auto"/>
              <w:jc w:val="both"/>
              <w:rPr>
                <w:sz w:val="18"/>
                <w:szCs w:val="18"/>
                <w:highlight w:val="yellow"/>
              </w:rPr>
            </w:pPr>
          </w:p>
        </w:tc>
        <w:tc>
          <w:tcPr>
            <w:tcW w:w="4163" w:type="dxa"/>
          </w:tcPr>
          <w:p w:rsidR="00E637F7" w:rsidRPr="00E637F7" w:rsidRDefault="00E637F7" w:rsidP="00E637F7">
            <w:pPr>
              <w:spacing w:line="240" w:lineRule="auto"/>
              <w:jc w:val="both"/>
              <w:rPr>
                <w:rFonts w:cs="TimesNewRomanPSMT"/>
                <w:sz w:val="18"/>
                <w:szCs w:val="18"/>
                <w:lang w:eastAsia="ro-RO"/>
              </w:rPr>
            </w:pPr>
            <w:r w:rsidRPr="00E637F7">
              <w:rPr>
                <w:rFonts w:cs="TimesNewRomanPSMT"/>
                <w:sz w:val="18"/>
                <w:szCs w:val="18"/>
                <w:lang w:eastAsia="ro-RO"/>
              </w:rPr>
              <w:t>Luând în considerare faptul că procesul de desemnare a sistemului de management și control pentru programele operaționale 2014-2020 nu poate fi realizat fără funcționarea sistemului informatic unic de administrare în conformitate cu Regulamentul CE 1303/2013, se impune de urgență operați</w:t>
            </w:r>
            <w:r>
              <w:rPr>
                <w:rFonts w:cs="TimesNewRomanPSMT"/>
                <w:sz w:val="18"/>
                <w:szCs w:val="18"/>
                <w:lang w:eastAsia="ro-RO"/>
              </w:rPr>
              <w:t>onalizarea SMIS 2014+ și MySMIS</w:t>
            </w:r>
            <w:r w:rsidRPr="00E637F7">
              <w:rPr>
                <w:rFonts w:cs="TimesNewRomanPSMT"/>
                <w:sz w:val="18"/>
                <w:szCs w:val="18"/>
                <w:lang w:eastAsia="ro-RO"/>
              </w:rPr>
              <w:t>2014 pe module necesare pentru lansarea de apeluri de proiecte și începerea punerii în aplicare a programelor.</w:t>
            </w:r>
          </w:p>
          <w:p w:rsidR="00E637F7" w:rsidRPr="00E637F7" w:rsidRDefault="00E637F7" w:rsidP="00E637F7">
            <w:pPr>
              <w:spacing w:line="240" w:lineRule="auto"/>
              <w:jc w:val="both"/>
              <w:rPr>
                <w:rFonts w:cs="TimesNewRomanPSMT"/>
                <w:sz w:val="18"/>
                <w:szCs w:val="18"/>
                <w:lang w:eastAsia="ro-RO"/>
              </w:rPr>
            </w:pPr>
            <w:r w:rsidRPr="00E637F7">
              <w:rPr>
                <w:rFonts w:cs="TimesNewRomanPSMT"/>
                <w:sz w:val="18"/>
                <w:szCs w:val="18"/>
                <w:lang w:eastAsia="ro-RO"/>
              </w:rPr>
              <w:t>În acest scop, un grup de lucru format din reprezentanți la nivel de conducere și de execuție din toate instituțiile relevante a fost înființat, sub directa coordonare a unui secretar de stat MFE. De asemenea, a fost elaborat un calendar al activităților care vor fi întreprinse în viitorul apropiat, cu date fixe, așa cum rezultă din cele de mai jos.</w:t>
            </w:r>
          </w:p>
          <w:p w:rsidR="00E637F7" w:rsidRPr="00E637F7" w:rsidRDefault="00E637F7" w:rsidP="00E637F7">
            <w:pPr>
              <w:spacing w:line="240" w:lineRule="auto"/>
              <w:jc w:val="both"/>
              <w:rPr>
                <w:rFonts w:cs="TimesNewRomanPSMT"/>
                <w:sz w:val="18"/>
                <w:szCs w:val="18"/>
                <w:lang w:eastAsia="ro-RO"/>
              </w:rPr>
            </w:pPr>
            <w:r w:rsidRPr="00E637F7">
              <w:rPr>
                <w:rFonts w:cs="TimesNewRomanPSMT"/>
                <w:sz w:val="18"/>
                <w:szCs w:val="18"/>
                <w:lang w:eastAsia="ro-RO"/>
              </w:rPr>
              <w:t xml:space="preserve">Acest calendar a fost aprobat de Guvern în data de 27 ianuarie 2016, ca parte a Memorandumului "Aprobarea calendarului activităților care vor fi întreprinse în vederea operaționalizării sistemului de </w:t>
            </w:r>
            <w:r w:rsidRPr="00E637F7">
              <w:rPr>
                <w:rFonts w:cs="TimesNewRomanPSMT"/>
                <w:sz w:val="18"/>
                <w:szCs w:val="18"/>
                <w:lang w:eastAsia="ro-RO"/>
              </w:rPr>
              <w:lastRenderedPageBreak/>
              <w:t>management integrat al SMIS 2014 + / MySMIS2014 pentru gestionarea fondurilor UE ".</w:t>
            </w:r>
          </w:p>
          <w:p w:rsidR="00E637F7" w:rsidRPr="00E637F7" w:rsidRDefault="00E637F7" w:rsidP="00E637F7">
            <w:pPr>
              <w:spacing w:line="240" w:lineRule="auto"/>
              <w:jc w:val="both"/>
              <w:rPr>
                <w:rFonts w:cs="TimesNewRomanPSMT"/>
                <w:sz w:val="18"/>
                <w:szCs w:val="18"/>
                <w:lang w:eastAsia="ro-RO"/>
              </w:rPr>
            </w:pPr>
            <w:r w:rsidRPr="00E637F7">
              <w:rPr>
                <w:rFonts w:cs="TimesNewRomanPSMT"/>
                <w:sz w:val="18"/>
                <w:szCs w:val="18"/>
                <w:lang w:eastAsia="ro-RO"/>
              </w:rPr>
              <w:t>Până la data curentă, au fost efectuate următoarele etape:</w:t>
            </w:r>
          </w:p>
          <w:p w:rsidR="00E637F7" w:rsidRPr="00E637F7" w:rsidRDefault="00E637F7" w:rsidP="00E637F7">
            <w:pPr>
              <w:pStyle w:val="ListParagraph"/>
              <w:numPr>
                <w:ilvl w:val="0"/>
                <w:numId w:val="38"/>
              </w:numPr>
              <w:spacing w:after="0" w:line="240" w:lineRule="auto"/>
              <w:ind w:left="210" w:hanging="210"/>
              <w:jc w:val="both"/>
              <w:rPr>
                <w:rFonts w:cs="TimesNewRomanPSMT"/>
                <w:sz w:val="18"/>
                <w:szCs w:val="18"/>
                <w:lang w:eastAsia="ro-RO"/>
              </w:rPr>
            </w:pPr>
            <w:r w:rsidRPr="00E637F7">
              <w:rPr>
                <w:rFonts w:cs="TimesNewRomanPSMT"/>
                <w:sz w:val="18"/>
                <w:szCs w:val="18"/>
                <w:lang w:eastAsia="ro-RO"/>
              </w:rPr>
              <w:t>caracteristici ale procedurii de înregistrare și autentificare a utilizatorilor în sistemul de informații au fost definite și puse în aplicare;</w:t>
            </w:r>
          </w:p>
          <w:p w:rsidR="00E637F7" w:rsidRPr="00E637F7" w:rsidRDefault="00E637F7" w:rsidP="00E637F7">
            <w:pPr>
              <w:pStyle w:val="ListParagraph"/>
              <w:numPr>
                <w:ilvl w:val="0"/>
                <w:numId w:val="38"/>
              </w:numPr>
              <w:spacing w:after="0" w:line="240" w:lineRule="auto"/>
              <w:ind w:left="210" w:hanging="210"/>
              <w:jc w:val="both"/>
              <w:rPr>
                <w:rFonts w:cs="TimesNewRomanPSMT"/>
                <w:sz w:val="18"/>
                <w:szCs w:val="18"/>
                <w:lang w:eastAsia="ro-RO"/>
              </w:rPr>
            </w:pPr>
            <w:r w:rsidRPr="00E637F7">
              <w:rPr>
                <w:rFonts w:cs="TimesNewRomanPSMT"/>
                <w:sz w:val="18"/>
                <w:szCs w:val="18"/>
                <w:lang w:eastAsia="ro-RO"/>
              </w:rPr>
              <w:t>modulele lansare de apel și depunere cerere de finanțare au fost lansate pentru testare publică pe 08.03.2016, în prezent în curs de finalizare;</w:t>
            </w:r>
          </w:p>
          <w:p w:rsidR="00653232" w:rsidRPr="007F3437" w:rsidRDefault="00E637F7" w:rsidP="00E637F7">
            <w:pPr>
              <w:spacing w:beforeLines="20" w:before="48" w:afterLines="20" w:after="48" w:line="240" w:lineRule="auto"/>
              <w:jc w:val="both"/>
              <w:rPr>
                <w:sz w:val="18"/>
                <w:szCs w:val="18"/>
              </w:rPr>
            </w:pPr>
            <w:r w:rsidRPr="00E637F7">
              <w:rPr>
                <w:rFonts w:cs="TimesNewRomanPSMT"/>
                <w:sz w:val="18"/>
                <w:szCs w:val="18"/>
                <w:lang w:eastAsia="ro-RO"/>
              </w:rPr>
              <w:t>pentru celelalte moduleale sistemelor analiza se desfășoară în paralel și, pe măsură ce dezvoltarea este finalizată, aceste module vor fi lansate succesiv.</w:t>
            </w:r>
          </w:p>
        </w:tc>
      </w:tr>
      <w:tr w:rsidR="00653232" w:rsidRPr="00F80C42" w:rsidTr="00C50B83">
        <w:trPr>
          <w:trHeight w:val="345"/>
        </w:trPr>
        <w:tc>
          <w:tcPr>
            <w:tcW w:w="1676" w:type="dxa"/>
            <w:vMerge/>
            <w:shd w:val="clear" w:color="auto" w:fill="auto"/>
            <w:vAlign w:val="center"/>
          </w:tcPr>
          <w:p w:rsidR="00653232" w:rsidRPr="00F80C42" w:rsidRDefault="00653232" w:rsidP="00C50B83">
            <w:pPr>
              <w:spacing w:beforeLines="20" w:before="48" w:afterLines="20" w:after="48" w:line="240" w:lineRule="auto"/>
              <w:jc w:val="both"/>
              <w:rPr>
                <w:sz w:val="18"/>
                <w:szCs w:val="18"/>
              </w:rPr>
            </w:pPr>
          </w:p>
        </w:tc>
        <w:tc>
          <w:tcPr>
            <w:tcW w:w="1350" w:type="dxa"/>
            <w:shd w:val="clear" w:color="auto" w:fill="auto"/>
          </w:tcPr>
          <w:p w:rsidR="00653232" w:rsidRPr="00F80C42" w:rsidRDefault="00653232" w:rsidP="00C50B83">
            <w:pPr>
              <w:keepNext/>
              <w:widowControl w:val="0"/>
              <w:tabs>
                <w:tab w:val="left" w:pos="0"/>
              </w:tabs>
              <w:spacing w:before="60" w:after="60" w:line="240" w:lineRule="auto"/>
              <w:jc w:val="both"/>
              <w:rPr>
                <w:rFonts w:eastAsia="Calibri"/>
                <w:sz w:val="18"/>
                <w:szCs w:val="18"/>
              </w:rPr>
            </w:pPr>
            <w:r w:rsidRPr="00F80C42">
              <w:rPr>
                <w:rFonts w:eastAsia="Calibri"/>
                <w:sz w:val="18"/>
                <w:szCs w:val="18"/>
              </w:rPr>
              <w:t>7 - Proceduri pentru a se asigura că toate operațiunile finanțate prin program adoptă un sistem eficace de indicatori.</w:t>
            </w:r>
          </w:p>
        </w:tc>
        <w:tc>
          <w:tcPr>
            <w:tcW w:w="1980" w:type="dxa"/>
            <w:shd w:val="clear" w:color="auto" w:fill="auto"/>
          </w:tcPr>
          <w:p w:rsidR="00653232" w:rsidRPr="00F80C42" w:rsidRDefault="00653232" w:rsidP="00C50B83">
            <w:pPr>
              <w:keepNext/>
              <w:widowControl w:val="0"/>
              <w:tabs>
                <w:tab w:val="left" w:pos="0"/>
              </w:tabs>
              <w:spacing w:before="60" w:after="60" w:line="240" w:lineRule="auto"/>
              <w:jc w:val="both"/>
              <w:rPr>
                <w:rFonts w:eastAsia="Calibri"/>
                <w:sz w:val="18"/>
                <w:szCs w:val="18"/>
              </w:rPr>
            </w:pPr>
            <w:r w:rsidRPr="00F80C42">
              <w:rPr>
                <w:rFonts w:cs="TimesNewRomanPSMT"/>
                <w:sz w:val="18"/>
                <w:szCs w:val="18"/>
                <w:lang w:eastAsia="ro-RO"/>
              </w:rPr>
              <w:t>Elaborarea și aprobarea procedurilor de monitorizare a indicatorilor financiari și fizici ai PO, care vor conține informații privind organismele responsabile pentru colectarea datelor, resursele umane dedicate, termenele de colectare a datelor, conținutul datelor și modalitățile de procesare a acestora.</w:t>
            </w:r>
          </w:p>
        </w:tc>
        <w:tc>
          <w:tcPr>
            <w:tcW w:w="1090" w:type="dxa"/>
            <w:shd w:val="clear" w:color="auto" w:fill="auto"/>
          </w:tcPr>
          <w:p w:rsidR="00653232" w:rsidRPr="00F80C42" w:rsidRDefault="00653232" w:rsidP="00C50B83">
            <w:pPr>
              <w:keepNext/>
              <w:widowControl w:val="0"/>
              <w:tabs>
                <w:tab w:val="left" w:pos="0"/>
              </w:tabs>
              <w:spacing w:before="60" w:after="60" w:line="240" w:lineRule="auto"/>
              <w:jc w:val="both"/>
              <w:rPr>
                <w:rFonts w:eastAsia="Calibri"/>
                <w:sz w:val="18"/>
                <w:szCs w:val="18"/>
              </w:rPr>
            </w:pPr>
            <w:r w:rsidRPr="00F80C42">
              <w:rPr>
                <w:rFonts w:eastAsia="Calibri"/>
                <w:sz w:val="18"/>
                <w:szCs w:val="18"/>
              </w:rPr>
              <w:t>31.12.2015</w:t>
            </w:r>
          </w:p>
        </w:tc>
        <w:tc>
          <w:tcPr>
            <w:tcW w:w="992" w:type="dxa"/>
            <w:shd w:val="clear" w:color="auto" w:fill="auto"/>
          </w:tcPr>
          <w:p w:rsidR="00653232" w:rsidRPr="00F80C42" w:rsidRDefault="00653232" w:rsidP="00C50B83">
            <w:pPr>
              <w:keepNext/>
              <w:widowControl w:val="0"/>
              <w:tabs>
                <w:tab w:val="left" w:pos="0"/>
              </w:tabs>
              <w:spacing w:before="60" w:after="60" w:line="240" w:lineRule="auto"/>
              <w:jc w:val="both"/>
              <w:rPr>
                <w:rFonts w:eastAsia="Calibri"/>
                <w:sz w:val="18"/>
                <w:szCs w:val="18"/>
              </w:rPr>
            </w:pPr>
            <w:r w:rsidRPr="00F80C42">
              <w:rPr>
                <w:rFonts w:eastAsia="Calibri"/>
                <w:sz w:val="18"/>
                <w:szCs w:val="18"/>
              </w:rPr>
              <w:t>AMPOAT</w:t>
            </w:r>
          </w:p>
        </w:tc>
        <w:tc>
          <w:tcPr>
            <w:tcW w:w="1350" w:type="dxa"/>
            <w:shd w:val="clear" w:color="auto" w:fill="auto"/>
          </w:tcPr>
          <w:p w:rsidR="00653232" w:rsidRPr="00D278E8" w:rsidRDefault="00653232" w:rsidP="00C50B83">
            <w:pPr>
              <w:keepNext/>
              <w:widowControl w:val="0"/>
              <w:tabs>
                <w:tab w:val="left" w:pos="0"/>
              </w:tabs>
              <w:spacing w:before="60" w:after="60" w:line="240" w:lineRule="auto"/>
              <w:jc w:val="both"/>
              <w:rPr>
                <w:rFonts w:eastAsia="Calibri"/>
                <w:sz w:val="18"/>
                <w:szCs w:val="18"/>
              </w:rPr>
            </w:pPr>
            <w:r w:rsidRPr="00D278E8">
              <w:rPr>
                <w:sz w:val="18"/>
                <w:szCs w:val="18"/>
              </w:rPr>
              <w:t>Da</w:t>
            </w:r>
          </w:p>
        </w:tc>
        <w:tc>
          <w:tcPr>
            <w:tcW w:w="1009" w:type="dxa"/>
          </w:tcPr>
          <w:p w:rsidR="00653232" w:rsidRPr="00D278E8" w:rsidRDefault="00653232" w:rsidP="00C50B83">
            <w:pPr>
              <w:keepNext/>
              <w:widowControl w:val="0"/>
              <w:tabs>
                <w:tab w:val="left" w:pos="0"/>
              </w:tabs>
              <w:spacing w:before="60" w:after="60" w:line="240" w:lineRule="auto"/>
              <w:jc w:val="both"/>
              <w:rPr>
                <w:sz w:val="18"/>
                <w:szCs w:val="18"/>
              </w:rPr>
            </w:pPr>
            <w:r w:rsidRPr="00D278E8">
              <w:rPr>
                <w:sz w:val="18"/>
                <w:szCs w:val="18"/>
              </w:rPr>
              <w:t>Da</w:t>
            </w:r>
          </w:p>
        </w:tc>
        <w:tc>
          <w:tcPr>
            <w:tcW w:w="1290" w:type="dxa"/>
          </w:tcPr>
          <w:p w:rsidR="00653232" w:rsidRPr="00F80C42" w:rsidRDefault="00653232" w:rsidP="00C50B83">
            <w:pPr>
              <w:keepNext/>
              <w:widowControl w:val="0"/>
              <w:tabs>
                <w:tab w:val="left" w:pos="0"/>
              </w:tabs>
              <w:spacing w:before="60" w:after="60" w:line="240" w:lineRule="auto"/>
              <w:jc w:val="both"/>
              <w:rPr>
                <w:sz w:val="18"/>
                <w:szCs w:val="18"/>
              </w:rPr>
            </w:pPr>
          </w:p>
        </w:tc>
        <w:tc>
          <w:tcPr>
            <w:tcW w:w="4163" w:type="dxa"/>
          </w:tcPr>
          <w:p w:rsidR="00653232" w:rsidRDefault="00653232" w:rsidP="00C50B83">
            <w:pPr>
              <w:keepNext/>
              <w:widowControl w:val="0"/>
              <w:tabs>
                <w:tab w:val="left" w:pos="0"/>
              </w:tabs>
              <w:spacing w:before="60" w:after="60" w:line="240" w:lineRule="auto"/>
              <w:jc w:val="both"/>
              <w:rPr>
                <w:rStyle w:val="Hyperlink"/>
                <w:sz w:val="18"/>
                <w:szCs w:val="18"/>
              </w:rPr>
            </w:pPr>
            <w:r w:rsidRPr="00F80C42">
              <w:rPr>
                <w:rFonts w:cs="TimesNewRomanPSMT"/>
                <w:sz w:val="18"/>
                <w:szCs w:val="18"/>
                <w:lang w:eastAsia="ro-RO"/>
              </w:rPr>
              <w:t xml:space="preserve">Ghidul </w:t>
            </w:r>
            <w:r w:rsidR="00C50B83">
              <w:rPr>
                <w:rFonts w:cs="TimesNewRomanPSMT"/>
                <w:sz w:val="18"/>
                <w:szCs w:val="18"/>
                <w:lang w:eastAsia="ro-RO"/>
              </w:rPr>
              <w:t>Indicatorilor</w:t>
            </w:r>
            <w:r w:rsidR="00C50B83" w:rsidRPr="00F80C42">
              <w:rPr>
                <w:rFonts w:cs="TimesNewRomanPSMT"/>
                <w:sz w:val="18"/>
                <w:szCs w:val="18"/>
                <w:lang w:eastAsia="ro-RO"/>
              </w:rPr>
              <w:t xml:space="preserve"> </w:t>
            </w:r>
            <w:r w:rsidRPr="00F80C42">
              <w:rPr>
                <w:rFonts w:cs="TimesNewRomanPSMT"/>
                <w:sz w:val="18"/>
                <w:szCs w:val="18"/>
                <w:lang w:eastAsia="ro-RO"/>
              </w:rPr>
              <w:t xml:space="preserve">POAT 2014-2020 a fost aprobat în data de 30 decembrie 2015. Documentul a fost publicat pe pagina de internet a Ministerului Fondurilor Europene (MFE)  </w:t>
            </w:r>
            <w:r w:rsidRPr="00F80C42">
              <w:rPr>
                <w:sz w:val="18"/>
                <w:szCs w:val="18"/>
              </w:rPr>
              <w:t>(</w:t>
            </w:r>
            <w:hyperlink r:id="rId14" w:anchor="implementare-program" w:history="1">
              <w:r w:rsidRPr="00F80C42">
                <w:rPr>
                  <w:rStyle w:val="Hyperlink"/>
                  <w:sz w:val="18"/>
                  <w:szCs w:val="18"/>
                </w:rPr>
                <w:t>http://www.fonduri-ue.ro/poat-2014#implementare-program</w:t>
              </w:r>
            </w:hyperlink>
            <w:r w:rsidRPr="00F80C42">
              <w:rPr>
                <w:rStyle w:val="Hyperlink"/>
                <w:sz w:val="18"/>
                <w:szCs w:val="18"/>
              </w:rPr>
              <w:t>)</w:t>
            </w:r>
            <w:r>
              <w:rPr>
                <w:rStyle w:val="Hyperlink"/>
                <w:sz w:val="18"/>
                <w:szCs w:val="18"/>
              </w:rPr>
              <w:t>.</w:t>
            </w:r>
          </w:p>
          <w:p w:rsidR="00653232" w:rsidRPr="00F35F4B" w:rsidRDefault="00653232" w:rsidP="00C50B83">
            <w:pPr>
              <w:keepNext/>
              <w:widowControl w:val="0"/>
              <w:tabs>
                <w:tab w:val="left" w:pos="0"/>
              </w:tabs>
              <w:spacing w:before="60" w:after="60" w:line="240" w:lineRule="auto"/>
              <w:jc w:val="both"/>
              <w:rPr>
                <w:rFonts w:cs="TimesNewRomanPSMT"/>
                <w:sz w:val="18"/>
                <w:szCs w:val="18"/>
                <w:lang w:eastAsia="ro-RO"/>
              </w:rPr>
            </w:pPr>
            <w:r w:rsidRPr="001B6CF4">
              <w:rPr>
                <w:rFonts w:cs="TimesNewRomanPSMT"/>
                <w:sz w:val="18"/>
                <w:szCs w:val="18"/>
                <w:lang w:eastAsia="ro-RO"/>
              </w:rPr>
              <w:t>Ghidul conține fișe pentru fiecare indicator cu informații privind organismele responsabile pentru colectarea datelor, resursele umane dedicate, termenele de colectare a datelor, conținutul datelor și modalitățile de procesare a acestora.</w:t>
            </w:r>
            <w:r w:rsidRPr="00F80C42">
              <w:rPr>
                <w:rFonts w:cs="TimesNewRomanPSMT"/>
                <w:sz w:val="18"/>
                <w:szCs w:val="18"/>
                <w:lang w:eastAsia="ro-RO"/>
              </w:rPr>
              <w:t xml:space="preserve"> Pe baza </w:t>
            </w:r>
            <w:r w:rsidRPr="00F35F4B">
              <w:rPr>
                <w:rFonts w:cs="TimesNewRomanPSMT"/>
                <w:sz w:val="18"/>
                <w:szCs w:val="18"/>
                <w:lang w:eastAsia="ro-RO"/>
              </w:rPr>
              <w:t>acestui ghid vor fi elaborate procedurile de monitorizare a indicatorilor financiari și fizici.</w:t>
            </w:r>
          </w:p>
          <w:p w:rsidR="00653232" w:rsidRPr="00F35F4B" w:rsidRDefault="00653232" w:rsidP="00C50B83">
            <w:pPr>
              <w:keepNext/>
              <w:widowControl w:val="0"/>
              <w:tabs>
                <w:tab w:val="left" w:pos="0"/>
              </w:tabs>
              <w:spacing w:before="60" w:after="60" w:line="240" w:lineRule="auto"/>
              <w:jc w:val="both"/>
              <w:rPr>
                <w:rFonts w:cs="TimesNewRomanPSMT"/>
                <w:sz w:val="18"/>
                <w:szCs w:val="18"/>
                <w:lang w:eastAsia="ro-RO"/>
              </w:rPr>
            </w:pPr>
            <w:r w:rsidRPr="00F35F4B">
              <w:rPr>
                <w:rFonts w:cs="TimesNewRomanPSMT"/>
                <w:sz w:val="18"/>
                <w:szCs w:val="18"/>
                <w:lang w:eastAsia="ro-RO"/>
              </w:rPr>
              <w:t xml:space="preserve">Au fost elaborate și aprobate următoarele proceduri operaționale care contribuie la monitorizarea indicatorilor POAT: </w:t>
            </w:r>
          </w:p>
          <w:p w:rsidR="00653232" w:rsidRPr="00F35F4B" w:rsidRDefault="00653232" w:rsidP="00C50B83">
            <w:pPr>
              <w:keepNext/>
              <w:widowControl w:val="0"/>
              <w:tabs>
                <w:tab w:val="left" w:pos="0"/>
              </w:tabs>
              <w:spacing w:before="60" w:after="60" w:line="240" w:lineRule="auto"/>
              <w:jc w:val="both"/>
              <w:rPr>
                <w:rFonts w:cs="TimesNewRomanPSMT"/>
                <w:sz w:val="18"/>
                <w:szCs w:val="18"/>
                <w:lang w:eastAsia="ro-RO"/>
              </w:rPr>
            </w:pPr>
            <w:r w:rsidRPr="00F35F4B">
              <w:rPr>
                <w:rFonts w:cs="TimesNewRomanPSMT"/>
                <w:sz w:val="18"/>
                <w:szCs w:val="18"/>
                <w:lang w:eastAsia="ro-RO"/>
              </w:rPr>
              <w:t>PO-DGAT-05 Monitorizare proiecte</w:t>
            </w:r>
          </w:p>
          <w:p w:rsidR="00653232" w:rsidRPr="00783B28" w:rsidRDefault="00653232" w:rsidP="00C50B83">
            <w:pPr>
              <w:keepNext/>
              <w:widowControl w:val="0"/>
              <w:tabs>
                <w:tab w:val="left" w:pos="0"/>
              </w:tabs>
              <w:spacing w:before="60" w:after="60" w:line="240" w:lineRule="auto"/>
              <w:jc w:val="both"/>
              <w:rPr>
                <w:rFonts w:cs="TimesNewRomanPSMT"/>
                <w:sz w:val="18"/>
                <w:szCs w:val="18"/>
                <w:lang w:eastAsia="ro-RO"/>
              </w:rPr>
            </w:pPr>
            <w:r w:rsidRPr="00F35F4B">
              <w:rPr>
                <w:rFonts w:cs="TimesNewRomanPSMT"/>
                <w:sz w:val="18"/>
                <w:szCs w:val="18"/>
                <w:lang w:eastAsia="ro-RO"/>
              </w:rPr>
              <w:t xml:space="preserve">PO-DGAT-07 </w:t>
            </w:r>
            <w:r w:rsidRPr="00783B28">
              <w:rPr>
                <w:rFonts w:cs="TimesNewRomanPSMT"/>
                <w:sz w:val="18"/>
                <w:szCs w:val="18"/>
                <w:lang w:eastAsia="ro-RO"/>
              </w:rPr>
              <w:t xml:space="preserve">Elaborarea RAI și RFI aferente POAT </w:t>
            </w:r>
            <w:r w:rsidRPr="00783B28">
              <w:rPr>
                <w:rFonts w:cs="TimesNewRomanPSMT"/>
                <w:sz w:val="18"/>
                <w:szCs w:val="18"/>
                <w:lang w:eastAsia="ro-RO"/>
              </w:rPr>
              <w:lastRenderedPageBreak/>
              <w:t xml:space="preserve">2007-2013 și POAT 2014-2020  </w:t>
            </w:r>
          </w:p>
          <w:p w:rsidR="00653232" w:rsidRPr="007F3437" w:rsidRDefault="00653232" w:rsidP="00C50B83">
            <w:pPr>
              <w:spacing w:beforeLines="20" w:before="48" w:afterLines="20" w:after="48" w:line="240" w:lineRule="auto"/>
              <w:jc w:val="both"/>
              <w:rPr>
                <w:sz w:val="18"/>
                <w:szCs w:val="18"/>
              </w:rPr>
            </w:pPr>
            <w:r w:rsidRPr="00783B28">
              <w:rPr>
                <w:rFonts w:cs="TimesNewRomanPSMT"/>
                <w:sz w:val="18"/>
                <w:szCs w:val="18"/>
                <w:lang w:eastAsia="ro-RO"/>
              </w:rPr>
              <w:t>PO-DGAT-10 Organizarea și funcționarea Comitetului de Monitorizare pentru POAT 2014-2020</w:t>
            </w:r>
            <w:r w:rsidRPr="008E176E">
              <w:rPr>
                <w:rFonts w:eastAsia="Calibri"/>
                <w:sz w:val="18"/>
                <w:szCs w:val="18"/>
              </w:rPr>
              <w:t xml:space="preserve"> </w:t>
            </w:r>
          </w:p>
        </w:tc>
      </w:tr>
    </w:tbl>
    <w:p w:rsidR="00852059" w:rsidRPr="00F80C42" w:rsidRDefault="00852059" w:rsidP="00852059">
      <w:pPr>
        <w:pStyle w:val="ListParagraph"/>
      </w:pPr>
    </w:p>
    <w:sectPr w:rsidR="00852059" w:rsidRPr="00F80C42" w:rsidSect="008520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FD" w:rsidRDefault="00D932FD" w:rsidP="00DA2B85">
      <w:pPr>
        <w:spacing w:after="0" w:line="240" w:lineRule="auto"/>
      </w:pPr>
      <w:r>
        <w:separator/>
      </w:r>
    </w:p>
  </w:endnote>
  <w:endnote w:type="continuationSeparator" w:id="0">
    <w:p w:rsidR="00D932FD" w:rsidRDefault="00D932FD" w:rsidP="00DA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60864"/>
      <w:docPartObj>
        <w:docPartGallery w:val="Page Numbers (Bottom of Page)"/>
        <w:docPartUnique/>
      </w:docPartObj>
    </w:sdtPr>
    <w:sdtEndPr>
      <w:rPr>
        <w:noProof/>
      </w:rPr>
    </w:sdtEndPr>
    <w:sdtContent>
      <w:p w:rsidR="00B7565E" w:rsidRDefault="00B7565E" w:rsidP="00396328">
        <w:pPr>
          <w:pStyle w:val="Footer"/>
          <w:jc w:val="right"/>
        </w:pPr>
        <w:r>
          <w:fldChar w:fldCharType="begin"/>
        </w:r>
        <w:r>
          <w:instrText xml:space="preserve"> PAGE   \* MERGEFORMAT </w:instrText>
        </w:r>
        <w:r>
          <w:fldChar w:fldCharType="separate"/>
        </w:r>
        <w:r w:rsidR="0061799A">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FD" w:rsidRDefault="00D932FD" w:rsidP="00DA2B85">
      <w:pPr>
        <w:spacing w:after="0" w:line="240" w:lineRule="auto"/>
      </w:pPr>
      <w:r>
        <w:separator/>
      </w:r>
    </w:p>
  </w:footnote>
  <w:footnote w:type="continuationSeparator" w:id="0">
    <w:p w:rsidR="00D932FD" w:rsidRDefault="00D932FD" w:rsidP="00DA2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FA1"/>
    <w:multiLevelType w:val="hybridMultilevel"/>
    <w:tmpl w:val="B1FE04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092D35"/>
    <w:multiLevelType w:val="hybridMultilevel"/>
    <w:tmpl w:val="F0A21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15A7"/>
    <w:multiLevelType w:val="hybridMultilevel"/>
    <w:tmpl w:val="707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412E4"/>
    <w:multiLevelType w:val="hybridMultilevel"/>
    <w:tmpl w:val="6ED0B378"/>
    <w:lvl w:ilvl="0" w:tplc="23DC3BE6">
      <w:start w:val="3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587A6E"/>
    <w:multiLevelType w:val="hybridMultilevel"/>
    <w:tmpl w:val="32D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2F2"/>
    <w:multiLevelType w:val="hybridMultilevel"/>
    <w:tmpl w:val="5644E3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38070C"/>
    <w:multiLevelType w:val="hybridMultilevel"/>
    <w:tmpl w:val="1AE423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F073E9"/>
    <w:multiLevelType w:val="hybridMultilevel"/>
    <w:tmpl w:val="87FC3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84583"/>
    <w:multiLevelType w:val="hybridMultilevel"/>
    <w:tmpl w:val="EC3E9086"/>
    <w:lvl w:ilvl="0" w:tplc="B3D80F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432BE"/>
    <w:multiLevelType w:val="hybridMultilevel"/>
    <w:tmpl w:val="F558BE52"/>
    <w:lvl w:ilvl="0" w:tplc="C27209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4C1E58"/>
    <w:multiLevelType w:val="hybridMultilevel"/>
    <w:tmpl w:val="BA7CA33C"/>
    <w:lvl w:ilvl="0" w:tplc="33B6495A">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E3772"/>
    <w:multiLevelType w:val="hybridMultilevel"/>
    <w:tmpl w:val="B078A2BA"/>
    <w:lvl w:ilvl="0" w:tplc="B3D80F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344D8"/>
    <w:multiLevelType w:val="hybridMultilevel"/>
    <w:tmpl w:val="B9FCACD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117745A"/>
    <w:multiLevelType w:val="hybridMultilevel"/>
    <w:tmpl w:val="F37EC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31B6056"/>
    <w:multiLevelType w:val="hybridMultilevel"/>
    <w:tmpl w:val="AD82DB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87011C"/>
    <w:multiLevelType w:val="hybridMultilevel"/>
    <w:tmpl w:val="73F4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738B5"/>
    <w:multiLevelType w:val="hybridMultilevel"/>
    <w:tmpl w:val="771E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B4A83"/>
    <w:multiLevelType w:val="hybridMultilevel"/>
    <w:tmpl w:val="AFBA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0B16F0"/>
    <w:multiLevelType w:val="hybridMultilevel"/>
    <w:tmpl w:val="AB94C4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DF280F"/>
    <w:multiLevelType w:val="hybridMultilevel"/>
    <w:tmpl w:val="805256B0"/>
    <w:lvl w:ilvl="0" w:tplc="6CB490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C5E"/>
    <w:multiLevelType w:val="hybridMultilevel"/>
    <w:tmpl w:val="9298395A"/>
    <w:lvl w:ilvl="0" w:tplc="BB40FA6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D64EE"/>
    <w:multiLevelType w:val="hybridMultilevel"/>
    <w:tmpl w:val="9F5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262C5"/>
    <w:multiLevelType w:val="hybridMultilevel"/>
    <w:tmpl w:val="40C2D27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0FD39F8"/>
    <w:multiLevelType w:val="hybridMultilevel"/>
    <w:tmpl w:val="23F6E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25543"/>
    <w:multiLevelType w:val="hybridMultilevel"/>
    <w:tmpl w:val="E522E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F31D3"/>
    <w:multiLevelType w:val="hybridMultilevel"/>
    <w:tmpl w:val="42427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EB2CD6"/>
    <w:multiLevelType w:val="hybridMultilevel"/>
    <w:tmpl w:val="AD145D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642EA5"/>
    <w:multiLevelType w:val="hybridMultilevel"/>
    <w:tmpl w:val="4FB0A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17059AD"/>
    <w:multiLevelType w:val="hybridMultilevel"/>
    <w:tmpl w:val="3816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D941E0"/>
    <w:multiLevelType w:val="hybridMultilevel"/>
    <w:tmpl w:val="ED7C3BF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15:restartNumberingAfterBreak="0">
    <w:nsid w:val="651E6A8B"/>
    <w:multiLevelType w:val="multilevel"/>
    <w:tmpl w:val="811457B0"/>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1B2D2B"/>
    <w:multiLevelType w:val="hybridMultilevel"/>
    <w:tmpl w:val="193C5CC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AC13B29"/>
    <w:multiLevelType w:val="hybridMultilevel"/>
    <w:tmpl w:val="8328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51565"/>
    <w:multiLevelType w:val="hybridMultilevel"/>
    <w:tmpl w:val="0914A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087FE6"/>
    <w:multiLevelType w:val="hybridMultilevel"/>
    <w:tmpl w:val="8AEABEB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DE0332"/>
    <w:multiLevelType w:val="hybridMultilevel"/>
    <w:tmpl w:val="74A8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73704"/>
    <w:multiLevelType w:val="hybridMultilevel"/>
    <w:tmpl w:val="C7408C68"/>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BBE74B5"/>
    <w:multiLevelType w:val="hybridMultilevel"/>
    <w:tmpl w:val="422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22"/>
  </w:num>
  <w:num w:numId="4">
    <w:abstractNumId w:val="18"/>
  </w:num>
  <w:num w:numId="5">
    <w:abstractNumId w:val="15"/>
  </w:num>
  <w:num w:numId="6">
    <w:abstractNumId w:val="33"/>
  </w:num>
  <w:num w:numId="7">
    <w:abstractNumId w:val="1"/>
  </w:num>
  <w:num w:numId="8">
    <w:abstractNumId w:val="21"/>
  </w:num>
  <w:num w:numId="9">
    <w:abstractNumId w:val="19"/>
  </w:num>
  <w:num w:numId="10">
    <w:abstractNumId w:val="8"/>
  </w:num>
  <w:num w:numId="11">
    <w:abstractNumId w:val="11"/>
  </w:num>
  <w:num w:numId="12">
    <w:abstractNumId w:val="17"/>
  </w:num>
  <w:num w:numId="13">
    <w:abstractNumId w:val="34"/>
  </w:num>
  <w:num w:numId="14">
    <w:abstractNumId w:val="13"/>
  </w:num>
  <w:num w:numId="15">
    <w:abstractNumId w:val="23"/>
  </w:num>
  <w:num w:numId="16">
    <w:abstractNumId w:val="32"/>
  </w:num>
  <w:num w:numId="17">
    <w:abstractNumId w:val="29"/>
  </w:num>
  <w:num w:numId="18">
    <w:abstractNumId w:val="28"/>
  </w:num>
  <w:num w:numId="19">
    <w:abstractNumId w:val="4"/>
  </w:num>
  <w:num w:numId="20">
    <w:abstractNumId w:val="16"/>
  </w:num>
  <w:num w:numId="21">
    <w:abstractNumId w:val="10"/>
  </w:num>
  <w:num w:numId="22">
    <w:abstractNumId w:val="37"/>
  </w:num>
  <w:num w:numId="23">
    <w:abstractNumId w:val="26"/>
  </w:num>
  <w:num w:numId="24">
    <w:abstractNumId w:val="27"/>
  </w:num>
  <w:num w:numId="25">
    <w:abstractNumId w:val="2"/>
  </w:num>
  <w:num w:numId="26">
    <w:abstractNumId w:val="35"/>
  </w:num>
  <w:num w:numId="27">
    <w:abstractNumId w:val="7"/>
  </w:num>
  <w:num w:numId="28">
    <w:abstractNumId w:val="0"/>
  </w:num>
  <w:num w:numId="29">
    <w:abstractNumId w:val="5"/>
  </w:num>
  <w:num w:numId="30">
    <w:abstractNumId w:val="14"/>
  </w:num>
  <w:num w:numId="31">
    <w:abstractNumId w:val="24"/>
  </w:num>
  <w:num w:numId="32">
    <w:abstractNumId w:val="12"/>
  </w:num>
  <w:num w:numId="33">
    <w:abstractNumId w:val="6"/>
  </w:num>
  <w:num w:numId="34">
    <w:abstractNumId w:val="36"/>
  </w:num>
  <w:num w:numId="35">
    <w:abstractNumId w:val="31"/>
  </w:num>
  <w:num w:numId="36">
    <w:abstractNumId w:val="9"/>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79"/>
    <w:rsid w:val="000009E9"/>
    <w:rsid w:val="000021F6"/>
    <w:rsid w:val="00003289"/>
    <w:rsid w:val="00010983"/>
    <w:rsid w:val="00013B79"/>
    <w:rsid w:val="000222F7"/>
    <w:rsid w:val="00022346"/>
    <w:rsid w:val="00027C79"/>
    <w:rsid w:val="00030AAC"/>
    <w:rsid w:val="00032636"/>
    <w:rsid w:val="00046CAB"/>
    <w:rsid w:val="00050537"/>
    <w:rsid w:val="00051B26"/>
    <w:rsid w:val="000545BD"/>
    <w:rsid w:val="00056217"/>
    <w:rsid w:val="00060E2A"/>
    <w:rsid w:val="00071C8E"/>
    <w:rsid w:val="00080713"/>
    <w:rsid w:val="00091076"/>
    <w:rsid w:val="000939E8"/>
    <w:rsid w:val="0009641D"/>
    <w:rsid w:val="000A5C60"/>
    <w:rsid w:val="000B0E75"/>
    <w:rsid w:val="000B3746"/>
    <w:rsid w:val="000B439D"/>
    <w:rsid w:val="000B65A7"/>
    <w:rsid w:val="000C023B"/>
    <w:rsid w:val="000C295C"/>
    <w:rsid w:val="000C5E84"/>
    <w:rsid w:val="000D10E5"/>
    <w:rsid w:val="000D479F"/>
    <w:rsid w:val="000D5AC4"/>
    <w:rsid w:val="000E03B4"/>
    <w:rsid w:val="000F5CD6"/>
    <w:rsid w:val="000F732E"/>
    <w:rsid w:val="00103832"/>
    <w:rsid w:val="001123A5"/>
    <w:rsid w:val="00114B59"/>
    <w:rsid w:val="0011529C"/>
    <w:rsid w:val="001160DF"/>
    <w:rsid w:val="00121CEC"/>
    <w:rsid w:val="001233A3"/>
    <w:rsid w:val="00137636"/>
    <w:rsid w:val="001440A4"/>
    <w:rsid w:val="00151E42"/>
    <w:rsid w:val="001545C1"/>
    <w:rsid w:val="00160447"/>
    <w:rsid w:val="0016542A"/>
    <w:rsid w:val="001663D0"/>
    <w:rsid w:val="00176017"/>
    <w:rsid w:val="0018119F"/>
    <w:rsid w:val="00181328"/>
    <w:rsid w:val="00181EB8"/>
    <w:rsid w:val="001850E2"/>
    <w:rsid w:val="0019457B"/>
    <w:rsid w:val="00195EB4"/>
    <w:rsid w:val="00196252"/>
    <w:rsid w:val="00196548"/>
    <w:rsid w:val="00196D07"/>
    <w:rsid w:val="00196EA0"/>
    <w:rsid w:val="00197EAD"/>
    <w:rsid w:val="001A2E5A"/>
    <w:rsid w:val="001A4CDE"/>
    <w:rsid w:val="001A5377"/>
    <w:rsid w:val="001A5E90"/>
    <w:rsid w:val="001B0AE9"/>
    <w:rsid w:val="001B1E7B"/>
    <w:rsid w:val="001B5476"/>
    <w:rsid w:val="001B575F"/>
    <w:rsid w:val="001B5EAF"/>
    <w:rsid w:val="001B6CF4"/>
    <w:rsid w:val="001C0981"/>
    <w:rsid w:val="001C58E1"/>
    <w:rsid w:val="001C6DEE"/>
    <w:rsid w:val="001C7228"/>
    <w:rsid w:val="001C7D39"/>
    <w:rsid w:val="001C7E94"/>
    <w:rsid w:val="001D6906"/>
    <w:rsid w:val="001D6AE0"/>
    <w:rsid w:val="001E07F3"/>
    <w:rsid w:val="001E327B"/>
    <w:rsid w:val="001E3CE8"/>
    <w:rsid w:val="001E5971"/>
    <w:rsid w:val="001F04F4"/>
    <w:rsid w:val="001F1AD9"/>
    <w:rsid w:val="001F2FEB"/>
    <w:rsid w:val="001F3D63"/>
    <w:rsid w:val="001F7DF1"/>
    <w:rsid w:val="002009E3"/>
    <w:rsid w:val="0020195A"/>
    <w:rsid w:val="00204A2B"/>
    <w:rsid w:val="00204D19"/>
    <w:rsid w:val="002120E2"/>
    <w:rsid w:val="0021352F"/>
    <w:rsid w:val="0021695C"/>
    <w:rsid w:val="00221E0F"/>
    <w:rsid w:val="00226722"/>
    <w:rsid w:val="00227204"/>
    <w:rsid w:val="002327A6"/>
    <w:rsid w:val="00235973"/>
    <w:rsid w:val="002402CF"/>
    <w:rsid w:val="00242E2F"/>
    <w:rsid w:val="00245D0C"/>
    <w:rsid w:val="00247FD6"/>
    <w:rsid w:val="00250638"/>
    <w:rsid w:val="00251952"/>
    <w:rsid w:val="002549F5"/>
    <w:rsid w:val="00254D3D"/>
    <w:rsid w:val="00255ADA"/>
    <w:rsid w:val="002646DE"/>
    <w:rsid w:val="00271D01"/>
    <w:rsid w:val="00273EE5"/>
    <w:rsid w:val="002754EB"/>
    <w:rsid w:val="00277F70"/>
    <w:rsid w:val="00281FD0"/>
    <w:rsid w:val="0028243D"/>
    <w:rsid w:val="0028716B"/>
    <w:rsid w:val="00290431"/>
    <w:rsid w:val="00292691"/>
    <w:rsid w:val="00294066"/>
    <w:rsid w:val="0029451E"/>
    <w:rsid w:val="002A28C1"/>
    <w:rsid w:val="002A61FB"/>
    <w:rsid w:val="002A71A5"/>
    <w:rsid w:val="002B0517"/>
    <w:rsid w:val="002B2061"/>
    <w:rsid w:val="002B7BEC"/>
    <w:rsid w:val="002C22C0"/>
    <w:rsid w:val="002C604B"/>
    <w:rsid w:val="002C64C2"/>
    <w:rsid w:val="002D0892"/>
    <w:rsid w:val="002D0E10"/>
    <w:rsid w:val="002D6E24"/>
    <w:rsid w:val="002D7E46"/>
    <w:rsid w:val="002E3565"/>
    <w:rsid w:val="002E7B3E"/>
    <w:rsid w:val="002F7383"/>
    <w:rsid w:val="00302D00"/>
    <w:rsid w:val="00306535"/>
    <w:rsid w:val="00315C1A"/>
    <w:rsid w:val="00316666"/>
    <w:rsid w:val="003174F1"/>
    <w:rsid w:val="0032271C"/>
    <w:rsid w:val="0033152C"/>
    <w:rsid w:val="00346215"/>
    <w:rsid w:val="0034739C"/>
    <w:rsid w:val="00350333"/>
    <w:rsid w:val="00366887"/>
    <w:rsid w:val="00373E11"/>
    <w:rsid w:val="00374AE3"/>
    <w:rsid w:val="00384A2B"/>
    <w:rsid w:val="0038699E"/>
    <w:rsid w:val="00395853"/>
    <w:rsid w:val="00396305"/>
    <w:rsid w:val="00396328"/>
    <w:rsid w:val="003A070C"/>
    <w:rsid w:val="003A1008"/>
    <w:rsid w:val="003A2F7D"/>
    <w:rsid w:val="003A59B1"/>
    <w:rsid w:val="003B2175"/>
    <w:rsid w:val="003B2A6C"/>
    <w:rsid w:val="003B3C40"/>
    <w:rsid w:val="003B50A2"/>
    <w:rsid w:val="003B7621"/>
    <w:rsid w:val="003B7BD7"/>
    <w:rsid w:val="003C1BF2"/>
    <w:rsid w:val="003C33AF"/>
    <w:rsid w:val="003C442A"/>
    <w:rsid w:val="003C5558"/>
    <w:rsid w:val="003C6924"/>
    <w:rsid w:val="003C79AE"/>
    <w:rsid w:val="003D6007"/>
    <w:rsid w:val="003E5EA5"/>
    <w:rsid w:val="003E6784"/>
    <w:rsid w:val="003E7A4C"/>
    <w:rsid w:val="003F2721"/>
    <w:rsid w:val="003F4F38"/>
    <w:rsid w:val="003F78C2"/>
    <w:rsid w:val="0040250E"/>
    <w:rsid w:val="00411F8E"/>
    <w:rsid w:val="004121CF"/>
    <w:rsid w:val="00413C92"/>
    <w:rsid w:val="0042237E"/>
    <w:rsid w:val="0042260F"/>
    <w:rsid w:val="00430146"/>
    <w:rsid w:val="004314B7"/>
    <w:rsid w:val="0043362A"/>
    <w:rsid w:val="00440152"/>
    <w:rsid w:val="00441598"/>
    <w:rsid w:val="00446027"/>
    <w:rsid w:val="00450EE5"/>
    <w:rsid w:val="00453214"/>
    <w:rsid w:val="004536CD"/>
    <w:rsid w:val="004537B6"/>
    <w:rsid w:val="00454BCE"/>
    <w:rsid w:val="00456E77"/>
    <w:rsid w:val="0045755B"/>
    <w:rsid w:val="0046186E"/>
    <w:rsid w:val="00463219"/>
    <w:rsid w:val="004670A9"/>
    <w:rsid w:val="004708D1"/>
    <w:rsid w:val="004731AA"/>
    <w:rsid w:val="00473221"/>
    <w:rsid w:val="0048057D"/>
    <w:rsid w:val="004856EC"/>
    <w:rsid w:val="00485EA1"/>
    <w:rsid w:val="004871EB"/>
    <w:rsid w:val="00487D77"/>
    <w:rsid w:val="00491377"/>
    <w:rsid w:val="00491C94"/>
    <w:rsid w:val="00492883"/>
    <w:rsid w:val="004A4141"/>
    <w:rsid w:val="004A46B1"/>
    <w:rsid w:val="004A638E"/>
    <w:rsid w:val="004A737E"/>
    <w:rsid w:val="004A7A2D"/>
    <w:rsid w:val="004B35EF"/>
    <w:rsid w:val="004B3F63"/>
    <w:rsid w:val="004B4EB3"/>
    <w:rsid w:val="004B61D5"/>
    <w:rsid w:val="004B7209"/>
    <w:rsid w:val="004C5D04"/>
    <w:rsid w:val="004C7551"/>
    <w:rsid w:val="004D2E66"/>
    <w:rsid w:val="004D45FE"/>
    <w:rsid w:val="004E343B"/>
    <w:rsid w:val="004E5547"/>
    <w:rsid w:val="004F02DC"/>
    <w:rsid w:val="004F0DA8"/>
    <w:rsid w:val="0051484E"/>
    <w:rsid w:val="005218F3"/>
    <w:rsid w:val="00522873"/>
    <w:rsid w:val="00523DFC"/>
    <w:rsid w:val="00523F4D"/>
    <w:rsid w:val="005256B6"/>
    <w:rsid w:val="0052584C"/>
    <w:rsid w:val="00530BED"/>
    <w:rsid w:val="00531A71"/>
    <w:rsid w:val="00537DD8"/>
    <w:rsid w:val="00546FD6"/>
    <w:rsid w:val="00550FAF"/>
    <w:rsid w:val="00552DFE"/>
    <w:rsid w:val="005532D2"/>
    <w:rsid w:val="00554BE2"/>
    <w:rsid w:val="00555B0E"/>
    <w:rsid w:val="005575C1"/>
    <w:rsid w:val="00557A43"/>
    <w:rsid w:val="00563F39"/>
    <w:rsid w:val="00566191"/>
    <w:rsid w:val="00566628"/>
    <w:rsid w:val="00567636"/>
    <w:rsid w:val="0057359F"/>
    <w:rsid w:val="00574D77"/>
    <w:rsid w:val="00577100"/>
    <w:rsid w:val="005822D5"/>
    <w:rsid w:val="00582BB2"/>
    <w:rsid w:val="00591FDD"/>
    <w:rsid w:val="005922ED"/>
    <w:rsid w:val="00596790"/>
    <w:rsid w:val="00596F95"/>
    <w:rsid w:val="005A1799"/>
    <w:rsid w:val="005B3C82"/>
    <w:rsid w:val="005B6FBD"/>
    <w:rsid w:val="005B7CDF"/>
    <w:rsid w:val="005C4D8D"/>
    <w:rsid w:val="005C51B4"/>
    <w:rsid w:val="005C7174"/>
    <w:rsid w:val="005D1FDA"/>
    <w:rsid w:val="005D651F"/>
    <w:rsid w:val="005D7F9C"/>
    <w:rsid w:val="005E2805"/>
    <w:rsid w:val="005E4406"/>
    <w:rsid w:val="005F2114"/>
    <w:rsid w:val="005F4945"/>
    <w:rsid w:val="005F62B1"/>
    <w:rsid w:val="005F6447"/>
    <w:rsid w:val="00600C0F"/>
    <w:rsid w:val="00600CBD"/>
    <w:rsid w:val="00602ECC"/>
    <w:rsid w:val="0060453F"/>
    <w:rsid w:val="00607BED"/>
    <w:rsid w:val="00607FF0"/>
    <w:rsid w:val="00612FEA"/>
    <w:rsid w:val="006150B2"/>
    <w:rsid w:val="00615268"/>
    <w:rsid w:val="00615AED"/>
    <w:rsid w:val="00616FDC"/>
    <w:rsid w:val="0061799A"/>
    <w:rsid w:val="0063061B"/>
    <w:rsid w:val="00632B16"/>
    <w:rsid w:val="00633A13"/>
    <w:rsid w:val="00634776"/>
    <w:rsid w:val="00635E35"/>
    <w:rsid w:val="00645466"/>
    <w:rsid w:val="00653232"/>
    <w:rsid w:val="006535C7"/>
    <w:rsid w:val="00654004"/>
    <w:rsid w:val="00654B16"/>
    <w:rsid w:val="00657E8F"/>
    <w:rsid w:val="00671768"/>
    <w:rsid w:val="00673976"/>
    <w:rsid w:val="0067664F"/>
    <w:rsid w:val="00680160"/>
    <w:rsid w:val="0068184D"/>
    <w:rsid w:val="0068505F"/>
    <w:rsid w:val="006913A8"/>
    <w:rsid w:val="006927D9"/>
    <w:rsid w:val="00693AC9"/>
    <w:rsid w:val="00696DB8"/>
    <w:rsid w:val="006A0D79"/>
    <w:rsid w:val="006A45BD"/>
    <w:rsid w:val="006A4C4C"/>
    <w:rsid w:val="006B04B7"/>
    <w:rsid w:val="006B0FC5"/>
    <w:rsid w:val="006B16FD"/>
    <w:rsid w:val="006B24A9"/>
    <w:rsid w:val="006B3A29"/>
    <w:rsid w:val="006B441A"/>
    <w:rsid w:val="006C146E"/>
    <w:rsid w:val="006C2AD8"/>
    <w:rsid w:val="006C3FF2"/>
    <w:rsid w:val="006C5FED"/>
    <w:rsid w:val="006C6268"/>
    <w:rsid w:val="006C6A98"/>
    <w:rsid w:val="006D2191"/>
    <w:rsid w:val="006D2B5B"/>
    <w:rsid w:val="006D3764"/>
    <w:rsid w:val="006D7C5E"/>
    <w:rsid w:val="006E47A2"/>
    <w:rsid w:val="006E5943"/>
    <w:rsid w:val="006F4FE1"/>
    <w:rsid w:val="006F7205"/>
    <w:rsid w:val="006F7F3E"/>
    <w:rsid w:val="007037D7"/>
    <w:rsid w:val="00706B76"/>
    <w:rsid w:val="00711CD6"/>
    <w:rsid w:val="00716C8A"/>
    <w:rsid w:val="007350F3"/>
    <w:rsid w:val="0073537F"/>
    <w:rsid w:val="00735728"/>
    <w:rsid w:val="00737307"/>
    <w:rsid w:val="00740F43"/>
    <w:rsid w:val="00744685"/>
    <w:rsid w:val="00744805"/>
    <w:rsid w:val="0074487F"/>
    <w:rsid w:val="007458F5"/>
    <w:rsid w:val="00745AED"/>
    <w:rsid w:val="00747FC5"/>
    <w:rsid w:val="007510FC"/>
    <w:rsid w:val="00751CB2"/>
    <w:rsid w:val="00753B34"/>
    <w:rsid w:val="00755279"/>
    <w:rsid w:val="00763187"/>
    <w:rsid w:val="00764A4E"/>
    <w:rsid w:val="00766D57"/>
    <w:rsid w:val="007705A0"/>
    <w:rsid w:val="0077190E"/>
    <w:rsid w:val="00780742"/>
    <w:rsid w:val="00783B28"/>
    <w:rsid w:val="00786063"/>
    <w:rsid w:val="00786A72"/>
    <w:rsid w:val="007911B7"/>
    <w:rsid w:val="00791CDF"/>
    <w:rsid w:val="00794BCE"/>
    <w:rsid w:val="00794C33"/>
    <w:rsid w:val="00794F96"/>
    <w:rsid w:val="007965FA"/>
    <w:rsid w:val="007A167E"/>
    <w:rsid w:val="007A5B79"/>
    <w:rsid w:val="007B1211"/>
    <w:rsid w:val="007B4B7A"/>
    <w:rsid w:val="007C3DA9"/>
    <w:rsid w:val="007C510A"/>
    <w:rsid w:val="007D39C1"/>
    <w:rsid w:val="007E0D6E"/>
    <w:rsid w:val="007E198E"/>
    <w:rsid w:val="007E316D"/>
    <w:rsid w:val="007E3C87"/>
    <w:rsid w:val="007E5548"/>
    <w:rsid w:val="007E5D50"/>
    <w:rsid w:val="007F1821"/>
    <w:rsid w:val="007F2AB5"/>
    <w:rsid w:val="007F3437"/>
    <w:rsid w:val="007F449F"/>
    <w:rsid w:val="007F5BD2"/>
    <w:rsid w:val="007F7BF2"/>
    <w:rsid w:val="008060C4"/>
    <w:rsid w:val="008064CE"/>
    <w:rsid w:val="00822407"/>
    <w:rsid w:val="00824D7B"/>
    <w:rsid w:val="008269A6"/>
    <w:rsid w:val="00827D01"/>
    <w:rsid w:val="008324EC"/>
    <w:rsid w:val="00835131"/>
    <w:rsid w:val="00835C2F"/>
    <w:rsid w:val="00835F71"/>
    <w:rsid w:val="0084213B"/>
    <w:rsid w:val="00852059"/>
    <w:rsid w:val="00852408"/>
    <w:rsid w:val="008549D3"/>
    <w:rsid w:val="00854E3F"/>
    <w:rsid w:val="0085603A"/>
    <w:rsid w:val="008638FB"/>
    <w:rsid w:val="008661B5"/>
    <w:rsid w:val="00873A0D"/>
    <w:rsid w:val="00874381"/>
    <w:rsid w:val="0087446D"/>
    <w:rsid w:val="008834C1"/>
    <w:rsid w:val="008841D2"/>
    <w:rsid w:val="00893050"/>
    <w:rsid w:val="008951AC"/>
    <w:rsid w:val="008A4328"/>
    <w:rsid w:val="008A79CC"/>
    <w:rsid w:val="008A7BD1"/>
    <w:rsid w:val="008B10FA"/>
    <w:rsid w:val="008B411F"/>
    <w:rsid w:val="008B600F"/>
    <w:rsid w:val="008B6F6A"/>
    <w:rsid w:val="008C1A0B"/>
    <w:rsid w:val="008C25FA"/>
    <w:rsid w:val="008C292B"/>
    <w:rsid w:val="008C3ACD"/>
    <w:rsid w:val="008D1FB2"/>
    <w:rsid w:val="008D51F9"/>
    <w:rsid w:val="008E176E"/>
    <w:rsid w:val="008E3F7D"/>
    <w:rsid w:val="008F4B85"/>
    <w:rsid w:val="008F61A1"/>
    <w:rsid w:val="009139E6"/>
    <w:rsid w:val="00923997"/>
    <w:rsid w:val="00924114"/>
    <w:rsid w:val="00926567"/>
    <w:rsid w:val="00926C7A"/>
    <w:rsid w:val="009323E5"/>
    <w:rsid w:val="00937F7A"/>
    <w:rsid w:val="00943451"/>
    <w:rsid w:val="00943F25"/>
    <w:rsid w:val="00945033"/>
    <w:rsid w:val="00945FCD"/>
    <w:rsid w:val="00951457"/>
    <w:rsid w:val="00951C08"/>
    <w:rsid w:val="00955C82"/>
    <w:rsid w:val="00962208"/>
    <w:rsid w:val="00967E01"/>
    <w:rsid w:val="00972079"/>
    <w:rsid w:val="00974A1C"/>
    <w:rsid w:val="0097617D"/>
    <w:rsid w:val="00981290"/>
    <w:rsid w:val="00986486"/>
    <w:rsid w:val="00992F6B"/>
    <w:rsid w:val="0099354D"/>
    <w:rsid w:val="0099400E"/>
    <w:rsid w:val="00994C6A"/>
    <w:rsid w:val="00996CA9"/>
    <w:rsid w:val="009A4FC8"/>
    <w:rsid w:val="009B2AD4"/>
    <w:rsid w:val="009B49F5"/>
    <w:rsid w:val="009B52BF"/>
    <w:rsid w:val="009B545F"/>
    <w:rsid w:val="009B59E4"/>
    <w:rsid w:val="009C0930"/>
    <w:rsid w:val="009D0178"/>
    <w:rsid w:val="009D2F7F"/>
    <w:rsid w:val="009D6499"/>
    <w:rsid w:val="009D6973"/>
    <w:rsid w:val="009D6BB7"/>
    <w:rsid w:val="009E0EFD"/>
    <w:rsid w:val="009E469A"/>
    <w:rsid w:val="009E7578"/>
    <w:rsid w:val="009F0CF9"/>
    <w:rsid w:val="009F2B1C"/>
    <w:rsid w:val="009F693C"/>
    <w:rsid w:val="00A105FF"/>
    <w:rsid w:val="00A11DC0"/>
    <w:rsid w:val="00A1672B"/>
    <w:rsid w:val="00A32FE9"/>
    <w:rsid w:val="00A33842"/>
    <w:rsid w:val="00A3652A"/>
    <w:rsid w:val="00A44FD0"/>
    <w:rsid w:val="00A544A3"/>
    <w:rsid w:val="00A54DF7"/>
    <w:rsid w:val="00A5576A"/>
    <w:rsid w:val="00A57AA3"/>
    <w:rsid w:val="00A621E2"/>
    <w:rsid w:val="00A62634"/>
    <w:rsid w:val="00A627B6"/>
    <w:rsid w:val="00A6378C"/>
    <w:rsid w:val="00A74AFA"/>
    <w:rsid w:val="00A808C3"/>
    <w:rsid w:val="00A83CFE"/>
    <w:rsid w:val="00A853D5"/>
    <w:rsid w:val="00A862CB"/>
    <w:rsid w:val="00A92C29"/>
    <w:rsid w:val="00A94C25"/>
    <w:rsid w:val="00A94F0D"/>
    <w:rsid w:val="00AA108F"/>
    <w:rsid w:val="00AA1111"/>
    <w:rsid w:val="00AA43FB"/>
    <w:rsid w:val="00AB1FD8"/>
    <w:rsid w:val="00AB532F"/>
    <w:rsid w:val="00AB73D7"/>
    <w:rsid w:val="00AC1372"/>
    <w:rsid w:val="00AC45B7"/>
    <w:rsid w:val="00AC6266"/>
    <w:rsid w:val="00AC6CB6"/>
    <w:rsid w:val="00AD1B0A"/>
    <w:rsid w:val="00AD221A"/>
    <w:rsid w:val="00AD2C1B"/>
    <w:rsid w:val="00AD39A8"/>
    <w:rsid w:val="00AD4459"/>
    <w:rsid w:val="00AD5518"/>
    <w:rsid w:val="00AD58EC"/>
    <w:rsid w:val="00AD6FF0"/>
    <w:rsid w:val="00AE6232"/>
    <w:rsid w:val="00AE681F"/>
    <w:rsid w:val="00AE6D22"/>
    <w:rsid w:val="00AE7630"/>
    <w:rsid w:val="00AE77EB"/>
    <w:rsid w:val="00AE7FB0"/>
    <w:rsid w:val="00AF4B10"/>
    <w:rsid w:val="00B04842"/>
    <w:rsid w:val="00B14064"/>
    <w:rsid w:val="00B16785"/>
    <w:rsid w:val="00B222D8"/>
    <w:rsid w:val="00B231B2"/>
    <w:rsid w:val="00B24236"/>
    <w:rsid w:val="00B271D2"/>
    <w:rsid w:val="00B30817"/>
    <w:rsid w:val="00B30C25"/>
    <w:rsid w:val="00B50678"/>
    <w:rsid w:val="00B50D81"/>
    <w:rsid w:val="00B51964"/>
    <w:rsid w:val="00B53931"/>
    <w:rsid w:val="00B547A2"/>
    <w:rsid w:val="00B622FA"/>
    <w:rsid w:val="00B716BF"/>
    <w:rsid w:val="00B7311D"/>
    <w:rsid w:val="00B73BE0"/>
    <w:rsid w:val="00B7565E"/>
    <w:rsid w:val="00B77DE1"/>
    <w:rsid w:val="00B81C64"/>
    <w:rsid w:val="00B86BE5"/>
    <w:rsid w:val="00B87BDC"/>
    <w:rsid w:val="00B87F95"/>
    <w:rsid w:val="00B917B9"/>
    <w:rsid w:val="00B920CC"/>
    <w:rsid w:val="00B96AB2"/>
    <w:rsid w:val="00B976BD"/>
    <w:rsid w:val="00B97EA3"/>
    <w:rsid w:val="00BA2265"/>
    <w:rsid w:val="00BA2736"/>
    <w:rsid w:val="00BA3D53"/>
    <w:rsid w:val="00BA6F4C"/>
    <w:rsid w:val="00BB1E7F"/>
    <w:rsid w:val="00BB207D"/>
    <w:rsid w:val="00BB39A7"/>
    <w:rsid w:val="00BB5277"/>
    <w:rsid w:val="00BC0FE6"/>
    <w:rsid w:val="00BC3779"/>
    <w:rsid w:val="00BD0D2E"/>
    <w:rsid w:val="00BD381D"/>
    <w:rsid w:val="00BD3993"/>
    <w:rsid w:val="00BD55D9"/>
    <w:rsid w:val="00BD6323"/>
    <w:rsid w:val="00BE13BE"/>
    <w:rsid w:val="00BE36B7"/>
    <w:rsid w:val="00BE4503"/>
    <w:rsid w:val="00BE4830"/>
    <w:rsid w:val="00BE515F"/>
    <w:rsid w:val="00BE7440"/>
    <w:rsid w:val="00BF45CD"/>
    <w:rsid w:val="00BF698B"/>
    <w:rsid w:val="00C032B0"/>
    <w:rsid w:val="00C05D15"/>
    <w:rsid w:val="00C07580"/>
    <w:rsid w:val="00C16FF4"/>
    <w:rsid w:val="00C21E9F"/>
    <w:rsid w:val="00C30064"/>
    <w:rsid w:val="00C3286E"/>
    <w:rsid w:val="00C36952"/>
    <w:rsid w:val="00C44815"/>
    <w:rsid w:val="00C50B83"/>
    <w:rsid w:val="00C516EC"/>
    <w:rsid w:val="00C56948"/>
    <w:rsid w:val="00C57038"/>
    <w:rsid w:val="00C60B13"/>
    <w:rsid w:val="00C67FAA"/>
    <w:rsid w:val="00C777B2"/>
    <w:rsid w:val="00C84CF9"/>
    <w:rsid w:val="00C85FB2"/>
    <w:rsid w:val="00C8760C"/>
    <w:rsid w:val="00C87FC6"/>
    <w:rsid w:val="00C904DC"/>
    <w:rsid w:val="00C90C20"/>
    <w:rsid w:val="00C92223"/>
    <w:rsid w:val="00CA2482"/>
    <w:rsid w:val="00CA2E88"/>
    <w:rsid w:val="00CA628A"/>
    <w:rsid w:val="00CB0C97"/>
    <w:rsid w:val="00CB1B6B"/>
    <w:rsid w:val="00CB26A6"/>
    <w:rsid w:val="00CB5779"/>
    <w:rsid w:val="00CC0F60"/>
    <w:rsid w:val="00CC62A9"/>
    <w:rsid w:val="00CC683B"/>
    <w:rsid w:val="00CD04E0"/>
    <w:rsid w:val="00CD20CF"/>
    <w:rsid w:val="00CD549D"/>
    <w:rsid w:val="00CD6BAF"/>
    <w:rsid w:val="00CE4452"/>
    <w:rsid w:val="00CF06CF"/>
    <w:rsid w:val="00CF1E27"/>
    <w:rsid w:val="00CF4B4F"/>
    <w:rsid w:val="00D00343"/>
    <w:rsid w:val="00D04BCE"/>
    <w:rsid w:val="00D0622B"/>
    <w:rsid w:val="00D0632A"/>
    <w:rsid w:val="00D1028E"/>
    <w:rsid w:val="00D157B3"/>
    <w:rsid w:val="00D15E68"/>
    <w:rsid w:val="00D16190"/>
    <w:rsid w:val="00D16D86"/>
    <w:rsid w:val="00D17587"/>
    <w:rsid w:val="00D2056C"/>
    <w:rsid w:val="00D22D6A"/>
    <w:rsid w:val="00D2512F"/>
    <w:rsid w:val="00D26D48"/>
    <w:rsid w:val="00D278E8"/>
    <w:rsid w:val="00D300F3"/>
    <w:rsid w:val="00D3237B"/>
    <w:rsid w:val="00D34AED"/>
    <w:rsid w:val="00D3619D"/>
    <w:rsid w:val="00D41A1A"/>
    <w:rsid w:val="00D4466E"/>
    <w:rsid w:val="00D45B7E"/>
    <w:rsid w:val="00D47007"/>
    <w:rsid w:val="00D47F85"/>
    <w:rsid w:val="00D53E63"/>
    <w:rsid w:val="00D54E4A"/>
    <w:rsid w:val="00D61A24"/>
    <w:rsid w:val="00D61ADD"/>
    <w:rsid w:val="00D62041"/>
    <w:rsid w:val="00D67D79"/>
    <w:rsid w:val="00D71081"/>
    <w:rsid w:val="00D76ACC"/>
    <w:rsid w:val="00D806A8"/>
    <w:rsid w:val="00D87C0C"/>
    <w:rsid w:val="00D93025"/>
    <w:rsid w:val="00D932FD"/>
    <w:rsid w:val="00D95C4E"/>
    <w:rsid w:val="00D962EB"/>
    <w:rsid w:val="00D9657B"/>
    <w:rsid w:val="00D96E6D"/>
    <w:rsid w:val="00DA2B85"/>
    <w:rsid w:val="00DA591E"/>
    <w:rsid w:val="00DB1525"/>
    <w:rsid w:val="00DC4CE6"/>
    <w:rsid w:val="00DC62BD"/>
    <w:rsid w:val="00DD25CD"/>
    <w:rsid w:val="00DE35AD"/>
    <w:rsid w:val="00DE6DBC"/>
    <w:rsid w:val="00E006EE"/>
    <w:rsid w:val="00E03980"/>
    <w:rsid w:val="00E0671B"/>
    <w:rsid w:val="00E11043"/>
    <w:rsid w:val="00E14F5B"/>
    <w:rsid w:val="00E209D8"/>
    <w:rsid w:val="00E23973"/>
    <w:rsid w:val="00E31D81"/>
    <w:rsid w:val="00E335B9"/>
    <w:rsid w:val="00E3368C"/>
    <w:rsid w:val="00E4162A"/>
    <w:rsid w:val="00E433BF"/>
    <w:rsid w:val="00E50470"/>
    <w:rsid w:val="00E5109A"/>
    <w:rsid w:val="00E53A38"/>
    <w:rsid w:val="00E54A33"/>
    <w:rsid w:val="00E57FA5"/>
    <w:rsid w:val="00E60D16"/>
    <w:rsid w:val="00E637F7"/>
    <w:rsid w:val="00E66DD9"/>
    <w:rsid w:val="00E70515"/>
    <w:rsid w:val="00E76AF1"/>
    <w:rsid w:val="00E825A1"/>
    <w:rsid w:val="00E84116"/>
    <w:rsid w:val="00E87C0D"/>
    <w:rsid w:val="00E9077F"/>
    <w:rsid w:val="00E97402"/>
    <w:rsid w:val="00EA059F"/>
    <w:rsid w:val="00EA4C05"/>
    <w:rsid w:val="00EA614E"/>
    <w:rsid w:val="00EA635B"/>
    <w:rsid w:val="00EA7E24"/>
    <w:rsid w:val="00EB3A75"/>
    <w:rsid w:val="00EB79C3"/>
    <w:rsid w:val="00EC01A7"/>
    <w:rsid w:val="00EC28A4"/>
    <w:rsid w:val="00ED06C1"/>
    <w:rsid w:val="00ED4F29"/>
    <w:rsid w:val="00ED6D24"/>
    <w:rsid w:val="00ED6E21"/>
    <w:rsid w:val="00EE00DB"/>
    <w:rsid w:val="00EE6969"/>
    <w:rsid w:val="00EF0E63"/>
    <w:rsid w:val="00EF24ED"/>
    <w:rsid w:val="00EF494C"/>
    <w:rsid w:val="00F02530"/>
    <w:rsid w:val="00F07769"/>
    <w:rsid w:val="00F102BB"/>
    <w:rsid w:val="00F11293"/>
    <w:rsid w:val="00F11BCA"/>
    <w:rsid w:val="00F15CB6"/>
    <w:rsid w:val="00F1688A"/>
    <w:rsid w:val="00F2133E"/>
    <w:rsid w:val="00F24731"/>
    <w:rsid w:val="00F25A56"/>
    <w:rsid w:val="00F31258"/>
    <w:rsid w:val="00F35F4B"/>
    <w:rsid w:val="00F3668F"/>
    <w:rsid w:val="00F45858"/>
    <w:rsid w:val="00F50D8B"/>
    <w:rsid w:val="00F51817"/>
    <w:rsid w:val="00F54786"/>
    <w:rsid w:val="00F549B3"/>
    <w:rsid w:val="00F54ADC"/>
    <w:rsid w:val="00F54F76"/>
    <w:rsid w:val="00F571EB"/>
    <w:rsid w:val="00F6052E"/>
    <w:rsid w:val="00F6358B"/>
    <w:rsid w:val="00F80C42"/>
    <w:rsid w:val="00F85CCF"/>
    <w:rsid w:val="00F87693"/>
    <w:rsid w:val="00F94A48"/>
    <w:rsid w:val="00FA281F"/>
    <w:rsid w:val="00FA397F"/>
    <w:rsid w:val="00FB39B9"/>
    <w:rsid w:val="00FC2862"/>
    <w:rsid w:val="00FC55AC"/>
    <w:rsid w:val="00FC7BFE"/>
    <w:rsid w:val="00FD1C54"/>
    <w:rsid w:val="00FD3D74"/>
    <w:rsid w:val="00FD488A"/>
    <w:rsid w:val="00FE29FE"/>
    <w:rsid w:val="00FE4524"/>
    <w:rsid w:val="00FE45C6"/>
    <w:rsid w:val="00FE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4CE-5955-45CB-956E-E06855F8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C87F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87FC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67D79"/>
    <w:pPr>
      <w:ind w:left="720"/>
      <w:contextualSpacing/>
    </w:pPr>
  </w:style>
  <w:style w:type="character" w:styleId="Hyperlink">
    <w:name w:val="Hyperlink"/>
    <w:basedOn w:val="DefaultParagraphFont"/>
    <w:uiPriority w:val="99"/>
    <w:unhideWhenUsed/>
    <w:rsid w:val="0011529C"/>
    <w:rPr>
      <w:color w:val="0563C1" w:themeColor="hyperlink"/>
      <w:u w:val="single"/>
    </w:rPr>
  </w:style>
  <w:style w:type="paragraph" w:styleId="NormalWeb">
    <w:name w:val="Normal (Web)"/>
    <w:basedOn w:val="Normal"/>
    <w:uiPriority w:val="99"/>
    <w:unhideWhenUsed/>
    <w:rsid w:val="00D16D8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ps">
    <w:name w:val="hps"/>
    <w:basedOn w:val="DefaultParagraphFont"/>
    <w:rsid w:val="00D47007"/>
  </w:style>
  <w:style w:type="paragraph" w:styleId="CommentText">
    <w:name w:val="annotation text"/>
    <w:basedOn w:val="Normal"/>
    <w:link w:val="CommentTextChar"/>
    <w:uiPriority w:val="99"/>
    <w:semiHidden/>
    <w:unhideWhenUsed/>
    <w:rsid w:val="002549F5"/>
    <w:pPr>
      <w:spacing w:after="200" w:line="276" w:lineRule="auto"/>
    </w:pPr>
    <w:rPr>
      <w:rFonts w:ascii="Calibri" w:hAnsi="Calibri" w:cs="Times New Roman"/>
      <w:sz w:val="20"/>
      <w:szCs w:val="20"/>
      <w:lang w:val="en-US"/>
    </w:rPr>
  </w:style>
  <w:style w:type="character" w:customStyle="1" w:styleId="CommentTextChar">
    <w:name w:val="Comment Text Char"/>
    <w:basedOn w:val="DefaultParagraphFont"/>
    <w:link w:val="CommentText"/>
    <w:uiPriority w:val="99"/>
    <w:semiHidden/>
    <w:rsid w:val="002549F5"/>
    <w:rPr>
      <w:rFonts w:ascii="Calibri" w:hAnsi="Calibri" w:cs="Times New Roman"/>
      <w:sz w:val="20"/>
      <w:szCs w:val="20"/>
    </w:rPr>
  </w:style>
  <w:style w:type="paragraph" w:customStyle="1" w:styleId="Default">
    <w:name w:val="Default"/>
    <w:basedOn w:val="Normal"/>
    <w:rsid w:val="002549F5"/>
    <w:pPr>
      <w:autoSpaceDE w:val="0"/>
      <w:autoSpaceDN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549F5"/>
  </w:style>
  <w:style w:type="paragraph" w:styleId="BalloonText">
    <w:name w:val="Balloon Text"/>
    <w:basedOn w:val="Normal"/>
    <w:link w:val="BalloonTextChar"/>
    <w:uiPriority w:val="99"/>
    <w:semiHidden/>
    <w:unhideWhenUsed/>
    <w:rsid w:val="0025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F5"/>
    <w:rPr>
      <w:rFonts w:ascii="Segoe UI" w:hAnsi="Segoe UI" w:cs="Segoe UI"/>
      <w:sz w:val="18"/>
      <w:szCs w:val="18"/>
      <w:lang w:val="ro-RO"/>
    </w:rPr>
  </w:style>
  <w:style w:type="paragraph" w:styleId="Header">
    <w:name w:val="header"/>
    <w:basedOn w:val="Normal"/>
    <w:link w:val="HeaderChar"/>
    <w:uiPriority w:val="99"/>
    <w:unhideWhenUsed/>
    <w:rsid w:val="00DA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B85"/>
    <w:rPr>
      <w:lang w:val="ro-RO"/>
    </w:rPr>
  </w:style>
  <w:style w:type="paragraph" w:styleId="Footer">
    <w:name w:val="footer"/>
    <w:basedOn w:val="Normal"/>
    <w:link w:val="FooterChar"/>
    <w:uiPriority w:val="99"/>
    <w:unhideWhenUsed/>
    <w:rsid w:val="00DA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B85"/>
    <w:rPr>
      <w:lang w:val="ro-RO"/>
    </w:rPr>
  </w:style>
  <w:style w:type="paragraph" w:styleId="CommentSubject">
    <w:name w:val="annotation subject"/>
    <w:basedOn w:val="CommentText"/>
    <w:next w:val="CommentText"/>
    <w:link w:val="CommentSubjectChar"/>
    <w:uiPriority w:val="99"/>
    <w:semiHidden/>
    <w:unhideWhenUsed/>
    <w:rsid w:val="00A57AA3"/>
    <w:pPr>
      <w:spacing w:after="160" w:line="240" w:lineRule="auto"/>
    </w:pPr>
    <w:rPr>
      <w:rFonts w:ascii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A57AA3"/>
    <w:rPr>
      <w:rFonts w:ascii="Calibri" w:hAnsi="Calibri" w:cs="Times New Roman"/>
      <w:b/>
      <w:bCs/>
      <w:sz w:val="20"/>
      <w:szCs w:val="20"/>
      <w:lang w:val="ro-RO"/>
    </w:rPr>
  </w:style>
  <w:style w:type="table" w:styleId="TableGrid">
    <w:name w:val="Table Grid"/>
    <w:basedOn w:val="TableNormal"/>
    <w:uiPriority w:val="59"/>
    <w:rsid w:val="008834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852059"/>
    <w:pPr>
      <w:autoSpaceDE w:val="0"/>
      <w:autoSpaceDN w:val="0"/>
      <w:adjustRightInd w:val="0"/>
      <w:spacing w:after="0" w:line="240" w:lineRule="auto"/>
    </w:pPr>
    <w:rPr>
      <w:rFonts w:ascii="EUAlbertina" w:eastAsia="Times New Roman" w:hAnsi="EUAlbertina" w:cs="Times New Roman"/>
      <w:sz w:val="24"/>
      <w:szCs w:val="24"/>
      <w:lang w:eastAsia="ro-RO"/>
    </w:rPr>
  </w:style>
  <w:style w:type="paragraph" w:styleId="HTMLPreformatted">
    <w:name w:val="HTML Preformatted"/>
    <w:basedOn w:val="Normal"/>
    <w:link w:val="HTMLPreformattedChar"/>
    <w:uiPriority w:val="99"/>
    <w:unhideWhenUsed/>
    <w:rsid w:val="0053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531A71"/>
    <w:rPr>
      <w:rFonts w:ascii="Courier New" w:eastAsia="Times New Roman" w:hAnsi="Courier New" w:cs="Courier New"/>
      <w:sz w:val="20"/>
      <w:szCs w:val="20"/>
      <w:lang w:val="ro-RO" w:eastAsia="ro-RO"/>
    </w:rPr>
  </w:style>
  <w:style w:type="paragraph" w:styleId="Revision">
    <w:name w:val="Revision"/>
    <w:hidden/>
    <w:uiPriority w:val="99"/>
    <w:semiHidden/>
    <w:rsid w:val="003C6924"/>
    <w:pPr>
      <w:spacing w:after="0" w:line="240" w:lineRule="auto"/>
    </w:pPr>
    <w:rPr>
      <w:lang w:val="ro-RO"/>
    </w:rPr>
  </w:style>
  <w:style w:type="character" w:customStyle="1" w:styleId="Heading1Char">
    <w:name w:val="Heading 1 Char"/>
    <w:basedOn w:val="DefaultParagraphFont"/>
    <w:link w:val="Heading1"/>
    <w:uiPriority w:val="9"/>
    <w:rsid w:val="00C87FC6"/>
    <w:rPr>
      <w:rFonts w:asciiTheme="majorHAnsi" w:eastAsiaTheme="majorEastAsia" w:hAnsiTheme="majorHAnsi" w:cstheme="majorBidi"/>
      <w:b/>
      <w:bCs/>
      <w:color w:val="2E74B5" w:themeColor="accent1" w:themeShade="BF"/>
      <w:sz w:val="28"/>
      <w:szCs w:val="28"/>
      <w:lang w:val="ro-RO"/>
    </w:rPr>
  </w:style>
  <w:style w:type="character" w:customStyle="1" w:styleId="Heading2Char">
    <w:name w:val="Heading 2 Char"/>
    <w:basedOn w:val="DefaultParagraphFont"/>
    <w:link w:val="Heading2"/>
    <w:uiPriority w:val="9"/>
    <w:rsid w:val="00C87FC6"/>
    <w:rPr>
      <w:rFonts w:asciiTheme="majorHAnsi" w:eastAsiaTheme="majorEastAsia" w:hAnsiTheme="majorHAnsi" w:cstheme="majorBidi"/>
      <w:b/>
      <w:bCs/>
      <w:color w:val="5B9BD5" w:themeColor="accent1"/>
      <w:sz w:val="26"/>
      <w:szCs w:val="26"/>
      <w:lang w:val="ro-RO"/>
    </w:rPr>
  </w:style>
  <w:style w:type="table" w:styleId="LightShading-Accent5">
    <w:name w:val="Light Shading Accent 5"/>
    <w:basedOn w:val="TableNormal"/>
    <w:uiPriority w:val="60"/>
    <w:rsid w:val="0039632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OCHeading">
    <w:name w:val="TOC Heading"/>
    <w:basedOn w:val="Heading1"/>
    <w:next w:val="Normal"/>
    <w:uiPriority w:val="39"/>
    <w:semiHidden/>
    <w:unhideWhenUsed/>
    <w:qFormat/>
    <w:rsid w:val="0021352F"/>
    <w:pPr>
      <w:spacing w:line="276" w:lineRule="auto"/>
      <w:outlineLvl w:val="9"/>
    </w:pPr>
    <w:rPr>
      <w:lang w:val="en-US" w:eastAsia="ja-JP"/>
    </w:rPr>
  </w:style>
  <w:style w:type="paragraph" w:styleId="TOC1">
    <w:name w:val="toc 1"/>
    <w:basedOn w:val="Normal"/>
    <w:next w:val="Normal"/>
    <w:autoRedefine/>
    <w:uiPriority w:val="39"/>
    <w:unhideWhenUsed/>
    <w:rsid w:val="0021352F"/>
    <w:pPr>
      <w:spacing w:after="100"/>
    </w:pPr>
  </w:style>
  <w:style w:type="paragraph" w:styleId="TOC2">
    <w:name w:val="toc 2"/>
    <w:basedOn w:val="Normal"/>
    <w:next w:val="Normal"/>
    <w:autoRedefine/>
    <w:uiPriority w:val="39"/>
    <w:unhideWhenUsed/>
    <w:rsid w:val="0021352F"/>
    <w:pPr>
      <w:spacing w:after="100"/>
      <w:ind w:left="220"/>
    </w:pPr>
  </w:style>
  <w:style w:type="paragraph" w:customStyle="1" w:styleId="yiv846204019msonormal">
    <w:name w:val="yiv846204019msonormal"/>
    <w:basedOn w:val="Normal"/>
    <w:uiPriority w:val="99"/>
    <w:rsid w:val="00F549B3"/>
    <w:pPr>
      <w:suppressAutoHyphens/>
      <w:spacing w:before="100" w:after="100" w:line="100" w:lineRule="atLeast"/>
    </w:pPr>
    <w:rPr>
      <w:rFonts w:ascii="Times New Roman" w:eastAsia="Times New Roman" w:hAnsi="Times New Roman" w:cs="Times New Roman"/>
      <w:kern w:val="1"/>
      <w:sz w:val="24"/>
      <w:szCs w:val="24"/>
      <w:lang w:val="en-GB" w:eastAsia="en-GB"/>
    </w:rPr>
  </w:style>
  <w:style w:type="paragraph" w:styleId="NoSpacing">
    <w:name w:val="No Spacing"/>
    <w:link w:val="NoSpacingChar"/>
    <w:uiPriority w:val="1"/>
    <w:qFormat/>
    <w:rsid w:val="00D16190"/>
    <w:pPr>
      <w:spacing w:after="0" w:line="240" w:lineRule="auto"/>
    </w:pPr>
    <w:rPr>
      <w:rFonts w:eastAsiaTheme="minorEastAsia"/>
    </w:rPr>
  </w:style>
  <w:style w:type="character" w:customStyle="1" w:styleId="NoSpacingChar">
    <w:name w:val="No Spacing Char"/>
    <w:basedOn w:val="DefaultParagraphFont"/>
    <w:link w:val="NoSpacing"/>
    <w:uiPriority w:val="1"/>
    <w:rsid w:val="00D16190"/>
    <w:rPr>
      <w:rFonts w:eastAsiaTheme="minorEastAsia"/>
    </w:rPr>
  </w:style>
  <w:style w:type="character" w:customStyle="1" w:styleId="ListParagraphChar">
    <w:name w:val="List Paragraph Char"/>
    <w:link w:val="ListParagraph"/>
    <w:locked/>
    <w:rsid w:val="0042237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27">
      <w:bodyDiv w:val="1"/>
      <w:marLeft w:val="0"/>
      <w:marRight w:val="0"/>
      <w:marTop w:val="0"/>
      <w:marBottom w:val="0"/>
      <w:divBdr>
        <w:top w:val="none" w:sz="0" w:space="0" w:color="auto"/>
        <w:left w:val="none" w:sz="0" w:space="0" w:color="auto"/>
        <w:bottom w:val="none" w:sz="0" w:space="0" w:color="auto"/>
        <w:right w:val="none" w:sz="0" w:space="0" w:color="auto"/>
      </w:divBdr>
    </w:div>
    <w:div w:id="31074315">
      <w:bodyDiv w:val="1"/>
      <w:marLeft w:val="0"/>
      <w:marRight w:val="0"/>
      <w:marTop w:val="0"/>
      <w:marBottom w:val="0"/>
      <w:divBdr>
        <w:top w:val="none" w:sz="0" w:space="0" w:color="auto"/>
        <w:left w:val="none" w:sz="0" w:space="0" w:color="auto"/>
        <w:bottom w:val="none" w:sz="0" w:space="0" w:color="auto"/>
        <w:right w:val="none" w:sz="0" w:space="0" w:color="auto"/>
      </w:divBdr>
    </w:div>
    <w:div w:id="211233807">
      <w:bodyDiv w:val="1"/>
      <w:marLeft w:val="0"/>
      <w:marRight w:val="0"/>
      <w:marTop w:val="0"/>
      <w:marBottom w:val="0"/>
      <w:divBdr>
        <w:top w:val="none" w:sz="0" w:space="0" w:color="auto"/>
        <w:left w:val="none" w:sz="0" w:space="0" w:color="auto"/>
        <w:bottom w:val="none" w:sz="0" w:space="0" w:color="auto"/>
        <w:right w:val="none" w:sz="0" w:space="0" w:color="auto"/>
      </w:divBdr>
    </w:div>
    <w:div w:id="218127088">
      <w:bodyDiv w:val="1"/>
      <w:marLeft w:val="0"/>
      <w:marRight w:val="0"/>
      <w:marTop w:val="0"/>
      <w:marBottom w:val="0"/>
      <w:divBdr>
        <w:top w:val="none" w:sz="0" w:space="0" w:color="auto"/>
        <w:left w:val="none" w:sz="0" w:space="0" w:color="auto"/>
        <w:bottom w:val="none" w:sz="0" w:space="0" w:color="auto"/>
        <w:right w:val="none" w:sz="0" w:space="0" w:color="auto"/>
      </w:divBdr>
    </w:div>
    <w:div w:id="240257961">
      <w:bodyDiv w:val="1"/>
      <w:marLeft w:val="0"/>
      <w:marRight w:val="0"/>
      <w:marTop w:val="0"/>
      <w:marBottom w:val="0"/>
      <w:divBdr>
        <w:top w:val="none" w:sz="0" w:space="0" w:color="auto"/>
        <w:left w:val="none" w:sz="0" w:space="0" w:color="auto"/>
        <w:bottom w:val="none" w:sz="0" w:space="0" w:color="auto"/>
        <w:right w:val="none" w:sz="0" w:space="0" w:color="auto"/>
      </w:divBdr>
    </w:div>
    <w:div w:id="663703611">
      <w:bodyDiv w:val="1"/>
      <w:marLeft w:val="0"/>
      <w:marRight w:val="0"/>
      <w:marTop w:val="0"/>
      <w:marBottom w:val="0"/>
      <w:divBdr>
        <w:top w:val="none" w:sz="0" w:space="0" w:color="auto"/>
        <w:left w:val="none" w:sz="0" w:space="0" w:color="auto"/>
        <w:bottom w:val="none" w:sz="0" w:space="0" w:color="auto"/>
        <w:right w:val="none" w:sz="0" w:space="0" w:color="auto"/>
      </w:divBdr>
      <w:divsChild>
        <w:div w:id="379744121">
          <w:marLeft w:val="547"/>
          <w:marRight w:val="0"/>
          <w:marTop w:val="82"/>
          <w:marBottom w:val="0"/>
          <w:divBdr>
            <w:top w:val="none" w:sz="0" w:space="0" w:color="auto"/>
            <w:left w:val="none" w:sz="0" w:space="0" w:color="auto"/>
            <w:bottom w:val="none" w:sz="0" w:space="0" w:color="auto"/>
            <w:right w:val="none" w:sz="0" w:space="0" w:color="auto"/>
          </w:divBdr>
        </w:div>
      </w:divsChild>
    </w:div>
    <w:div w:id="709036193">
      <w:bodyDiv w:val="1"/>
      <w:marLeft w:val="0"/>
      <w:marRight w:val="0"/>
      <w:marTop w:val="0"/>
      <w:marBottom w:val="0"/>
      <w:divBdr>
        <w:top w:val="none" w:sz="0" w:space="0" w:color="auto"/>
        <w:left w:val="none" w:sz="0" w:space="0" w:color="auto"/>
        <w:bottom w:val="none" w:sz="0" w:space="0" w:color="auto"/>
        <w:right w:val="none" w:sz="0" w:space="0" w:color="auto"/>
      </w:divBdr>
    </w:div>
    <w:div w:id="850877503">
      <w:bodyDiv w:val="1"/>
      <w:marLeft w:val="0"/>
      <w:marRight w:val="0"/>
      <w:marTop w:val="0"/>
      <w:marBottom w:val="0"/>
      <w:divBdr>
        <w:top w:val="none" w:sz="0" w:space="0" w:color="auto"/>
        <w:left w:val="none" w:sz="0" w:space="0" w:color="auto"/>
        <w:bottom w:val="none" w:sz="0" w:space="0" w:color="auto"/>
        <w:right w:val="none" w:sz="0" w:space="0" w:color="auto"/>
      </w:divBdr>
      <w:divsChild>
        <w:div w:id="49963232">
          <w:marLeft w:val="547"/>
          <w:marRight w:val="0"/>
          <w:marTop w:val="86"/>
          <w:marBottom w:val="0"/>
          <w:divBdr>
            <w:top w:val="none" w:sz="0" w:space="0" w:color="auto"/>
            <w:left w:val="none" w:sz="0" w:space="0" w:color="auto"/>
            <w:bottom w:val="none" w:sz="0" w:space="0" w:color="auto"/>
            <w:right w:val="none" w:sz="0" w:space="0" w:color="auto"/>
          </w:divBdr>
        </w:div>
        <w:div w:id="1425415671">
          <w:marLeft w:val="1166"/>
          <w:marRight w:val="0"/>
          <w:marTop w:val="86"/>
          <w:marBottom w:val="0"/>
          <w:divBdr>
            <w:top w:val="none" w:sz="0" w:space="0" w:color="auto"/>
            <w:left w:val="none" w:sz="0" w:space="0" w:color="auto"/>
            <w:bottom w:val="none" w:sz="0" w:space="0" w:color="auto"/>
            <w:right w:val="none" w:sz="0" w:space="0" w:color="auto"/>
          </w:divBdr>
        </w:div>
        <w:div w:id="2065911725">
          <w:marLeft w:val="1166"/>
          <w:marRight w:val="0"/>
          <w:marTop w:val="86"/>
          <w:marBottom w:val="0"/>
          <w:divBdr>
            <w:top w:val="none" w:sz="0" w:space="0" w:color="auto"/>
            <w:left w:val="none" w:sz="0" w:space="0" w:color="auto"/>
            <w:bottom w:val="none" w:sz="0" w:space="0" w:color="auto"/>
            <w:right w:val="none" w:sz="0" w:space="0" w:color="auto"/>
          </w:divBdr>
        </w:div>
      </w:divsChild>
    </w:div>
    <w:div w:id="1074468374">
      <w:bodyDiv w:val="1"/>
      <w:marLeft w:val="0"/>
      <w:marRight w:val="0"/>
      <w:marTop w:val="0"/>
      <w:marBottom w:val="0"/>
      <w:divBdr>
        <w:top w:val="none" w:sz="0" w:space="0" w:color="auto"/>
        <w:left w:val="none" w:sz="0" w:space="0" w:color="auto"/>
        <w:bottom w:val="none" w:sz="0" w:space="0" w:color="auto"/>
        <w:right w:val="none" w:sz="0" w:space="0" w:color="auto"/>
      </w:divBdr>
      <w:divsChild>
        <w:div w:id="1647279108">
          <w:marLeft w:val="0"/>
          <w:marRight w:val="0"/>
          <w:marTop w:val="0"/>
          <w:marBottom w:val="0"/>
          <w:divBdr>
            <w:top w:val="none" w:sz="0" w:space="0" w:color="auto"/>
            <w:left w:val="none" w:sz="0" w:space="0" w:color="auto"/>
            <w:bottom w:val="none" w:sz="0" w:space="0" w:color="auto"/>
            <w:right w:val="none" w:sz="0" w:space="0" w:color="auto"/>
          </w:divBdr>
          <w:divsChild>
            <w:div w:id="378868583">
              <w:marLeft w:val="0"/>
              <w:marRight w:val="0"/>
              <w:marTop w:val="0"/>
              <w:marBottom w:val="0"/>
              <w:divBdr>
                <w:top w:val="none" w:sz="0" w:space="0" w:color="auto"/>
                <w:left w:val="none" w:sz="0" w:space="0" w:color="auto"/>
                <w:bottom w:val="none" w:sz="0" w:space="0" w:color="auto"/>
                <w:right w:val="none" w:sz="0" w:space="0" w:color="auto"/>
              </w:divBdr>
              <w:divsChild>
                <w:div w:id="1292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8353">
      <w:bodyDiv w:val="1"/>
      <w:marLeft w:val="0"/>
      <w:marRight w:val="0"/>
      <w:marTop w:val="0"/>
      <w:marBottom w:val="0"/>
      <w:divBdr>
        <w:top w:val="none" w:sz="0" w:space="0" w:color="auto"/>
        <w:left w:val="none" w:sz="0" w:space="0" w:color="auto"/>
        <w:bottom w:val="none" w:sz="0" w:space="0" w:color="auto"/>
        <w:right w:val="none" w:sz="0" w:space="0" w:color="auto"/>
      </w:divBdr>
    </w:div>
    <w:div w:id="1769498805">
      <w:bodyDiv w:val="1"/>
      <w:marLeft w:val="0"/>
      <w:marRight w:val="0"/>
      <w:marTop w:val="0"/>
      <w:marBottom w:val="0"/>
      <w:divBdr>
        <w:top w:val="none" w:sz="0" w:space="0" w:color="auto"/>
        <w:left w:val="none" w:sz="0" w:space="0" w:color="auto"/>
        <w:bottom w:val="none" w:sz="0" w:space="0" w:color="auto"/>
        <w:right w:val="none" w:sz="0" w:space="0" w:color="auto"/>
      </w:divBdr>
    </w:div>
    <w:div w:id="1777749874">
      <w:bodyDiv w:val="1"/>
      <w:marLeft w:val="0"/>
      <w:marRight w:val="0"/>
      <w:marTop w:val="0"/>
      <w:marBottom w:val="0"/>
      <w:divBdr>
        <w:top w:val="none" w:sz="0" w:space="0" w:color="auto"/>
        <w:left w:val="none" w:sz="0" w:space="0" w:color="auto"/>
        <w:bottom w:val="none" w:sz="0" w:space="0" w:color="auto"/>
        <w:right w:val="none" w:sz="0" w:space="0" w:color="auto"/>
      </w:divBdr>
    </w:div>
    <w:div w:id="1858696909">
      <w:bodyDiv w:val="1"/>
      <w:marLeft w:val="0"/>
      <w:marRight w:val="0"/>
      <w:marTop w:val="0"/>
      <w:marBottom w:val="0"/>
      <w:divBdr>
        <w:top w:val="none" w:sz="0" w:space="0" w:color="auto"/>
        <w:left w:val="none" w:sz="0" w:space="0" w:color="auto"/>
        <w:bottom w:val="none" w:sz="0" w:space="0" w:color="auto"/>
        <w:right w:val="none" w:sz="0" w:space="0" w:color="auto"/>
      </w:divBdr>
    </w:div>
    <w:div w:id="1885867860">
      <w:bodyDiv w:val="1"/>
      <w:marLeft w:val="0"/>
      <w:marRight w:val="0"/>
      <w:marTop w:val="0"/>
      <w:marBottom w:val="0"/>
      <w:divBdr>
        <w:top w:val="none" w:sz="0" w:space="0" w:color="auto"/>
        <w:left w:val="none" w:sz="0" w:space="0" w:color="auto"/>
        <w:bottom w:val="none" w:sz="0" w:space="0" w:color="auto"/>
        <w:right w:val="none" w:sz="0" w:space="0" w:color="auto"/>
      </w:divBdr>
    </w:div>
    <w:div w:id="20008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uri-ue.ro/poat-201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nrmap.ro/ro/web/public/strategia-nationala-in-domeniul-achizitiilor-publ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uri-ue.ro/poat-2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nduri-eu.ro"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fonduri-ue.ro/poat-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9531B0-3F23-4AAE-A6E9-836713BF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8082</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DIRECȚIA GENERALĂ ASISTENȚĂ TEHNICĂ</Company>
  <LinksUpToDate>false</LinksUpToDate>
  <CharactersWithSpaces>54043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ANUAL DE IMPLEMENTARE POAT 2014-2020, AFERENT ANULUI 2015</dc:title>
  <dc:subject>- Proiect -</dc:subject>
  <dc:creator>MINISTERUL FONDURILOR EUROPENE</dc:creator>
  <cp:lastModifiedBy>Marie Jeanne Nica</cp:lastModifiedBy>
  <cp:revision>54</cp:revision>
  <cp:lastPrinted>2016-05-04T12:06:00Z</cp:lastPrinted>
  <dcterms:created xsi:type="dcterms:W3CDTF">2016-05-05T14:05:00Z</dcterms:created>
  <dcterms:modified xsi:type="dcterms:W3CDTF">2016-05-19T13:46:00Z</dcterms:modified>
</cp:coreProperties>
</file>