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B4" w:rsidRPr="0042264F" w:rsidRDefault="005852B4" w:rsidP="009D1756">
      <w:pPr>
        <w:jc w:val="both"/>
        <w:rPr>
          <w:color w:val="00B050"/>
          <w:sz w:val="28"/>
          <w:szCs w:val="28"/>
        </w:rPr>
      </w:pPr>
      <w:bookmarkStart w:id="0" w:name="_GoBack"/>
      <w:bookmarkEnd w:id="0"/>
      <w:r w:rsidRPr="0042264F">
        <w:rPr>
          <w:b/>
          <w:color w:val="00B050"/>
          <w:sz w:val="28"/>
          <w:szCs w:val="28"/>
        </w:rPr>
        <w:t>Danemarca</w:t>
      </w:r>
      <w:r w:rsidR="009F4F65" w:rsidRPr="0042264F">
        <w:rPr>
          <w:b/>
          <w:color w:val="00B050"/>
          <w:sz w:val="28"/>
          <w:szCs w:val="28"/>
        </w:rPr>
        <w:t>,</w:t>
      </w:r>
      <w:r w:rsidRPr="0042264F">
        <w:rPr>
          <w:b/>
          <w:color w:val="00B050"/>
          <w:sz w:val="28"/>
          <w:szCs w:val="28"/>
        </w:rPr>
        <w:t xml:space="preserve"> </w:t>
      </w:r>
      <w:r w:rsidR="009F4F65" w:rsidRPr="0042264F">
        <w:rPr>
          <w:b/>
          <w:color w:val="00B050"/>
          <w:sz w:val="28"/>
          <w:szCs w:val="28"/>
        </w:rPr>
        <w:t>p</w:t>
      </w:r>
      <w:r w:rsidRPr="0042264F">
        <w:rPr>
          <w:b/>
          <w:color w:val="00B050"/>
          <w:sz w:val="28"/>
          <w:szCs w:val="28"/>
        </w:rPr>
        <w:t>rea frumos să fie adevărat?</w:t>
      </w:r>
    </w:p>
    <w:p w:rsidR="005852B4" w:rsidRPr="00444D8F" w:rsidRDefault="005852B4" w:rsidP="009D1756">
      <w:pPr>
        <w:jc w:val="both"/>
        <w:rPr>
          <w:b/>
        </w:rPr>
      </w:pPr>
      <w:r w:rsidRPr="00444D8F">
        <w:rPr>
          <w:b/>
        </w:rPr>
        <w:t>4.1 Introducere</w:t>
      </w:r>
    </w:p>
    <w:p w:rsidR="005852B4" w:rsidRPr="00444D8F" w:rsidRDefault="008D412F" w:rsidP="009D1756">
      <w:pPr>
        <w:jc w:val="both"/>
      </w:pPr>
      <w:r w:rsidRPr="00444D8F">
        <w:t xml:space="preserve">Pentru unii, </w:t>
      </w:r>
      <w:r w:rsidR="003D5D46" w:rsidRPr="00444D8F">
        <w:t xml:space="preserve">Danemarca </w:t>
      </w:r>
      <w:r w:rsidRPr="00444D8F">
        <w:t xml:space="preserve">reprezintă </w:t>
      </w:r>
      <w:r w:rsidR="00576D4A" w:rsidRPr="00444D8F">
        <w:t>ţ</w:t>
      </w:r>
      <w:r w:rsidR="005852B4" w:rsidRPr="00444D8F">
        <w:t>ar</w:t>
      </w:r>
      <w:r w:rsidR="003D5D46" w:rsidRPr="00444D8F">
        <w:t xml:space="preserve">a </w:t>
      </w:r>
      <w:r w:rsidRPr="00444D8F">
        <w:t xml:space="preserve">de origine a </w:t>
      </w:r>
      <w:r w:rsidR="003D5D46" w:rsidRPr="00444D8F">
        <w:t xml:space="preserve">jocurilor </w:t>
      </w:r>
      <w:r w:rsidR="005852B4" w:rsidRPr="00444D8F">
        <w:t xml:space="preserve">Lego </w:t>
      </w:r>
      <w:r w:rsidR="00576D4A" w:rsidRPr="00444D8F">
        <w:t>ş</w:t>
      </w:r>
      <w:r w:rsidR="005852B4" w:rsidRPr="00444D8F">
        <w:t xml:space="preserve">i </w:t>
      </w:r>
      <w:r w:rsidR="003D5D46" w:rsidRPr="00444D8F">
        <w:t xml:space="preserve">a </w:t>
      </w:r>
      <w:r w:rsidR="005852B4" w:rsidRPr="00444D8F">
        <w:t>basme</w:t>
      </w:r>
      <w:r w:rsidR="003D5D46" w:rsidRPr="00444D8F">
        <w:t>lor</w:t>
      </w:r>
      <w:r w:rsidR="005852B4" w:rsidRPr="00444D8F">
        <w:t xml:space="preserve">, </w:t>
      </w:r>
      <w:r w:rsidR="003D5D46" w:rsidRPr="00444D8F">
        <w:t>fiind timp de decenii ca</w:t>
      </w:r>
      <w:r w:rsidRPr="00444D8F">
        <w:t>talogat</w:t>
      </w:r>
      <w:r w:rsidR="003D5D46" w:rsidRPr="00444D8F">
        <w:t xml:space="preserve">ă ca un </w:t>
      </w:r>
      <w:r w:rsidR="005852B4" w:rsidRPr="00444D8F">
        <w:t>exemplu</w:t>
      </w:r>
      <w:r w:rsidR="003D5D46" w:rsidRPr="00444D8F">
        <w:t xml:space="preserve"> care</w:t>
      </w:r>
      <w:r w:rsidR="005852B4" w:rsidRPr="00444D8F">
        <w:t xml:space="preserve"> nu trebuie urmat. </w:t>
      </w:r>
      <w:r w:rsidR="00576D4A" w:rsidRPr="00444D8F">
        <w:t>Ş</w:t>
      </w:r>
      <w:r w:rsidR="005852B4" w:rsidRPr="00444D8F">
        <w:t xml:space="preserve">omajul era </w:t>
      </w:r>
      <w:r w:rsidR="003D5D46" w:rsidRPr="00444D8F">
        <w:t xml:space="preserve">constant </w:t>
      </w:r>
      <w:r w:rsidR="005852B4" w:rsidRPr="00444D8F">
        <w:t xml:space="preserve">ridicat, contul curent </w:t>
      </w:r>
      <w:r w:rsidR="00576D4A" w:rsidRPr="00444D8F">
        <w:t>ş</w:t>
      </w:r>
      <w:r w:rsidR="005852B4" w:rsidRPr="00444D8F">
        <w:t xml:space="preserve">i bugetul public </w:t>
      </w:r>
      <w:r w:rsidR="003D5D46" w:rsidRPr="00444D8F">
        <w:t xml:space="preserve">indicau </w:t>
      </w:r>
      <w:r w:rsidR="005852B4" w:rsidRPr="00444D8F">
        <w:t xml:space="preserve">deficite sistematice, </w:t>
      </w:r>
      <w:r w:rsidR="003D5D46" w:rsidRPr="00444D8F">
        <w:t>au existat deprecieri frecvente</w:t>
      </w:r>
      <w:r w:rsidR="005852B4" w:rsidRPr="00444D8F">
        <w:t xml:space="preserve"> </w:t>
      </w:r>
      <w:r w:rsidR="00576D4A" w:rsidRPr="00444D8F">
        <w:t>ş</w:t>
      </w:r>
      <w:r w:rsidR="005852B4" w:rsidRPr="00444D8F">
        <w:t xml:space="preserve">i schimbări repetate </w:t>
      </w:r>
      <w:r w:rsidR="003D5D46" w:rsidRPr="00444D8F">
        <w:t xml:space="preserve">de </w:t>
      </w:r>
      <w:r w:rsidR="005852B4" w:rsidRPr="00444D8F">
        <w:t>guvern</w:t>
      </w:r>
      <w:r w:rsidR="003D5D46" w:rsidRPr="00444D8F">
        <w:t>e</w:t>
      </w:r>
      <w:r w:rsidR="005852B4" w:rsidRPr="00444D8F">
        <w:t xml:space="preserve"> etc. În </w:t>
      </w:r>
      <w:r w:rsidR="003D5D46" w:rsidRPr="00444D8F">
        <w:t xml:space="preserve">perioade mai </w:t>
      </w:r>
      <w:r w:rsidR="005852B4" w:rsidRPr="00444D8F">
        <w:t>recente, imaginea s</w:t>
      </w:r>
      <w:r w:rsidR="003D5D46" w:rsidRPr="00444D8F">
        <w:t>-</w:t>
      </w:r>
      <w:r w:rsidR="005852B4" w:rsidRPr="00444D8F">
        <w:t xml:space="preserve">a schimbat radical. </w:t>
      </w:r>
      <w:r w:rsidR="003D5D46" w:rsidRPr="00444D8F">
        <w:t xml:space="preserve"> Se fac </w:t>
      </w:r>
      <w:r w:rsidR="005852B4" w:rsidRPr="00444D8F">
        <w:t xml:space="preserve">referiri frecvente la modelul de bunăstare danez, modelul de </w:t>
      </w:r>
      <w:r w:rsidR="005852B4" w:rsidRPr="00444D8F">
        <w:rPr>
          <w:i/>
        </w:rPr>
        <w:t>flexicuritate</w:t>
      </w:r>
      <w:r w:rsidR="005852B4" w:rsidRPr="00444D8F">
        <w:t xml:space="preserve"> este eviden</w:t>
      </w:r>
      <w:r w:rsidR="00576D4A" w:rsidRPr="00444D8F">
        <w:t>ţ</w:t>
      </w:r>
      <w:r w:rsidR="005852B4" w:rsidRPr="00444D8F">
        <w:t xml:space="preserve">iat ca exemplu </w:t>
      </w:r>
      <w:r w:rsidR="003D5D46" w:rsidRPr="00444D8F">
        <w:t xml:space="preserve">de piaţă </w:t>
      </w:r>
      <w:r w:rsidR="005852B4" w:rsidRPr="00444D8F">
        <w:t>a muncii care func</w:t>
      </w:r>
      <w:r w:rsidR="00576D4A" w:rsidRPr="00444D8F">
        <w:t>ţ</w:t>
      </w:r>
      <w:r w:rsidR="005852B4" w:rsidRPr="00444D8F">
        <w:t>ionează bine, sistemul de pensii este cotat ca fiind cel mai bun din lume</w:t>
      </w:r>
      <w:r w:rsidR="00C57B5E" w:rsidRPr="00444D8F">
        <w:t xml:space="preserve">, </w:t>
      </w:r>
      <w:r w:rsidR="00E55993" w:rsidRPr="00444D8F">
        <w:rPr>
          <w:rStyle w:val="FootnoteReference"/>
        </w:rPr>
        <w:footnoteReference w:id="1"/>
      </w:r>
      <w:r w:rsidR="005852B4" w:rsidRPr="00444D8F">
        <w:t xml:space="preserve"> iar danezii sunt </w:t>
      </w:r>
      <w:r w:rsidR="003D5D46" w:rsidRPr="00444D8F">
        <w:t>în general c</w:t>
      </w:r>
      <w:r w:rsidR="00F85489" w:rsidRPr="00444D8F">
        <w:t>onsideraţi</w:t>
      </w:r>
      <w:r w:rsidR="003D5D46" w:rsidRPr="00444D8F">
        <w:t xml:space="preserve"> </w:t>
      </w:r>
      <w:r w:rsidR="005852B4" w:rsidRPr="00444D8F">
        <w:t>printre cei mai ferici</w:t>
      </w:r>
      <w:r w:rsidR="00576D4A" w:rsidRPr="00444D8F">
        <w:t>ţ</w:t>
      </w:r>
      <w:r w:rsidR="005852B4" w:rsidRPr="00444D8F">
        <w:t xml:space="preserve">i oameni </w:t>
      </w:r>
      <w:r w:rsidR="003D5D46" w:rsidRPr="00444D8F">
        <w:t xml:space="preserve">din </w:t>
      </w:r>
      <w:r w:rsidR="005852B4" w:rsidRPr="00444D8F">
        <w:t>lume.</w:t>
      </w:r>
      <w:r w:rsidR="00E55993" w:rsidRPr="00444D8F">
        <w:rPr>
          <w:rStyle w:val="FootnoteReference"/>
        </w:rPr>
        <w:footnoteReference w:id="2"/>
      </w:r>
    </w:p>
    <w:p w:rsidR="00FF774A" w:rsidRPr="00444D8F" w:rsidRDefault="005852B4" w:rsidP="009D1756">
      <w:pPr>
        <w:jc w:val="both"/>
      </w:pPr>
      <w:r w:rsidRPr="00444D8F">
        <w:t>În cazul Danemarcei se po</w:t>
      </w:r>
      <w:r w:rsidR="003D5D46" w:rsidRPr="00444D8F">
        <w:t xml:space="preserve">t remarca şi </w:t>
      </w:r>
      <w:r w:rsidRPr="00444D8F">
        <w:t xml:space="preserve">o serie de paradoxuri. Este o economie mică </w:t>
      </w:r>
      <w:r w:rsidR="00576D4A" w:rsidRPr="00444D8F">
        <w:t>ş</w:t>
      </w:r>
      <w:r w:rsidRPr="00444D8F">
        <w:t>i deschisă, cu un</w:t>
      </w:r>
      <w:r w:rsidR="003D5D46" w:rsidRPr="00444D8F">
        <w:t>ul</w:t>
      </w:r>
      <w:r w:rsidRPr="00444D8F">
        <w:t xml:space="preserve"> dintre cele mai mari sectoare publice din cadrul OCDE</w:t>
      </w:r>
      <w:r w:rsidR="00D95C00" w:rsidRPr="00444D8F">
        <w:t>/Organizaţia pentru Cooperare şi Dezvoltare Economică</w:t>
      </w:r>
      <w:r w:rsidRPr="00444D8F">
        <w:t xml:space="preserve"> </w:t>
      </w:r>
      <w:r w:rsidR="00576D4A" w:rsidRPr="00444D8F">
        <w:t>ş</w:t>
      </w:r>
      <w:r w:rsidRPr="00444D8F">
        <w:t>i</w:t>
      </w:r>
      <w:r w:rsidR="00F87BA4" w:rsidRPr="00444D8F">
        <w:t>,</w:t>
      </w:r>
      <w:r w:rsidRPr="00444D8F">
        <w:t xml:space="preserve"> totu</w:t>
      </w:r>
      <w:r w:rsidR="00576D4A" w:rsidRPr="00444D8F">
        <w:t>ş</w:t>
      </w:r>
      <w:r w:rsidR="00F85489" w:rsidRPr="00444D8F">
        <w:t xml:space="preserve">i, </w:t>
      </w:r>
      <w:r w:rsidRPr="00444D8F">
        <w:t>indicatori</w:t>
      </w:r>
      <w:r w:rsidR="003D5D46" w:rsidRPr="00444D8F">
        <w:t>i</w:t>
      </w:r>
      <w:r w:rsidRPr="00444D8F">
        <w:t xml:space="preserve"> de performan</w:t>
      </w:r>
      <w:r w:rsidR="00576D4A" w:rsidRPr="00444D8F">
        <w:t>ţ</w:t>
      </w:r>
      <w:r w:rsidRPr="00444D8F">
        <w:t xml:space="preserve">ă economică </w:t>
      </w:r>
      <w:r w:rsidR="003D5D46" w:rsidRPr="00444D8F">
        <w:t xml:space="preserve">ai </w:t>
      </w:r>
      <w:r w:rsidRPr="00444D8F">
        <w:t>Danemarc</w:t>
      </w:r>
      <w:r w:rsidR="003D5D46" w:rsidRPr="00444D8F">
        <w:t>ei</w:t>
      </w:r>
      <w:r w:rsidR="00D95C00" w:rsidRPr="00444D8F">
        <w:t xml:space="preserve">, cum ar fi rata </w:t>
      </w:r>
      <w:r w:rsidRPr="00444D8F">
        <w:t>venitul</w:t>
      </w:r>
      <w:r w:rsidR="00D95C00" w:rsidRPr="00444D8F">
        <w:t>ui</w:t>
      </w:r>
      <w:r w:rsidRPr="00444D8F">
        <w:t xml:space="preserve"> pe cap de locuitor </w:t>
      </w:r>
      <w:r w:rsidR="00576D4A" w:rsidRPr="00444D8F">
        <w:t>ş</w:t>
      </w:r>
      <w:r w:rsidRPr="00444D8F">
        <w:t>i ocuparea for</w:t>
      </w:r>
      <w:r w:rsidR="00576D4A" w:rsidRPr="00444D8F">
        <w:t>ţ</w:t>
      </w:r>
      <w:r w:rsidRPr="00444D8F">
        <w:t xml:space="preserve">ei de muncă, sunt printre cele mai ridicate din toate </w:t>
      </w:r>
      <w:r w:rsidR="00576D4A" w:rsidRPr="00444D8F">
        <w:t>ţ</w:t>
      </w:r>
      <w:r w:rsidRPr="00444D8F">
        <w:t>ările OC</w:t>
      </w:r>
      <w:r w:rsidR="00D95C00" w:rsidRPr="00444D8F">
        <w:t>DE</w:t>
      </w:r>
      <w:r w:rsidRPr="00444D8F">
        <w:t>. În acela</w:t>
      </w:r>
      <w:r w:rsidR="00576D4A" w:rsidRPr="00444D8F">
        <w:t>ş</w:t>
      </w:r>
      <w:r w:rsidRPr="00444D8F">
        <w:t>i timp, inegalitatea veniturilor este scăzută. În cadrul discu</w:t>
      </w:r>
      <w:r w:rsidR="00576D4A" w:rsidRPr="00444D8F">
        <w:t>ţ</w:t>
      </w:r>
      <w:r w:rsidRPr="00444D8F">
        <w:t xml:space="preserve">iilor privind regimurile </w:t>
      </w:r>
      <w:r w:rsidR="00F87BA4" w:rsidRPr="00444D8F">
        <w:t xml:space="preserve">de </w:t>
      </w:r>
      <w:r w:rsidRPr="00444D8F">
        <w:t>politic</w:t>
      </w:r>
      <w:r w:rsidR="00F87BA4" w:rsidRPr="00444D8F">
        <w:t>ă</w:t>
      </w:r>
      <w:r w:rsidR="00D95C00" w:rsidRPr="00444D8F">
        <w:t xml:space="preserve"> monetar</w:t>
      </w:r>
      <w:r w:rsidR="00F87BA4" w:rsidRPr="00444D8F">
        <w:t>ă</w:t>
      </w:r>
      <w:r w:rsidR="00D95C00" w:rsidRPr="00444D8F">
        <w:t xml:space="preserve"> </w:t>
      </w:r>
      <w:r w:rsidR="00576D4A" w:rsidRPr="00444D8F">
        <w:t>ş</w:t>
      </w:r>
      <w:r w:rsidRPr="00444D8F">
        <w:t>i ale cursului de schimb, op</w:t>
      </w:r>
      <w:r w:rsidR="00576D4A" w:rsidRPr="00444D8F">
        <w:t>ţ</w:t>
      </w:r>
      <w:r w:rsidRPr="00444D8F">
        <w:t>iunea un</w:t>
      </w:r>
      <w:r w:rsidR="00D95C00" w:rsidRPr="00444D8F">
        <w:t xml:space="preserve">ui coeficient </w:t>
      </w:r>
      <w:r w:rsidR="00151016" w:rsidRPr="00444D8F">
        <w:t>de schimb support,</w:t>
      </w:r>
      <w:r w:rsidR="00D95C00" w:rsidRPr="00444D8F">
        <w:t xml:space="preserve"> unilateral</w:t>
      </w:r>
      <w:r w:rsidR="00151016" w:rsidRPr="00444D8F">
        <w:t>,</w:t>
      </w:r>
      <w:r w:rsidR="00D95C00" w:rsidRPr="00444D8F">
        <w:t xml:space="preserve"> stabil şi </w:t>
      </w:r>
      <w:r w:rsidRPr="00444D8F">
        <w:t>credibil pare să fie exclus</w:t>
      </w:r>
      <w:r w:rsidR="00F87BA4" w:rsidRPr="00444D8F">
        <w:t>;</w:t>
      </w:r>
      <w:r w:rsidRPr="00444D8F">
        <w:t xml:space="preserve"> totu</w:t>
      </w:r>
      <w:r w:rsidR="00576D4A" w:rsidRPr="00444D8F">
        <w:t>ş</w:t>
      </w:r>
      <w:r w:rsidRPr="00444D8F">
        <w:t>i, Danemarca a men</w:t>
      </w:r>
      <w:r w:rsidR="00576D4A" w:rsidRPr="00444D8F">
        <w:t>ţ</w:t>
      </w:r>
      <w:r w:rsidRPr="00444D8F">
        <w:t xml:space="preserve">inut cu succes un astfel de regim. Danemarca </w:t>
      </w:r>
      <w:r w:rsidR="00D95C00" w:rsidRPr="00444D8F">
        <w:t xml:space="preserve">este prin tradiţie o ţară </w:t>
      </w:r>
      <w:r w:rsidRPr="00444D8F">
        <w:t xml:space="preserve"> extrem de deschisă</w:t>
      </w:r>
      <w:r w:rsidR="00D95C00" w:rsidRPr="00444D8F">
        <w:t xml:space="preserve"> existând</w:t>
      </w:r>
      <w:r w:rsidRPr="00444D8F">
        <w:t xml:space="preserve"> sprijin</w:t>
      </w:r>
      <w:r w:rsidR="00151016" w:rsidRPr="00444D8F">
        <w:t>ul</w:t>
      </w:r>
      <w:r w:rsidRPr="00444D8F">
        <w:t xml:space="preserve"> larg</w:t>
      </w:r>
      <w:r w:rsidR="00F87BA4" w:rsidRPr="00444D8F">
        <w:t xml:space="preserve"> al cetăţenilor săi</w:t>
      </w:r>
      <w:r w:rsidRPr="00444D8F">
        <w:t xml:space="preserve"> p</w:t>
      </w:r>
      <w:r w:rsidR="00D95C00" w:rsidRPr="00444D8F">
        <w:t xml:space="preserve">rivind </w:t>
      </w:r>
      <w:r w:rsidRPr="00444D8F">
        <w:t xml:space="preserve">aderarea la UE. </w:t>
      </w:r>
      <w:r w:rsidR="00576D4A" w:rsidRPr="00444D8F">
        <w:t>Ţ</w:t>
      </w:r>
      <w:r w:rsidRPr="00444D8F">
        <w:t xml:space="preserve">ara este </w:t>
      </w:r>
      <w:r w:rsidR="00FA0214" w:rsidRPr="00444D8F">
        <w:t xml:space="preserve">stindardul implementării </w:t>
      </w:r>
      <w:r w:rsidRPr="00444D8F">
        <w:t xml:space="preserve">normelor </w:t>
      </w:r>
      <w:r w:rsidR="00576D4A" w:rsidRPr="00444D8F">
        <w:t>ş</w:t>
      </w:r>
      <w:r w:rsidR="00FA0214" w:rsidRPr="00444D8F">
        <w:t xml:space="preserve">i reglementărilor UE, </w:t>
      </w:r>
      <w:r w:rsidR="00F87BA4" w:rsidRPr="00444D8F">
        <w:t xml:space="preserve">dar totuşi </w:t>
      </w:r>
      <w:r w:rsidR="00FA0214" w:rsidRPr="00444D8F">
        <w:t>Euro</w:t>
      </w:r>
      <w:r w:rsidR="00F87BA4" w:rsidRPr="00444D8F">
        <w:t xml:space="preserve"> încă nu a fost adoptat, </w:t>
      </w:r>
      <w:r w:rsidR="00576D4A" w:rsidRPr="00444D8F">
        <w:t>ş</w:t>
      </w:r>
      <w:r w:rsidRPr="00444D8F">
        <w:t xml:space="preserve">i </w:t>
      </w:r>
      <w:r w:rsidR="00F87BA4" w:rsidRPr="00444D8F">
        <w:t xml:space="preserve">totdată </w:t>
      </w:r>
      <w:r w:rsidR="00FA0214" w:rsidRPr="00444D8F">
        <w:t xml:space="preserve">se menţin </w:t>
      </w:r>
      <w:r w:rsidR="00F87BA4" w:rsidRPr="00444D8F">
        <w:t>derog</w:t>
      </w:r>
      <w:r w:rsidR="00F87BA4" w:rsidRPr="00444D8F">
        <w:rPr>
          <w:lang w:val="ro-RO"/>
        </w:rPr>
        <w:t>ă</w:t>
      </w:r>
      <w:r w:rsidR="00F87BA4" w:rsidRPr="00444D8F">
        <w:t>rile</w:t>
      </w:r>
      <w:r w:rsidR="00FA0214" w:rsidRPr="00444D8F">
        <w:t xml:space="preserve"> </w:t>
      </w:r>
      <w:r w:rsidR="00F87BA4" w:rsidRPr="00444D8F">
        <w:t xml:space="preserve">privind </w:t>
      </w:r>
      <w:r w:rsidRPr="00444D8F">
        <w:t xml:space="preserve">cooperarea </w:t>
      </w:r>
      <w:r w:rsidR="00FA0214" w:rsidRPr="00444D8F">
        <w:t xml:space="preserve">militară, poliţienească </w:t>
      </w:r>
      <w:r w:rsidR="008234A3" w:rsidRPr="00444D8F">
        <w:t>şi judiciară</w:t>
      </w:r>
      <w:r w:rsidRPr="00444D8F">
        <w:t xml:space="preserve"> în cadrul UE.</w:t>
      </w:r>
      <w:r w:rsidR="00FF774A" w:rsidRPr="00444D8F">
        <w:t xml:space="preserve"> </w:t>
      </w:r>
    </w:p>
    <w:p w:rsidR="00342B5A" w:rsidRPr="00444D8F" w:rsidRDefault="005852B4" w:rsidP="009D1756">
      <w:pPr>
        <w:jc w:val="both"/>
      </w:pPr>
      <w:r w:rsidRPr="00444D8F">
        <w:t xml:space="preserve">Acest capitol </w:t>
      </w:r>
      <w:r w:rsidR="00FA0214" w:rsidRPr="00444D8F">
        <w:t xml:space="preserve">face o examinare mai </w:t>
      </w:r>
      <w:r w:rsidRPr="00444D8F">
        <w:t xml:space="preserve">atentă </w:t>
      </w:r>
      <w:r w:rsidR="00FA0214" w:rsidRPr="00444D8F">
        <w:t xml:space="preserve">a cazului </w:t>
      </w:r>
      <w:r w:rsidRPr="00444D8F">
        <w:t xml:space="preserve">danez - </w:t>
      </w:r>
      <w:r w:rsidR="00FA0214" w:rsidRPr="00444D8F">
        <w:rPr>
          <w:b/>
        </w:rPr>
        <w:t>E</w:t>
      </w:r>
      <w:r w:rsidRPr="00444D8F">
        <w:rPr>
          <w:b/>
        </w:rPr>
        <w:t xml:space="preserve">ste </w:t>
      </w:r>
      <w:r w:rsidR="00F87BA4" w:rsidRPr="00444D8F">
        <w:rPr>
          <w:b/>
        </w:rPr>
        <w:t xml:space="preserve">oare </w:t>
      </w:r>
      <w:r w:rsidR="00483C45" w:rsidRPr="00444D8F">
        <w:rPr>
          <w:b/>
        </w:rPr>
        <w:t xml:space="preserve">acest model </w:t>
      </w:r>
      <w:r w:rsidRPr="00444D8F">
        <w:rPr>
          <w:b/>
        </w:rPr>
        <w:t>prea bun ca să fie adevărat?</w:t>
      </w:r>
      <w:r w:rsidRPr="00444D8F">
        <w:t xml:space="preserve"> Răspunsul este </w:t>
      </w:r>
      <w:r w:rsidR="00F87BA4" w:rsidRPr="00444D8F">
        <w:t xml:space="preserve">cât se poate de scurt - </w:t>
      </w:r>
      <w:r w:rsidRPr="00444D8F">
        <w:t xml:space="preserve">Danemarca nu a făcut minuni. </w:t>
      </w:r>
      <w:r w:rsidR="00FA0214" w:rsidRPr="00444D8F">
        <w:t>P</w:t>
      </w:r>
      <w:r w:rsidRPr="00444D8F">
        <w:t>erforman</w:t>
      </w:r>
      <w:r w:rsidR="00576D4A" w:rsidRPr="00444D8F">
        <w:t>ţ</w:t>
      </w:r>
      <w:r w:rsidRPr="00444D8F">
        <w:t>ele sale se bazează pe funda</w:t>
      </w:r>
      <w:r w:rsidR="00FA0214" w:rsidRPr="00444D8F">
        <w:t>mente</w:t>
      </w:r>
      <w:r w:rsidRPr="00444D8F">
        <w:t xml:space="preserve"> </w:t>
      </w:r>
      <w:r w:rsidR="00FA0214" w:rsidRPr="00444D8F">
        <w:t xml:space="preserve">aşezate cu </w:t>
      </w:r>
      <w:r w:rsidRPr="00444D8F">
        <w:t>ani în urmă, ca răspuns la o situa</w:t>
      </w:r>
      <w:r w:rsidR="00576D4A" w:rsidRPr="00444D8F">
        <w:t>ţ</w:t>
      </w:r>
      <w:r w:rsidRPr="00444D8F">
        <w:t xml:space="preserve">ie economică nesustenabilă. </w:t>
      </w:r>
      <w:r w:rsidR="00FA0214" w:rsidRPr="00444D8F">
        <w:t>Î</w:t>
      </w:r>
      <w:r w:rsidRPr="00444D8F">
        <w:t xml:space="preserve">n 1980, factorii de decizie politică au investit în credibilitatea politicii cursului de schimb </w:t>
      </w:r>
      <w:r w:rsidR="00FA0214" w:rsidRPr="00444D8F">
        <w:t xml:space="preserve">fix </w:t>
      </w:r>
      <w:r w:rsidR="00576D4A" w:rsidRPr="00444D8F">
        <w:t>ş</w:t>
      </w:r>
      <w:r w:rsidRPr="00444D8F">
        <w:t>i a</w:t>
      </w:r>
      <w:r w:rsidR="00FA0214" w:rsidRPr="00444D8F">
        <w:t>u</w:t>
      </w:r>
      <w:r w:rsidRPr="00444D8F">
        <w:t xml:space="preserve"> acceptat disciplina </w:t>
      </w:r>
      <w:r w:rsidR="00FA0214" w:rsidRPr="00444D8F">
        <w:t xml:space="preserve">impusă de </w:t>
      </w:r>
      <w:r w:rsidRPr="00444D8F">
        <w:t xml:space="preserve">acest lucru. Reformele </w:t>
      </w:r>
      <w:r w:rsidR="00FA0214" w:rsidRPr="00444D8F">
        <w:t xml:space="preserve">de </w:t>
      </w:r>
      <w:r w:rsidRPr="00444D8F">
        <w:t>pe pia</w:t>
      </w:r>
      <w:r w:rsidR="00576D4A" w:rsidRPr="00444D8F">
        <w:t>ţ</w:t>
      </w:r>
      <w:r w:rsidRPr="00444D8F">
        <w:t>a muncii, în anii 1990, a</w:t>
      </w:r>
      <w:r w:rsidR="00F87BA4" w:rsidRPr="00444D8F">
        <w:t>u</w:t>
      </w:r>
      <w:r w:rsidRPr="00444D8F">
        <w:t xml:space="preserve"> pus bazele modelul</w:t>
      </w:r>
      <w:r w:rsidR="00FA0214" w:rsidRPr="00444D8F">
        <w:t>ui</w:t>
      </w:r>
      <w:r w:rsidRPr="00444D8F">
        <w:t xml:space="preserve"> flexicurită</w:t>
      </w:r>
      <w:r w:rsidR="00576D4A" w:rsidRPr="00444D8F">
        <w:t>ţ</w:t>
      </w:r>
      <w:r w:rsidRPr="00444D8F">
        <w:t>ii</w:t>
      </w:r>
      <w:r w:rsidR="00C57B5E" w:rsidRPr="00444D8F">
        <w:t>,</w:t>
      </w:r>
      <w:r w:rsidR="00F87BA4" w:rsidRPr="00444D8F">
        <w:t xml:space="preserve"> </w:t>
      </w:r>
      <w:r w:rsidRPr="00444D8F">
        <w:t>a</w:t>
      </w:r>
      <w:r w:rsidR="00576D4A" w:rsidRPr="00444D8F">
        <w:t>ş</w:t>
      </w:r>
      <w:r w:rsidRPr="00444D8F">
        <w:t xml:space="preserve">a cum este cunoscut în prezent. Ulterior, </w:t>
      </w:r>
      <w:r w:rsidR="00151016" w:rsidRPr="00444D8F">
        <w:t xml:space="preserve">prin </w:t>
      </w:r>
      <w:r w:rsidR="00FA0214" w:rsidRPr="00444D8F">
        <w:t>consolidare</w:t>
      </w:r>
      <w:r w:rsidRPr="00444D8F">
        <w:t>a finan</w:t>
      </w:r>
      <w:r w:rsidR="00576D4A" w:rsidRPr="00444D8F">
        <w:t>ţ</w:t>
      </w:r>
      <w:r w:rsidRPr="00444D8F">
        <w:t xml:space="preserve">elor publice </w:t>
      </w:r>
      <w:r w:rsidR="00576D4A" w:rsidRPr="00444D8F">
        <w:t>ş</w:t>
      </w:r>
      <w:r w:rsidRPr="00444D8F">
        <w:t xml:space="preserve">i </w:t>
      </w:r>
      <w:r w:rsidR="00FA0214" w:rsidRPr="00444D8F">
        <w:t xml:space="preserve">a </w:t>
      </w:r>
      <w:r w:rsidRPr="00444D8F">
        <w:t>preocupăril</w:t>
      </w:r>
      <w:r w:rsidR="00FA0214" w:rsidRPr="00444D8F">
        <w:t>or</w:t>
      </w:r>
      <w:r w:rsidRPr="00444D8F">
        <w:t xml:space="preserve"> privind viabilitatea financiară a modelului </w:t>
      </w:r>
      <w:r w:rsidR="00375C54" w:rsidRPr="00444D8F">
        <w:t>social</w:t>
      </w:r>
      <w:r w:rsidR="00C57B5E" w:rsidRPr="00444D8F">
        <w:t>,</w:t>
      </w:r>
      <w:r w:rsidRPr="00444D8F">
        <w:t xml:space="preserve"> </w:t>
      </w:r>
      <w:r w:rsidR="00151016" w:rsidRPr="00444D8F">
        <w:t>s-au</w:t>
      </w:r>
      <w:r w:rsidRPr="00444D8F">
        <w:t xml:space="preserve"> </w:t>
      </w:r>
      <w:r w:rsidR="00375C54" w:rsidRPr="00444D8F">
        <w:t>urgentat reforme</w:t>
      </w:r>
      <w:r w:rsidRPr="00444D8F">
        <w:t>le</w:t>
      </w:r>
      <w:r w:rsidR="00375C54" w:rsidRPr="00444D8F">
        <w:t xml:space="preserve"> favorabile bunăstării</w:t>
      </w:r>
      <w:r w:rsidRPr="00444D8F">
        <w:t xml:space="preserve"> </w:t>
      </w:r>
      <w:r w:rsidR="00375C54" w:rsidRPr="00444D8F">
        <w:t xml:space="preserve">sociale </w:t>
      </w:r>
      <w:r w:rsidRPr="00444D8F">
        <w:t>inclusiv reform</w:t>
      </w:r>
      <w:r w:rsidR="00375C54" w:rsidRPr="00444D8F">
        <w:t>a pensiilor</w:t>
      </w:r>
      <w:r w:rsidRPr="00444D8F">
        <w:t xml:space="preserve">. </w:t>
      </w:r>
      <w:r w:rsidR="00375C54" w:rsidRPr="00444D8F">
        <w:t xml:space="preserve"> Decidenţii politici au fost unanim de acord </w:t>
      </w:r>
      <w:r w:rsidR="00151016" w:rsidRPr="00444D8F">
        <w:rPr>
          <w:lang w:val="ro-RO"/>
        </w:rPr>
        <w:t xml:space="preserve">că o economie mică se </w:t>
      </w:r>
      <w:r w:rsidR="00151016" w:rsidRPr="00444D8F">
        <w:t>confruntă cu anumite</w:t>
      </w:r>
      <w:r w:rsidR="00375C54" w:rsidRPr="00444D8F">
        <w:t xml:space="preserve"> co</w:t>
      </w:r>
      <w:r w:rsidRPr="00444D8F">
        <w:t xml:space="preserve">nstrângeri </w:t>
      </w:r>
      <w:r w:rsidR="00576D4A" w:rsidRPr="00444D8F">
        <w:t>ş</w:t>
      </w:r>
      <w:r w:rsidRPr="00444D8F">
        <w:t>i că viabilitatea modelului de bunăstare depinde, în cele din urmă</w:t>
      </w:r>
      <w:r w:rsidR="00375C54" w:rsidRPr="00444D8F">
        <w:t xml:space="preserve">, de </w:t>
      </w:r>
      <w:r w:rsidRPr="00444D8F">
        <w:t>men</w:t>
      </w:r>
      <w:r w:rsidR="00576D4A" w:rsidRPr="00444D8F">
        <w:t>ţ</w:t>
      </w:r>
      <w:r w:rsidRPr="00444D8F">
        <w:t>inerea unui nivel ridicat de ocupare în sectorul privat.</w:t>
      </w:r>
      <w:r w:rsidR="00342B5A" w:rsidRPr="00444D8F">
        <w:t xml:space="preserve"> </w:t>
      </w:r>
    </w:p>
    <w:p w:rsidR="00DD041F" w:rsidRPr="00444D8F" w:rsidRDefault="00375C54" w:rsidP="009D1756">
      <w:pPr>
        <w:jc w:val="both"/>
      </w:pPr>
      <w:r w:rsidRPr="00444D8F">
        <w:t>R</w:t>
      </w:r>
      <w:r w:rsidR="005852B4" w:rsidRPr="00444D8F">
        <w:t>ealizările daneze sunt rezultatul unei munci politice</w:t>
      </w:r>
      <w:r w:rsidRPr="00444D8F">
        <w:t xml:space="preserve"> asidue</w:t>
      </w:r>
      <w:r w:rsidR="005852B4" w:rsidRPr="00444D8F">
        <w:t>. Politicile aplicate în Danemarca nu sunt unice: ambala</w:t>
      </w:r>
      <w:r w:rsidRPr="00444D8F">
        <w:t>jul</w:t>
      </w:r>
      <w:r w:rsidR="005852B4" w:rsidRPr="00444D8F">
        <w:t xml:space="preserve"> lor po</w:t>
      </w:r>
      <w:r w:rsidRPr="00444D8F">
        <w:t>ate</w:t>
      </w:r>
      <w:r w:rsidR="005852B4" w:rsidRPr="00444D8F">
        <w:t xml:space="preserve"> fi diferit, dar ingredientele sunt </w:t>
      </w:r>
      <w:r w:rsidR="00151016" w:rsidRPr="00444D8F">
        <w:t xml:space="preserve">cele </w:t>
      </w:r>
      <w:r w:rsidRPr="00444D8F">
        <w:t>obişnuite</w:t>
      </w:r>
      <w:r w:rsidR="005852B4" w:rsidRPr="00444D8F">
        <w:t xml:space="preserve">. </w:t>
      </w:r>
      <w:r w:rsidRPr="00444D8F">
        <w:t>R</w:t>
      </w:r>
      <w:r w:rsidR="005852B4" w:rsidRPr="00444D8F">
        <w:t>ealizările Danemarc</w:t>
      </w:r>
      <w:r w:rsidRPr="00444D8F">
        <w:t>ei</w:t>
      </w:r>
      <w:r w:rsidR="005852B4" w:rsidRPr="00444D8F">
        <w:t xml:space="preserve"> sunt rezultatul reformelor economice, direc</w:t>
      </w:r>
      <w:r w:rsidR="00576D4A" w:rsidRPr="00444D8F">
        <w:t>ţ</w:t>
      </w:r>
      <w:r w:rsidR="005852B4" w:rsidRPr="00444D8F">
        <w:t>ionate ini</w:t>
      </w:r>
      <w:r w:rsidR="00576D4A" w:rsidRPr="00444D8F">
        <w:t>ţ</w:t>
      </w:r>
      <w:r w:rsidR="005852B4" w:rsidRPr="00444D8F">
        <w:t xml:space="preserve">ial </w:t>
      </w:r>
      <w:r w:rsidRPr="00444D8F">
        <w:t xml:space="preserve">către </w:t>
      </w:r>
      <w:r w:rsidR="005852B4" w:rsidRPr="00444D8F">
        <w:t>depă</w:t>
      </w:r>
      <w:r w:rsidR="00576D4A" w:rsidRPr="00444D8F">
        <w:t>ş</w:t>
      </w:r>
      <w:r w:rsidR="005852B4" w:rsidRPr="00444D8F">
        <w:t xml:space="preserve">irea crizei </w:t>
      </w:r>
      <w:r w:rsidR="00576D4A" w:rsidRPr="00444D8F">
        <w:t>ş</w:t>
      </w:r>
      <w:r w:rsidR="005852B4" w:rsidRPr="00444D8F">
        <w:t xml:space="preserve">i, ulterior, </w:t>
      </w:r>
      <w:r w:rsidR="00C57B5E" w:rsidRPr="00444D8F">
        <w:t>spre perspectiv</w:t>
      </w:r>
      <w:r w:rsidR="00C80F21" w:rsidRPr="00444D8F">
        <w:t>a</w:t>
      </w:r>
      <w:r w:rsidR="00C57B5E" w:rsidRPr="00444D8F">
        <w:t xml:space="preserve"> </w:t>
      </w:r>
      <w:r w:rsidR="00C80F21" w:rsidRPr="00444D8F">
        <w:t xml:space="preserve">asupra </w:t>
      </w:r>
      <w:r w:rsidR="005852B4" w:rsidRPr="00444D8F">
        <w:t>viitor</w:t>
      </w:r>
      <w:r w:rsidR="00C57B5E" w:rsidRPr="00444D8F">
        <w:t>ului</w:t>
      </w:r>
      <w:r w:rsidR="005852B4" w:rsidRPr="00444D8F">
        <w:t xml:space="preserve">. </w:t>
      </w:r>
      <w:r w:rsidR="00C80F21" w:rsidRPr="00444D8F">
        <w:t xml:space="preserve"> Ceea ce iese în evidenţă în </w:t>
      </w:r>
      <w:r w:rsidR="005852B4" w:rsidRPr="00444D8F">
        <w:t xml:space="preserve">aceste </w:t>
      </w:r>
      <w:r w:rsidR="001F4C26" w:rsidRPr="00444D8F">
        <w:t>evoluţii este consensul</w:t>
      </w:r>
      <w:r w:rsidR="00C57B5E" w:rsidRPr="00444D8F">
        <w:t xml:space="preserve"> </w:t>
      </w:r>
      <w:r w:rsidR="00C80F21" w:rsidRPr="00444D8F">
        <w:t>stabilit</w:t>
      </w:r>
      <w:r w:rsidR="00C57B5E" w:rsidRPr="00444D8F">
        <w:t xml:space="preserve"> </w:t>
      </w:r>
      <w:r w:rsidR="00C80F21" w:rsidRPr="00444D8F">
        <w:t xml:space="preserve">cu privire la politicile economice </w:t>
      </w:r>
      <w:r w:rsidR="00C57B5E" w:rsidRPr="00444D8F">
        <w:t>într-un spectru politic larg.</w:t>
      </w:r>
    </w:p>
    <w:p w:rsidR="00FF774A" w:rsidRPr="00444D8F" w:rsidRDefault="005852B4" w:rsidP="009D1756">
      <w:pPr>
        <w:jc w:val="both"/>
      </w:pPr>
      <w:r w:rsidRPr="00444D8F">
        <w:lastRenderedPageBreak/>
        <w:t>Aceasta implică atât sprijin</w:t>
      </w:r>
      <w:r w:rsidR="008234A3" w:rsidRPr="00444D8F">
        <w:t>irea reformelor</w:t>
      </w:r>
      <w:r w:rsidRPr="00444D8F">
        <w:t xml:space="preserve"> </w:t>
      </w:r>
      <w:r w:rsidR="00C57B5E" w:rsidRPr="00444D8F">
        <w:t xml:space="preserve">cât </w:t>
      </w:r>
      <w:r w:rsidR="00576D4A" w:rsidRPr="00444D8F">
        <w:t>ş</w:t>
      </w:r>
      <w:r w:rsidRPr="00444D8F">
        <w:t xml:space="preserve">i </w:t>
      </w:r>
      <w:r w:rsidR="00C57B5E" w:rsidRPr="00444D8F">
        <w:t xml:space="preserve">menţinerea </w:t>
      </w:r>
      <w:r w:rsidRPr="00444D8F">
        <w:t>continuit</w:t>
      </w:r>
      <w:r w:rsidR="00C57B5E" w:rsidRPr="00444D8F">
        <w:t xml:space="preserve">ăţii şi </w:t>
      </w:r>
      <w:r w:rsidRPr="00444D8F">
        <w:t>consecven</w:t>
      </w:r>
      <w:r w:rsidR="00576D4A" w:rsidRPr="00444D8F">
        <w:t>ţ</w:t>
      </w:r>
      <w:r w:rsidR="00C57B5E" w:rsidRPr="00444D8F">
        <w:t>ei</w:t>
      </w:r>
      <w:r w:rsidRPr="00444D8F">
        <w:t xml:space="preserve"> în politica economică, în ciuda faptului că cele mai multe</w:t>
      </w:r>
      <w:r w:rsidR="00EC4075" w:rsidRPr="00444D8F">
        <w:t xml:space="preserve"> </w:t>
      </w:r>
      <w:r w:rsidRPr="00444D8F">
        <w:t>guverne au fost guverne minoritare (</w:t>
      </w:r>
      <w:r w:rsidR="00576D4A" w:rsidRPr="00444D8F">
        <w:t>ş</w:t>
      </w:r>
      <w:r w:rsidRPr="00444D8F">
        <w:t>i de obicei coali</w:t>
      </w:r>
      <w:r w:rsidR="00576D4A" w:rsidRPr="00444D8F">
        <w:t>ţ</w:t>
      </w:r>
      <w:r w:rsidRPr="00444D8F">
        <w:t xml:space="preserve">ii între mai multe partide) </w:t>
      </w:r>
      <w:r w:rsidR="00576D4A" w:rsidRPr="00444D8F">
        <w:t>ş</w:t>
      </w:r>
      <w:r w:rsidRPr="00444D8F">
        <w:t>i că au existat schimbări frecvente în guvern.</w:t>
      </w:r>
      <w:r w:rsidR="00FF774A" w:rsidRPr="00444D8F">
        <w:t xml:space="preserve"> </w:t>
      </w:r>
    </w:p>
    <w:p w:rsidR="005852B4" w:rsidRPr="00444D8F" w:rsidRDefault="005852B4" w:rsidP="009D1756">
      <w:pPr>
        <w:jc w:val="both"/>
        <w:rPr>
          <w:b/>
        </w:rPr>
      </w:pPr>
      <w:r w:rsidRPr="00444D8F">
        <w:rPr>
          <w:b/>
        </w:rPr>
        <w:t xml:space="preserve">4.2 Sectorul public </w:t>
      </w:r>
      <w:r w:rsidR="00576D4A" w:rsidRPr="00444D8F">
        <w:rPr>
          <w:b/>
        </w:rPr>
        <w:t>ş</w:t>
      </w:r>
      <w:r w:rsidRPr="00444D8F">
        <w:rPr>
          <w:b/>
        </w:rPr>
        <w:t>i performan</w:t>
      </w:r>
      <w:r w:rsidR="00576D4A" w:rsidRPr="00444D8F">
        <w:rPr>
          <w:b/>
        </w:rPr>
        <w:t>ţ</w:t>
      </w:r>
      <w:r w:rsidRPr="00444D8F">
        <w:rPr>
          <w:b/>
        </w:rPr>
        <w:t>a economică</w:t>
      </w:r>
    </w:p>
    <w:p w:rsidR="005852B4" w:rsidRPr="00444D8F" w:rsidRDefault="005852B4" w:rsidP="009D1756">
      <w:pPr>
        <w:jc w:val="both"/>
      </w:pPr>
      <w:r w:rsidRPr="00444D8F">
        <w:t xml:space="preserve">Întrebarea cheie adresată </w:t>
      </w:r>
      <w:r w:rsidR="008234A3" w:rsidRPr="00444D8F">
        <w:t xml:space="preserve">frecvent de către </w:t>
      </w:r>
      <w:r w:rsidRPr="00444D8F">
        <w:t>observatori</w:t>
      </w:r>
      <w:r w:rsidR="008234A3" w:rsidRPr="00444D8F">
        <w:t>i</w:t>
      </w:r>
      <w:r w:rsidRPr="00444D8F">
        <w:t xml:space="preserve"> externi este: </w:t>
      </w:r>
      <w:r w:rsidRPr="00444D8F">
        <w:rPr>
          <w:i/>
        </w:rPr>
        <w:t xml:space="preserve">"Cum este posibil să </w:t>
      </w:r>
      <w:r w:rsidR="008234A3" w:rsidRPr="00444D8F">
        <w:rPr>
          <w:i/>
        </w:rPr>
        <w:t>se împac</w:t>
      </w:r>
      <w:r w:rsidRPr="00444D8F">
        <w:rPr>
          <w:i/>
        </w:rPr>
        <w:t>e performan</w:t>
      </w:r>
      <w:r w:rsidR="00576D4A" w:rsidRPr="00444D8F">
        <w:rPr>
          <w:i/>
        </w:rPr>
        <w:t>ţ</w:t>
      </w:r>
      <w:r w:rsidRPr="00444D8F">
        <w:rPr>
          <w:i/>
        </w:rPr>
        <w:t>a economică relativ bună a Danemarcei, cu sector</w:t>
      </w:r>
      <w:r w:rsidR="00C57B5E" w:rsidRPr="00444D8F">
        <w:rPr>
          <w:i/>
        </w:rPr>
        <w:t>ul</w:t>
      </w:r>
      <w:r w:rsidRPr="00444D8F">
        <w:rPr>
          <w:i/>
        </w:rPr>
        <w:t xml:space="preserve"> public </w:t>
      </w:r>
      <w:r w:rsidR="008234A3" w:rsidRPr="00444D8F">
        <w:rPr>
          <w:i/>
        </w:rPr>
        <w:t xml:space="preserve">larg </w:t>
      </w:r>
      <w:r w:rsidR="00576D4A" w:rsidRPr="00444D8F">
        <w:rPr>
          <w:i/>
        </w:rPr>
        <w:t>ş</w:t>
      </w:r>
      <w:r w:rsidRPr="00444D8F">
        <w:rPr>
          <w:i/>
        </w:rPr>
        <w:t xml:space="preserve">i </w:t>
      </w:r>
      <w:r w:rsidR="008234A3" w:rsidRPr="00444D8F">
        <w:rPr>
          <w:i/>
        </w:rPr>
        <w:t xml:space="preserve">rate </w:t>
      </w:r>
      <w:r w:rsidRPr="00444D8F">
        <w:rPr>
          <w:i/>
        </w:rPr>
        <w:t>fiscale mari</w:t>
      </w:r>
      <w:r w:rsidR="008234A3" w:rsidRPr="00444D8F">
        <w:rPr>
          <w:i/>
        </w:rPr>
        <w:t>?</w:t>
      </w:r>
      <w:r w:rsidRPr="00444D8F">
        <w:rPr>
          <w:i/>
        </w:rPr>
        <w:t>"</w:t>
      </w:r>
      <w:r w:rsidRPr="00444D8F">
        <w:t xml:space="preserve"> </w:t>
      </w:r>
      <w:r w:rsidR="008234A3" w:rsidRPr="00444D8F">
        <w:t>A</w:t>
      </w:r>
      <w:r w:rsidRPr="00444D8F">
        <w:t xml:space="preserve">u fost evitate </w:t>
      </w:r>
      <w:r w:rsidR="008234A3" w:rsidRPr="00444D8F">
        <w:t xml:space="preserve">compromisurile </w:t>
      </w:r>
      <w:r w:rsidRPr="00444D8F">
        <w:t>fundamentale? Cum poate fi explicat acest lucru?</w:t>
      </w:r>
    </w:p>
    <w:p w:rsidR="00F90FF4" w:rsidRPr="00444D8F" w:rsidRDefault="008234A3" w:rsidP="009D1756">
      <w:pPr>
        <w:jc w:val="both"/>
      </w:pPr>
      <w:r w:rsidRPr="00444D8F">
        <w:t>C</w:t>
      </w:r>
      <w:r w:rsidR="005852B4" w:rsidRPr="00444D8F">
        <w:t>ompara</w:t>
      </w:r>
      <w:r w:rsidR="00576D4A" w:rsidRPr="00444D8F">
        <w:t>ţ</w:t>
      </w:r>
      <w:r w:rsidR="005852B4" w:rsidRPr="00444D8F">
        <w:t>ii</w:t>
      </w:r>
      <w:r w:rsidRPr="00444D8F">
        <w:t>le</w:t>
      </w:r>
      <w:r w:rsidR="005852B4" w:rsidRPr="00444D8F">
        <w:t xml:space="preserve"> interna</w:t>
      </w:r>
      <w:r w:rsidR="00576D4A" w:rsidRPr="00444D8F">
        <w:t>ţ</w:t>
      </w:r>
      <w:r w:rsidR="005852B4" w:rsidRPr="00444D8F">
        <w:t xml:space="preserve">ionale suferă de </w:t>
      </w:r>
      <w:r w:rsidR="00C80F21" w:rsidRPr="00444D8F">
        <w:t>anumit</w:t>
      </w:r>
      <w:r w:rsidRPr="00444D8F">
        <w:t xml:space="preserve">e </w:t>
      </w:r>
      <w:r w:rsidR="005852B4" w:rsidRPr="00444D8F">
        <w:t xml:space="preserve">probleme de </w:t>
      </w:r>
      <w:r w:rsidR="00C57B5E" w:rsidRPr="00444D8F">
        <w:t>evalu</w:t>
      </w:r>
      <w:r w:rsidR="005852B4" w:rsidRPr="00444D8F">
        <w:t xml:space="preserve">are, atunci când se compară dimensiunile sectorului public </w:t>
      </w:r>
      <w:r w:rsidR="00576D4A" w:rsidRPr="00444D8F">
        <w:t>ş</w:t>
      </w:r>
      <w:r w:rsidR="005852B4" w:rsidRPr="00444D8F">
        <w:t>i nivelul PIB-ului. Unele dintre aceste probleme sunt discutate în Caseta 4.1, dar acestea nu modifică în mod fundamental ideea că Danemarca are o performan</w:t>
      </w:r>
      <w:r w:rsidR="00576D4A" w:rsidRPr="00444D8F">
        <w:t>ţ</w:t>
      </w:r>
      <w:r w:rsidR="005852B4" w:rsidRPr="00444D8F">
        <w:t>ă economică relativ puternică, măsurată în func</w:t>
      </w:r>
      <w:r w:rsidR="00576D4A" w:rsidRPr="00444D8F">
        <w:t>ţ</w:t>
      </w:r>
      <w:r w:rsidR="005852B4" w:rsidRPr="00444D8F">
        <w:t xml:space="preserve">ie de venitul pe cap de locuitor, de exemplu, </w:t>
      </w:r>
      <w:r w:rsidR="00576D4A" w:rsidRPr="00444D8F">
        <w:t>ş</w:t>
      </w:r>
      <w:r w:rsidR="005852B4" w:rsidRPr="00444D8F">
        <w:t xml:space="preserve">i că sectorul public este mare, cf. Figura 4.1.  </w:t>
      </w:r>
    </w:p>
    <w:p w:rsidR="0083308D" w:rsidRPr="00444D8F" w:rsidRDefault="00FF774A" w:rsidP="009D1756">
      <w:pPr>
        <w:jc w:val="both"/>
      </w:pPr>
      <w:r w:rsidRPr="00444D8F">
        <w:rPr>
          <w:b/>
        </w:rPr>
        <w:t>Figur</w:t>
      </w:r>
      <w:r w:rsidR="003C5F7D" w:rsidRPr="00444D8F">
        <w:rPr>
          <w:b/>
        </w:rPr>
        <w:t>a</w:t>
      </w:r>
      <w:r w:rsidRPr="00444D8F">
        <w:rPr>
          <w:b/>
        </w:rPr>
        <w:t xml:space="preserve"> 4.1</w:t>
      </w:r>
    </w:p>
    <w:tbl>
      <w:tblPr>
        <w:tblStyle w:val="TableGrid"/>
        <w:tblW w:w="0" w:type="auto"/>
        <w:tblInd w:w="468" w:type="dxa"/>
        <w:tblLook w:val="04A0" w:firstRow="1" w:lastRow="0" w:firstColumn="1" w:lastColumn="0" w:noHBand="0" w:noVBand="1"/>
      </w:tblPr>
      <w:tblGrid>
        <w:gridCol w:w="7467"/>
      </w:tblGrid>
      <w:tr w:rsidR="001F4C26" w:rsidRPr="00444D8F" w:rsidTr="00483C45">
        <w:trPr>
          <w:trHeight w:val="5311"/>
        </w:trPr>
        <w:tc>
          <w:tcPr>
            <w:tcW w:w="7467" w:type="dxa"/>
          </w:tcPr>
          <w:p w:rsidR="0083308D" w:rsidRPr="00444D8F" w:rsidRDefault="0083308D" w:rsidP="009D1756">
            <w:pPr>
              <w:jc w:val="both"/>
              <w:rPr>
                <w:b/>
                <w:lang w:val="en-GB"/>
              </w:rPr>
            </w:pPr>
            <w:r w:rsidRPr="00444D8F">
              <w:rPr>
                <w:b/>
              </w:rPr>
              <w:t xml:space="preserve">Dimensiunea sectorului public, </w:t>
            </w:r>
            <w:r w:rsidRPr="00444D8F">
              <w:rPr>
                <w:b/>
                <w:lang w:val="ro-RO"/>
              </w:rPr>
              <w:t xml:space="preserve">ţările OECD </w:t>
            </w:r>
            <w:r w:rsidRPr="00444D8F">
              <w:rPr>
                <w:b/>
                <w:lang w:val="en-GB"/>
              </w:rPr>
              <w:t>a)</w:t>
            </w:r>
          </w:p>
          <w:p w:rsidR="0083308D" w:rsidRPr="00444D8F" w:rsidRDefault="0083308D" w:rsidP="009D1756">
            <w:pPr>
              <w:jc w:val="both"/>
              <w:rPr>
                <w:b/>
                <w:lang w:val="en-GB"/>
              </w:rPr>
            </w:pPr>
            <w:r w:rsidRPr="00444D8F">
              <w:rPr>
                <w:b/>
                <w:shd w:val="clear" w:color="auto" w:fill="0070C0"/>
                <w:lang w:val="en-GB"/>
              </w:rPr>
              <w:t>□</w:t>
            </w:r>
            <w:r w:rsidR="00DD041F" w:rsidRPr="00444D8F">
              <w:rPr>
                <w:b/>
                <w:lang w:val="en-GB"/>
              </w:rPr>
              <w:t xml:space="preserve"> Cota cheltuielilor brute</w:t>
            </w:r>
          </w:p>
          <w:p w:rsidR="0083308D" w:rsidRPr="00444D8F" w:rsidRDefault="0083308D" w:rsidP="009D1756">
            <w:pPr>
              <w:jc w:val="both"/>
              <w:rPr>
                <w:b/>
                <w:lang w:val="en-GB"/>
              </w:rPr>
            </w:pPr>
            <w:r w:rsidRPr="00444D8F">
              <w:rPr>
                <w:b/>
                <w:shd w:val="clear" w:color="auto" w:fill="C00000"/>
                <w:lang w:val="en-GB"/>
              </w:rPr>
              <w:t>□</w:t>
            </w:r>
            <w:r w:rsidR="00DD041F" w:rsidRPr="00444D8F">
              <w:rPr>
                <w:b/>
                <w:lang w:val="en-GB"/>
              </w:rPr>
              <w:t xml:space="preserve"> Cota cheltuielilor ajustate</w:t>
            </w:r>
            <w:r w:rsidRPr="00444D8F">
              <w:rPr>
                <w:b/>
                <w:noProof/>
                <w:highlight w:val="cyan"/>
              </w:rPr>
              <w:drawing>
                <wp:anchor distT="0" distB="0" distL="114300" distR="114300" simplePos="0" relativeHeight="251656192" behindDoc="0" locked="0" layoutInCell="1" allowOverlap="0" wp14:anchorId="7B5E12AC" wp14:editId="62FF3E7A">
                  <wp:simplePos x="0" y="0"/>
                  <wp:positionH relativeFrom="margin">
                    <wp:posOffset>65405</wp:posOffset>
                  </wp:positionH>
                  <wp:positionV relativeFrom="paragraph">
                    <wp:posOffset>316230</wp:posOffset>
                  </wp:positionV>
                  <wp:extent cx="4297680" cy="2194560"/>
                  <wp:effectExtent l="0" t="0" r="7620" b="0"/>
                  <wp:wrapSquare wrapText="bothSides"/>
                  <wp:docPr id="53680" name="Picture 53680"/>
                  <wp:cNvGraphicFramePr/>
                  <a:graphic xmlns:a="http://schemas.openxmlformats.org/drawingml/2006/main">
                    <a:graphicData uri="http://schemas.openxmlformats.org/drawingml/2006/picture">
                      <pic:pic xmlns:pic="http://schemas.openxmlformats.org/drawingml/2006/picture">
                        <pic:nvPicPr>
                          <pic:cNvPr id="535062" name="Picture 535062"/>
                          <pic:cNvPicPr/>
                        </pic:nvPicPr>
                        <pic:blipFill>
                          <a:blip r:embed="rId8"/>
                          <a:stretch>
                            <a:fillRect/>
                          </a:stretch>
                        </pic:blipFill>
                        <pic:spPr>
                          <a:xfrm>
                            <a:off x="0" y="0"/>
                            <a:ext cx="4297680" cy="2194560"/>
                          </a:xfrm>
                          <a:prstGeom prst="rect">
                            <a:avLst/>
                          </a:prstGeom>
                        </pic:spPr>
                      </pic:pic>
                    </a:graphicData>
                  </a:graphic>
                  <wp14:sizeRelH relativeFrom="margin">
                    <wp14:pctWidth>0</wp14:pctWidth>
                  </wp14:sizeRelH>
                  <wp14:sizeRelV relativeFrom="margin">
                    <wp14:pctHeight>0</wp14:pctHeight>
                  </wp14:sizeRelV>
                </wp:anchor>
              </w:drawing>
            </w:r>
          </w:p>
          <w:p w:rsidR="0083308D" w:rsidRPr="00444D8F" w:rsidRDefault="00DD041F" w:rsidP="009D1756">
            <w:pPr>
              <w:jc w:val="both"/>
              <w:rPr>
                <w:lang w:val="en-GB"/>
              </w:rPr>
            </w:pPr>
            <w:r w:rsidRPr="00444D8F">
              <w:rPr>
                <w:lang w:val="en-GB"/>
              </w:rPr>
              <w:t>a</w:t>
            </w:r>
            <w:r w:rsidR="0083308D" w:rsidRPr="00444D8F">
              <w:rPr>
                <w:lang w:val="en-GB"/>
              </w:rPr>
              <w:t>) Dimensiunea sectorului public se măsoară ca totalul cheltuielilor publice generale, ca pondere din PIB.</w:t>
            </w:r>
          </w:p>
          <w:p w:rsidR="0083308D" w:rsidRPr="00444D8F" w:rsidRDefault="0083308D" w:rsidP="009D1756">
            <w:pPr>
              <w:jc w:val="both"/>
              <w:rPr>
                <w:lang w:val="en-GB"/>
              </w:rPr>
            </w:pPr>
            <w:r w:rsidRPr="00444D8F">
              <w:t xml:space="preserve">b)  Cota de cheltuieli ajustate măsoară </w:t>
            </w:r>
            <w:r w:rsidRPr="00444D8F">
              <w:rPr>
                <w:lang w:val="en-GB"/>
              </w:rPr>
              <w:t xml:space="preserve">transferurile nete de impozite pentru a face numerele comparabile, deoarece transferurile urmează un principiu brut (venitul impozabil) </w:t>
            </w:r>
            <w:r w:rsidR="00C33CE5" w:rsidRPr="00444D8F">
              <w:rPr>
                <w:lang w:val="en-GB"/>
              </w:rPr>
              <w:t>ş</w:t>
            </w:r>
            <w:r w:rsidRPr="00444D8F">
              <w:rPr>
                <w:lang w:val="en-GB"/>
              </w:rPr>
              <w:t xml:space="preserve">i un principiu net (venituri neimpozabile) între </w:t>
            </w:r>
            <w:r w:rsidR="005837C9" w:rsidRPr="00444D8F">
              <w:rPr>
                <w:lang w:val="en-GB"/>
              </w:rPr>
              <w:t>ţ</w:t>
            </w:r>
            <w:r w:rsidRPr="00444D8F">
              <w:rPr>
                <w:lang w:val="en-GB"/>
              </w:rPr>
              <w:t>ări, a se vedea Caseta 4.1. Datele sunt aplicabile pentru 2011 pentru a permite această ajustare.</w:t>
            </w:r>
          </w:p>
          <w:p w:rsidR="00DD041F" w:rsidRPr="00444D8F" w:rsidRDefault="0083308D" w:rsidP="009D1756">
            <w:pPr>
              <w:jc w:val="both"/>
              <w:rPr>
                <w:lang w:val="ro-RO"/>
              </w:rPr>
            </w:pPr>
            <w:r w:rsidRPr="00444D8F">
              <w:rPr>
                <w:lang w:val="en-GB"/>
              </w:rPr>
              <w:t xml:space="preserve">Sursa: calcule OECD </w:t>
            </w:r>
            <w:r w:rsidRPr="00444D8F">
              <w:t>ş</w:t>
            </w:r>
            <w:r w:rsidRPr="00444D8F">
              <w:rPr>
                <w:lang w:val="ro-RO"/>
              </w:rPr>
              <w:t>i EEAG</w:t>
            </w:r>
          </w:p>
        </w:tc>
      </w:tr>
    </w:tbl>
    <w:p w:rsidR="005852B4" w:rsidRPr="00444D8F" w:rsidRDefault="005852B4" w:rsidP="009D1756">
      <w:pPr>
        <w:jc w:val="both"/>
      </w:pPr>
      <w:r w:rsidRPr="00444D8F">
        <w:t>Dimensiunea sectorului public danez reflectă în mod clar priorită</w:t>
      </w:r>
      <w:r w:rsidR="00576D4A" w:rsidRPr="00444D8F">
        <w:t>ţ</w:t>
      </w:r>
      <w:r w:rsidRPr="00444D8F">
        <w:t xml:space="preserve">ile sale politice. Egalitatea de </w:t>
      </w:r>
      <w:r w:rsidR="00576D4A" w:rsidRPr="00444D8F">
        <w:t>ş</w:t>
      </w:r>
      <w:r w:rsidRPr="00444D8F">
        <w:t xml:space="preserve">anse, eradicarea sărăciei </w:t>
      </w:r>
      <w:r w:rsidR="00576D4A" w:rsidRPr="00444D8F">
        <w:t>ş</w:t>
      </w:r>
      <w:r w:rsidRPr="00444D8F">
        <w:t>i inegalit</w:t>
      </w:r>
      <w:r w:rsidR="008234A3" w:rsidRPr="00444D8F">
        <w:t>atea sc</w:t>
      </w:r>
      <w:r w:rsidR="008234A3" w:rsidRPr="00444D8F">
        <w:rPr>
          <w:lang w:val="ro-RO"/>
        </w:rPr>
        <w:t xml:space="preserve">ăzută a veniturilor </w:t>
      </w:r>
      <w:r w:rsidRPr="00444D8F">
        <w:t>sunt obiective politic</w:t>
      </w:r>
      <w:r w:rsidR="008234A3" w:rsidRPr="00444D8F">
        <w:t>e</w:t>
      </w:r>
      <w:r w:rsidRPr="00444D8F">
        <w:t xml:space="preserve"> importante. Dreptul universal la educa</w:t>
      </w:r>
      <w:r w:rsidR="00576D4A" w:rsidRPr="00444D8F">
        <w:t>ţ</w:t>
      </w:r>
      <w:r w:rsidRPr="00444D8F">
        <w:t>ie, sănătate</w:t>
      </w:r>
      <w:r w:rsidR="00380A2F" w:rsidRPr="00444D8F">
        <w:t>a</w:t>
      </w:r>
      <w:r w:rsidRPr="00444D8F">
        <w:t xml:space="preserve"> </w:t>
      </w:r>
      <w:r w:rsidR="00576D4A" w:rsidRPr="00444D8F">
        <w:t>ş</w:t>
      </w:r>
      <w:r w:rsidRPr="00444D8F">
        <w:t>i protec</w:t>
      </w:r>
      <w:r w:rsidR="00576D4A" w:rsidRPr="00444D8F">
        <w:t>ţ</w:t>
      </w:r>
      <w:r w:rsidRPr="00444D8F">
        <w:t>i</w:t>
      </w:r>
      <w:r w:rsidR="00380A2F" w:rsidRPr="00444D8F">
        <w:t>a</w:t>
      </w:r>
      <w:r w:rsidRPr="00444D8F">
        <w:t xml:space="preserve"> socială sunt caracteristici </w:t>
      </w:r>
      <w:r w:rsidR="00380A2F" w:rsidRPr="00444D8F">
        <w:t xml:space="preserve">definitorii ale </w:t>
      </w:r>
      <w:r w:rsidRPr="00444D8F">
        <w:t xml:space="preserve">modelului </w:t>
      </w:r>
      <w:r w:rsidR="00380A2F" w:rsidRPr="00444D8F">
        <w:t xml:space="preserve">social </w:t>
      </w:r>
      <w:r w:rsidR="00C80F21" w:rsidRPr="00444D8F">
        <w:t>danez/</w:t>
      </w:r>
      <w:r w:rsidRPr="00444D8F">
        <w:t>nordic. În acela</w:t>
      </w:r>
      <w:r w:rsidR="00576D4A" w:rsidRPr="00444D8F">
        <w:t>ş</w:t>
      </w:r>
      <w:r w:rsidRPr="00444D8F">
        <w:t>i timp, Danemarca î</w:t>
      </w:r>
      <w:r w:rsidR="00576D4A" w:rsidRPr="00444D8F">
        <w:t>ş</w:t>
      </w:r>
      <w:r w:rsidRPr="00444D8F">
        <w:t xml:space="preserve">i propune să fie una dintre </w:t>
      </w:r>
      <w:r w:rsidR="00576D4A" w:rsidRPr="00444D8F">
        <w:t>ţ</w:t>
      </w:r>
      <w:r w:rsidRPr="00444D8F">
        <w:t>ările cele mai bogate din lume.</w:t>
      </w:r>
    </w:p>
    <w:p w:rsidR="005852B4" w:rsidRPr="00444D8F" w:rsidRDefault="005852B4" w:rsidP="009D1756">
      <w:pPr>
        <w:jc w:val="both"/>
      </w:pPr>
      <w:r w:rsidRPr="00444D8F">
        <w:lastRenderedPageBreak/>
        <w:t>Lec</w:t>
      </w:r>
      <w:r w:rsidR="00576D4A" w:rsidRPr="00444D8F">
        <w:t>ţ</w:t>
      </w:r>
      <w:r w:rsidRPr="00444D8F">
        <w:t xml:space="preserve">ia daneză nu </w:t>
      </w:r>
      <w:r w:rsidR="00C80F21" w:rsidRPr="00444D8F">
        <w:t xml:space="preserve">vine să </w:t>
      </w:r>
      <w:r w:rsidR="00B75E19" w:rsidRPr="00444D8F">
        <w:t>demonstrez</w:t>
      </w:r>
      <w:r w:rsidR="00C80F21" w:rsidRPr="00444D8F">
        <w:t>e</w:t>
      </w:r>
      <w:r w:rsidR="00B75E19" w:rsidRPr="00444D8F">
        <w:t xml:space="preserve"> </w:t>
      </w:r>
      <w:r w:rsidR="00380A2F" w:rsidRPr="00444D8F">
        <w:t xml:space="preserve">că </w:t>
      </w:r>
      <w:r w:rsidRPr="00444D8F">
        <w:t xml:space="preserve">stimulentele nu contează sau că nu există compromisuri. </w:t>
      </w:r>
      <w:r w:rsidR="00380A2F" w:rsidRPr="00444D8F">
        <w:t>A</w:t>
      </w:r>
      <w:r w:rsidRPr="00444D8F">
        <w:t>nalize</w:t>
      </w:r>
      <w:r w:rsidR="00380A2F" w:rsidRPr="00444D8F">
        <w:t xml:space="preserve">le micro privind </w:t>
      </w:r>
      <w:r w:rsidRPr="00444D8F">
        <w:t>efectel</w:t>
      </w:r>
      <w:r w:rsidR="00380A2F" w:rsidRPr="00444D8F">
        <w:t>e</w:t>
      </w:r>
      <w:r w:rsidRPr="00444D8F">
        <w:t xml:space="preserve"> de sti</w:t>
      </w:r>
      <w:r w:rsidR="00380A2F" w:rsidRPr="00444D8F">
        <w:t>mulare</w:t>
      </w:r>
      <w:r w:rsidR="00095519" w:rsidRPr="00444D8F">
        <w:t xml:space="preserve"> fiscal</w:t>
      </w:r>
      <w:r w:rsidR="00B84881" w:rsidRPr="00444D8F">
        <w:t>ă</w:t>
      </w:r>
      <w:r w:rsidR="00483C45" w:rsidRPr="00444D8F">
        <w:t>/</w:t>
      </w:r>
      <w:r w:rsidR="00095519" w:rsidRPr="00444D8F">
        <w:t>impozitel</w:t>
      </w:r>
      <w:r w:rsidR="00C80F21" w:rsidRPr="00444D8F">
        <w:t>e</w:t>
      </w:r>
      <w:r w:rsidRPr="00444D8F">
        <w:t xml:space="preserve"> sau ajutoarel</w:t>
      </w:r>
      <w:r w:rsidR="00C80F21" w:rsidRPr="00444D8F">
        <w:t>e</w:t>
      </w:r>
      <w:r w:rsidRPr="00444D8F">
        <w:t xml:space="preserve"> de </w:t>
      </w:r>
      <w:r w:rsidR="00576D4A" w:rsidRPr="00444D8F">
        <w:t>ş</w:t>
      </w:r>
      <w:r w:rsidRPr="00444D8F">
        <w:t>omaj etc., nu pun Danemarca într-</w:t>
      </w:r>
      <w:r w:rsidR="00095519" w:rsidRPr="00444D8F">
        <w:t>o</w:t>
      </w:r>
      <w:r w:rsidRPr="00444D8F">
        <w:t xml:space="preserve"> </w:t>
      </w:r>
      <w:r w:rsidR="00C80F21" w:rsidRPr="00444D8F">
        <w:rPr>
          <w:lang w:val="ro-RO"/>
        </w:rPr>
        <w:t xml:space="preserve">poziţie diferită. </w:t>
      </w:r>
      <w:r w:rsidR="0064255B" w:rsidRPr="00444D8F">
        <w:rPr>
          <w:rStyle w:val="FootnoteReference"/>
          <w:lang w:val="ro-RO"/>
        </w:rPr>
        <w:footnoteReference w:id="3"/>
      </w:r>
      <w:r w:rsidR="00C80F21" w:rsidRPr="00444D8F">
        <w:t xml:space="preserve"> Cu toate acestea </w:t>
      </w:r>
      <w:r w:rsidR="00095519" w:rsidRPr="00444D8F">
        <w:t>Danemarca</w:t>
      </w:r>
      <w:r w:rsidR="00C80F21" w:rsidRPr="00444D8F">
        <w:t xml:space="preserve"> iese în evidenţă</w:t>
      </w:r>
      <w:r w:rsidRPr="00444D8F">
        <w:t xml:space="preserve"> </w:t>
      </w:r>
      <w:r w:rsidR="00542150" w:rsidRPr="00444D8F">
        <w:t>prin ceea ce s-</w:t>
      </w:r>
      <w:r w:rsidRPr="00444D8F">
        <w:t xml:space="preserve">a făcut pentru a aplatiza </w:t>
      </w:r>
      <w:r w:rsidR="00D36D8B" w:rsidRPr="00444D8F">
        <w:t>compromisul</w:t>
      </w:r>
      <w:r w:rsidRPr="00444D8F">
        <w:t xml:space="preserve"> sau a contracara efectele </w:t>
      </w:r>
      <w:r w:rsidR="00B84881" w:rsidRPr="00444D8F">
        <w:t>impozitelor</w:t>
      </w:r>
      <w:r w:rsidR="00542150" w:rsidRPr="00444D8F">
        <w:t xml:space="preserve"> ridicate</w:t>
      </w:r>
      <w:r w:rsidRPr="00444D8F">
        <w:t xml:space="preserve"> prin </w:t>
      </w:r>
      <w:r w:rsidR="00EB60EC" w:rsidRPr="00444D8F">
        <w:t xml:space="preserve">pachetele de </w:t>
      </w:r>
      <w:r w:rsidRPr="00444D8F">
        <w:t>politici.</w:t>
      </w:r>
    </w:p>
    <w:p w:rsidR="00EB60EC" w:rsidRPr="00444D8F" w:rsidRDefault="00D36D8B" w:rsidP="009D1756">
      <w:pPr>
        <w:jc w:val="both"/>
        <w:rPr>
          <w:b/>
          <w:vertAlign w:val="superscript"/>
        </w:rPr>
      </w:pPr>
      <w:r w:rsidRPr="00444D8F">
        <w:t xml:space="preserve">În timp ce </w:t>
      </w:r>
      <w:r w:rsidR="005852B4" w:rsidRPr="00444D8F">
        <w:t xml:space="preserve">există o povară grea </w:t>
      </w:r>
      <w:r w:rsidRPr="00444D8F">
        <w:t xml:space="preserve">asupra </w:t>
      </w:r>
      <w:r w:rsidR="005852B4" w:rsidRPr="00444D8F">
        <w:t>sectorul</w:t>
      </w:r>
      <w:r w:rsidRPr="00444D8F">
        <w:t>ui</w:t>
      </w:r>
      <w:r w:rsidR="005852B4" w:rsidRPr="00444D8F">
        <w:t xml:space="preserve"> public </w:t>
      </w:r>
      <w:r w:rsidRPr="00444D8F">
        <w:t xml:space="preserve">larg </w:t>
      </w:r>
      <w:r w:rsidR="005852B4" w:rsidRPr="00444D8F">
        <w:t xml:space="preserve">din Danemarca, </w:t>
      </w:r>
      <w:r w:rsidR="00C80F21" w:rsidRPr="00444D8F">
        <w:t xml:space="preserve">se trece deseori cu </w:t>
      </w:r>
      <w:r w:rsidR="005852B4" w:rsidRPr="00444D8F">
        <w:t>vederea faptul că sectorul privat este printre cele mai liberale din zona OCDE. Pie</w:t>
      </w:r>
      <w:r w:rsidR="00576D4A" w:rsidRPr="00444D8F">
        <w:t>ţ</w:t>
      </w:r>
      <w:r w:rsidR="005852B4" w:rsidRPr="00444D8F">
        <w:t xml:space="preserve">ele pot fi distorsionate nu numai prin </w:t>
      </w:r>
      <w:r w:rsidR="00B84881" w:rsidRPr="00444D8F">
        <w:t>impozite</w:t>
      </w:r>
      <w:r w:rsidR="005852B4" w:rsidRPr="00444D8F">
        <w:t xml:space="preserve">, ci </w:t>
      </w:r>
      <w:r w:rsidR="00576D4A" w:rsidRPr="00444D8F">
        <w:t>ş</w:t>
      </w:r>
      <w:r w:rsidR="005852B4" w:rsidRPr="00444D8F">
        <w:t xml:space="preserve">i </w:t>
      </w:r>
      <w:r w:rsidR="00B84881" w:rsidRPr="00444D8F">
        <w:t>prin</w:t>
      </w:r>
      <w:r w:rsidR="00140825" w:rsidRPr="00444D8F">
        <w:t xml:space="preserve"> norme şi reglementări economice, lipsa concurenţei etc. Prin urmare, pentru comparaţii internaţionale, ar trebui luate în considerare toate "distorsiunile" po</w:t>
      </w:r>
      <w:r w:rsidR="009F3080" w:rsidRPr="00444D8F">
        <w:t>sibile.</w:t>
      </w:r>
      <w:r w:rsidR="00140825" w:rsidRPr="00444D8F">
        <w:t xml:space="preserve"> Pentru a menţiona doar câţiva indicatori în sprijinul acest</w:t>
      </w:r>
      <w:r w:rsidR="009F3080" w:rsidRPr="00444D8F">
        <w:t>ei idei</w:t>
      </w:r>
      <w:r w:rsidR="00140825" w:rsidRPr="00444D8F">
        <w:t xml:space="preserve">, indicele OCDE </w:t>
      </w:r>
      <w:r w:rsidR="00C467F5" w:rsidRPr="00444D8F">
        <w:t>privind reglementare</w:t>
      </w:r>
      <w:r w:rsidR="00140825" w:rsidRPr="00444D8F">
        <w:t>a pieţei produse</w:t>
      </w:r>
      <w:r w:rsidR="00C467F5" w:rsidRPr="00444D8F">
        <w:t>lor</w:t>
      </w:r>
      <w:r w:rsidR="00140825" w:rsidRPr="00444D8F">
        <w:t xml:space="preserve"> pentru anul 2013 situează Danemarca ca având al cincilea cel mai scăzut nivel </w:t>
      </w:r>
      <w:r w:rsidR="00EB60EC" w:rsidRPr="00444D8F">
        <w:t xml:space="preserve">privind reglementările pe </w:t>
      </w:r>
      <w:r w:rsidR="00140825" w:rsidRPr="00444D8F">
        <w:t>pi</w:t>
      </w:r>
      <w:r w:rsidR="00EB60EC" w:rsidRPr="00444D8F">
        <w:t>a</w:t>
      </w:r>
      <w:r w:rsidR="00140825" w:rsidRPr="00444D8F">
        <w:t>ţ</w:t>
      </w:r>
      <w:r w:rsidR="00EB60EC" w:rsidRPr="00444D8F">
        <w:t>a</w:t>
      </w:r>
      <w:r w:rsidR="00140825" w:rsidRPr="00444D8F">
        <w:t xml:space="preserve"> produselor (aproape de nivelul din SUA). </w:t>
      </w:r>
      <w:r w:rsidR="0064255B" w:rsidRPr="00444D8F">
        <w:rPr>
          <w:rStyle w:val="FootnoteReference"/>
        </w:rPr>
        <w:footnoteReference w:id="4"/>
      </w:r>
      <w:r w:rsidR="00140825" w:rsidRPr="00444D8F">
        <w:t xml:space="preserve">Banca Mondială clasează Danemarca pe locul patru (cel mai mare din Europa, deasupra SUA), în ediţia 2015 </w:t>
      </w:r>
      <w:r w:rsidR="00C467F5" w:rsidRPr="00444D8F">
        <w:t xml:space="preserve">Ghidul </w:t>
      </w:r>
      <w:r w:rsidR="00140825" w:rsidRPr="00444D8F">
        <w:rPr>
          <w:i/>
        </w:rPr>
        <w:t>“Ease of Doing Business Index”</w:t>
      </w:r>
      <w:r w:rsidR="00140825" w:rsidRPr="00444D8F">
        <w:t xml:space="preserve"> </w:t>
      </w:r>
      <w:r w:rsidR="00140825" w:rsidRPr="00444D8F">
        <w:rPr>
          <w:rFonts w:ascii="Arial" w:hAnsi="Arial" w:cs="Arial"/>
        </w:rPr>
        <w:t xml:space="preserve">/ </w:t>
      </w:r>
      <w:r w:rsidR="00140825" w:rsidRPr="00444D8F">
        <w:rPr>
          <w:rFonts w:ascii="Arial" w:hAnsi="Arial" w:cs="Arial"/>
          <w:i/>
        </w:rPr>
        <w:t>“</w:t>
      </w:r>
      <w:r w:rsidR="00140825" w:rsidRPr="00444D8F">
        <w:rPr>
          <w:rFonts w:cstheme="minorHAnsi"/>
          <w:bCs/>
          <w:i/>
          <w:bdr w:val="none" w:sz="0" w:space="0" w:color="auto" w:frame="1"/>
          <w:shd w:val="clear" w:color="auto" w:fill="FFFFFF"/>
        </w:rPr>
        <w:t>Uşurinţa de a face</w:t>
      </w:r>
      <w:r w:rsidR="00140825" w:rsidRPr="00444D8F">
        <w:rPr>
          <w:rStyle w:val="apple-converted-space"/>
          <w:rFonts w:cstheme="minorHAnsi"/>
          <w:i/>
          <w:shd w:val="clear" w:color="auto" w:fill="FFFFFF"/>
        </w:rPr>
        <w:t> </w:t>
      </w:r>
      <w:r w:rsidR="00140825" w:rsidRPr="00444D8F">
        <w:rPr>
          <w:rFonts w:cstheme="minorHAnsi"/>
          <w:i/>
          <w:shd w:val="clear" w:color="auto" w:fill="FFFFFF"/>
        </w:rPr>
        <w:t>afaceri”</w:t>
      </w:r>
      <w:r w:rsidR="00140825" w:rsidRPr="00444D8F">
        <w:rPr>
          <w:rStyle w:val="apple-converted-space"/>
          <w:rFonts w:ascii="Arial" w:hAnsi="Arial" w:cs="Arial"/>
          <w:shd w:val="clear" w:color="auto" w:fill="FFFFFF"/>
        </w:rPr>
        <w:t> </w:t>
      </w:r>
      <w:r w:rsidR="00140825" w:rsidRPr="00444D8F">
        <w:t>care cuprinde 189 de ţări</w:t>
      </w:r>
      <w:r w:rsidR="00502B85" w:rsidRPr="00444D8F">
        <w:t>,</w:t>
      </w:r>
      <w:r w:rsidR="0064255B" w:rsidRPr="00444D8F">
        <w:rPr>
          <w:rStyle w:val="FootnoteReference"/>
        </w:rPr>
        <w:footnoteReference w:id="5"/>
      </w:r>
      <w:r w:rsidR="00140825" w:rsidRPr="00444D8F">
        <w:t xml:space="preserve"> </w:t>
      </w:r>
      <w:r w:rsidR="00C467F5" w:rsidRPr="00444D8F">
        <w:t xml:space="preserve">iar </w:t>
      </w:r>
      <w:r w:rsidR="00140825" w:rsidRPr="00444D8F">
        <w:rPr>
          <w:i/>
        </w:rPr>
        <w:t>World Economic Forum Global Competitiveness Index</w:t>
      </w:r>
      <w:r w:rsidR="00140825" w:rsidRPr="00444D8F">
        <w:t xml:space="preserve"> / “Indicele Competitivităţii Globale a Forumului Economic Mondial</w:t>
      </w:r>
      <w:r w:rsidR="00B75E19" w:rsidRPr="00444D8F">
        <w:t>“pentru</w:t>
      </w:r>
      <w:r w:rsidR="00140825" w:rsidRPr="00444D8F">
        <w:t xml:space="preserve"> 2014-15 a clasat Danemarca pe locul al 13-lea din 144 de ţări. </w:t>
      </w:r>
      <w:r w:rsidR="00502B85" w:rsidRPr="00444D8F">
        <w:rPr>
          <w:rStyle w:val="FootnoteReference"/>
        </w:rPr>
        <w:footnoteReference w:id="6"/>
      </w:r>
    </w:p>
    <w:p w:rsidR="00DE0D91" w:rsidRPr="00444D8F" w:rsidRDefault="00DE0D91" w:rsidP="00B75E19">
      <w:pPr>
        <w:shd w:val="clear" w:color="auto" w:fill="F2F2F2" w:themeFill="background1" w:themeFillShade="F2"/>
        <w:ind w:left="540" w:right="496"/>
        <w:jc w:val="both"/>
        <w:rPr>
          <w:b/>
        </w:rPr>
      </w:pPr>
      <w:r w:rsidRPr="00444D8F">
        <w:rPr>
          <w:b/>
        </w:rPr>
        <w:t>Caseta 4.1 Aspecte privind măsurarea</w:t>
      </w:r>
    </w:p>
    <w:p w:rsidR="00DE0D91" w:rsidRPr="00444D8F" w:rsidRDefault="00DE0D91" w:rsidP="00B75E19">
      <w:pPr>
        <w:shd w:val="clear" w:color="auto" w:fill="F2F2F2" w:themeFill="background1" w:themeFillShade="F2"/>
        <w:ind w:left="540" w:right="496"/>
        <w:jc w:val="both"/>
      </w:pPr>
      <w:r w:rsidRPr="00444D8F">
        <w:t>Comparaţiile sectoarelor publice din diferite ţări utilizează în mod obişnuit măsuri brute privind cheltuielile sau veniturile ca pondere din PIB, cf. Figura 4.1. Această abordare este problematică, deoarece neglijează diferenţele instituţionale importante; vezi Adema şi colab. (2011). Anumite ţări respectă principiu</w:t>
      </w:r>
      <w:r w:rsidR="009F3080" w:rsidRPr="00444D8F">
        <w:t>l</w:t>
      </w:r>
      <w:r w:rsidRPr="00444D8F">
        <w:t xml:space="preserve"> brut conform căruia transferurile sociale, de regulă, sunt venituri impozabile, în timp ce altele urmează principiu</w:t>
      </w:r>
      <w:r w:rsidR="009F3080" w:rsidRPr="00444D8F">
        <w:t>l</w:t>
      </w:r>
      <w:r w:rsidRPr="00444D8F">
        <w:t xml:space="preserve"> net, prin care transferurile nu sunt venituri impozabile. </w:t>
      </w:r>
    </w:p>
    <w:p w:rsidR="00DE0D91" w:rsidRPr="00444D8F" w:rsidRDefault="00DE0D91" w:rsidP="00B75E19">
      <w:pPr>
        <w:shd w:val="clear" w:color="auto" w:fill="F2F2F2" w:themeFill="background1" w:themeFillShade="F2"/>
        <w:ind w:left="540" w:right="496"/>
        <w:jc w:val="both"/>
      </w:pPr>
      <w:r w:rsidRPr="00444D8F">
        <w:t xml:space="preserve">Evident, cheltuielile şi veniturile fiscale înregistrate sunt mai mari, </w:t>
      </w:r>
      <w:r w:rsidR="009F3080" w:rsidRPr="00444D8F">
        <w:t xml:space="preserve">conform </w:t>
      </w:r>
      <w:r w:rsidRPr="00444D8F">
        <w:t>principiul</w:t>
      </w:r>
      <w:r w:rsidR="009F3080" w:rsidRPr="00444D8F">
        <w:t>ui</w:t>
      </w:r>
      <w:r w:rsidRPr="00444D8F">
        <w:t xml:space="preserve"> brut </w:t>
      </w:r>
      <w:r w:rsidR="009F3080" w:rsidRPr="00444D8F">
        <w:t xml:space="preserve">comparativ cu </w:t>
      </w:r>
      <w:r w:rsidRPr="00444D8F">
        <w:t>aceleaşi transferuri nete şi deci cheltuieli nete. Aceste diferenţe trebuie luate în considerare în realizarea comparaţiilor între ţări.</w:t>
      </w:r>
    </w:p>
    <w:p w:rsidR="00DE0D91" w:rsidRPr="00444D8F" w:rsidRDefault="00DE0D91" w:rsidP="00B75E19">
      <w:pPr>
        <w:shd w:val="clear" w:color="auto" w:fill="F2F2F2" w:themeFill="background1" w:themeFillShade="F2"/>
        <w:ind w:left="540" w:right="496"/>
        <w:jc w:val="both"/>
      </w:pPr>
      <w:r w:rsidRPr="00444D8F">
        <w:t xml:space="preserve">OCDE </w:t>
      </w:r>
      <w:r w:rsidR="009F3080" w:rsidRPr="00444D8F">
        <w:t xml:space="preserve">realizează </w:t>
      </w:r>
      <w:r w:rsidRPr="00444D8F">
        <w:t xml:space="preserve">statistici pentru cheltuielile publice sociale nete şi brute. În anul 2011 cheltuielile publice sociale brute ca procent din PIB au fost de 30, 1 % în Danemarca, 27, 2 % în Suedia, 25, 5 % în Germania şi 22, 7 % în Marea Britanie. Luând în considerare cheltuielile nete diferenţele se restrâng considerabil. Cota-parte a fost de 23, 4 % în Danemarca, 22, 5 % în Suedia, 23, 7 % în Germania şi 21, 4 % în Marea Britanie. Pe scurt, metoda obişnuită de măsurare exagerează diferenţele privind reglementările de asistenţă socială deci şi dimensiunea sectorului public. Pentru a ilustra implicaţiile dimensiunii sectorului public, </w:t>
      </w:r>
      <w:r w:rsidRPr="00444D8F">
        <w:lastRenderedPageBreak/>
        <w:t xml:space="preserve">Figura 4.1 corectează cota brută a cheltuielilor cu diferenţa dintre cheltuielile sociale brute şi cele nete. Dar şi </w:t>
      </w:r>
      <w:r w:rsidR="009F3080" w:rsidRPr="00444D8F">
        <w:t>evalu</w:t>
      </w:r>
      <w:r w:rsidRPr="00444D8F">
        <w:t>at astfel sectorul public din Danemarca este mare, dar nu cu mult mai mare decât în ​​multe alte ţări (şi nu cel mai mare din cadrul OCDE).</w:t>
      </w:r>
    </w:p>
    <w:p w:rsidR="00DE0D91" w:rsidRPr="00444D8F" w:rsidRDefault="00DE0D91" w:rsidP="00B75E19">
      <w:pPr>
        <w:shd w:val="clear" w:color="auto" w:fill="F2F2F2" w:themeFill="background1" w:themeFillShade="F2"/>
        <w:ind w:left="540" w:right="496"/>
        <w:jc w:val="both"/>
      </w:pPr>
      <w:r w:rsidRPr="00444D8F">
        <w:t xml:space="preserve">Sectorul public poate influenţa </w:t>
      </w:r>
      <w:r w:rsidR="009F3080" w:rsidRPr="00444D8F">
        <w:t xml:space="preserve">în alte feluri </w:t>
      </w:r>
      <w:r w:rsidRPr="00444D8F">
        <w:t xml:space="preserve">comparaţiile internaţionale. PIB-ul este o măsură a valorii adăugate create prin activităţile de piaţă. Deci, în cazul în care activităţi cum ar fi </w:t>
      </w:r>
      <w:r w:rsidRPr="00444D8F">
        <w:rPr>
          <w:i/>
        </w:rPr>
        <w:t>îngrijirea zilnică / ex.creşa</w:t>
      </w:r>
      <w:r w:rsidRPr="00444D8F">
        <w:t xml:space="preserve"> sunt deplasate din sfera gospodăriei către sectorul public, PIB-ul înregistrat va creşte. Acest lucru implică faptul că valorile PIB pentru ţări ca Danemarca, unde  sectorul public a preluat într-o măsură mai mare activităţile de îngrijire şi alte servicii sociale, pot avea un nivel </w:t>
      </w:r>
      <w:r w:rsidR="000460E5" w:rsidRPr="00444D8F">
        <w:t xml:space="preserve">mai ridicat </w:t>
      </w:r>
      <w:r w:rsidRPr="00444D8F">
        <w:t>al PIB-ului  înregistrat; vezi Sinn (2006). Prin corectarea valorilor PIB pentru activităţi publice cum ar fi îngrijirea bătrânilor, persoanelor aflate în incapacitate şi a copiilor, PIB-ul scade cu 5-6 procente pentru Danemarca şi Suedia, dar cu doar 0,8 la sută pentru Italia, de exemplu; vezi Andersen (2015a). Deşi clasamentul ţărilor nu se modifică semnificativ prin această corecţie, apar totuşi diferenţe esenţiale. Aceasta conduce la percepţia generală că PIB-ul este o măsură i</w:t>
      </w:r>
      <w:r w:rsidR="000460E5" w:rsidRPr="00444D8F">
        <w:t>nexactă</w:t>
      </w:r>
      <w:r w:rsidRPr="00444D8F">
        <w:t xml:space="preserve"> a standardelor de viaţă şi de bunăstare şi că, există </w:t>
      </w:r>
      <w:r w:rsidR="000460E5" w:rsidRPr="00444D8F">
        <w:t xml:space="preserve">totodată </w:t>
      </w:r>
      <w:r w:rsidRPr="00444D8F">
        <w:t xml:space="preserve">o serie de diferenţe instituţionale între ţări, care influenţează nivelurile de </w:t>
      </w:r>
      <w:r w:rsidR="000460E5" w:rsidRPr="00444D8F">
        <w:t xml:space="preserve">PIB-ului înregistrat. </w:t>
      </w:r>
      <w:r w:rsidRPr="00444D8F">
        <w:t>De exemplu, Gordon (2006) susţine că, în timp ce decalajul PIB pe cap de locuitor între SUA şi Europa este de aproximativ 30%, acest decalaj se reduce la 17%, atunci când se ia în calcul consumul de energie în exces, populaţia din închisori, dispersia metropolitană şi un sistem medical de îngrijire ineficient. Pentru o discuţie generală privind valorile PIB-ului, a se vedea Stiglitz şi colab. (2009).</w:t>
      </w:r>
    </w:p>
    <w:p w:rsidR="00DE0D91" w:rsidRPr="00444D8F" w:rsidRDefault="00DE0D91" w:rsidP="00B75E19">
      <w:pPr>
        <w:shd w:val="clear" w:color="auto" w:fill="F2F2F2" w:themeFill="background1" w:themeFillShade="F2"/>
        <w:ind w:left="540" w:right="496"/>
        <w:jc w:val="both"/>
      </w:pPr>
      <w:r w:rsidRPr="00444D8F">
        <w:t>Există, de asemenea, motive pentru care PIB-ul poate fi subestimat, mai ales în ţările cu un sector public mare. În conformitate cu convenţiile de contabilitate naţionale, tradiţionale, valoarea de ieşire a activităţilor publice este evaluată din componenta de intrare (de cost), deci, creşterea productivităţii este, prin definiţie, zero. De-a lungul timpului acest lucru poate conduce la o subestimare sistematică a PIB-ului. Pentru a rezolva această problemă, Comisia Europeană a hotărât că</w:t>
      </w:r>
      <w:r w:rsidR="000460E5" w:rsidRPr="00444D8F">
        <w:t>,</w:t>
      </w:r>
      <w:r w:rsidRPr="00444D8F">
        <w:t xml:space="preserve"> </w:t>
      </w:r>
      <w:r w:rsidR="000460E5" w:rsidRPr="00444D8F">
        <w:t xml:space="preserve">pentru a evalua producţia publică în contabilităţile naţionale, </w:t>
      </w:r>
      <w:r w:rsidRPr="00444D8F">
        <w:t xml:space="preserve">trebuie utilizaţi indicatorii de ieşire. Prin aplicarea acestei </w:t>
      </w:r>
      <w:r w:rsidR="000460E5" w:rsidRPr="00444D8F">
        <w:t xml:space="preserve">metode </w:t>
      </w:r>
      <w:r w:rsidRPr="00444D8F">
        <w:t xml:space="preserve">în perioada 2005-12, Statistica din Danemarca (2014) anunţă </w:t>
      </w:r>
      <w:r w:rsidR="000460E5" w:rsidRPr="00444D8F">
        <w:t xml:space="preserve">o </w:t>
      </w:r>
      <w:r w:rsidRPr="00444D8F">
        <w:t>creştere medie anuală a productivităţii în sectorul public de 0, 8 la sută, nivelul PIB-ului pe baza metodei tradiţionale</w:t>
      </w:r>
      <w:r w:rsidR="000460E5" w:rsidRPr="00444D8F">
        <w:t xml:space="preserve"> fiind</w:t>
      </w:r>
      <w:r w:rsidRPr="00444D8F">
        <w:t xml:space="preserve">, deci, o subevaluare. </w:t>
      </w:r>
    </w:p>
    <w:p w:rsidR="001E7852" w:rsidRPr="00444D8F" w:rsidRDefault="003E6E80" w:rsidP="00BA0FBA">
      <w:pPr>
        <w:spacing w:after="0" w:line="274" w:lineRule="auto"/>
        <w:jc w:val="both"/>
      </w:pPr>
      <w:r w:rsidRPr="00444D8F">
        <w:t xml:space="preserve">Sectorul privat liberal este strâns legat de faptul că Danemarca este o economie mică şi deschisă. Există puţine companii mari, dar un număr mare de întreprinderi mici şi mijlocii, care se confruntă cu concurenţa internaţională pe pieţele de export şi/sau de import. Cota </w:t>
      </w:r>
      <w:r w:rsidR="000460E5" w:rsidRPr="00444D8F">
        <w:t xml:space="preserve">comercială </w:t>
      </w:r>
      <w:r w:rsidRPr="00444D8F">
        <w:t xml:space="preserve">este ridicată (a se vedea figura 4.2), iar </w:t>
      </w:r>
      <w:r w:rsidRPr="00444D8F">
        <w:rPr>
          <w:i/>
        </w:rPr>
        <w:t>KOF Globalization Index (</w:t>
      </w:r>
      <w:r w:rsidRPr="00444D8F">
        <w:t>Indicele de globalizare economic</w:t>
      </w:r>
      <w:r w:rsidRPr="00444D8F">
        <w:rPr>
          <w:lang w:val="ro-RO"/>
        </w:rPr>
        <w:t xml:space="preserve">ă KOF) </w:t>
      </w:r>
      <w:r w:rsidRPr="00444D8F">
        <w:t>clasează Danemarca pe locul şapte din 204 ţări.</w:t>
      </w:r>
      <w:r w:rsidR="00502B85" w:rsidRPr="00444D8F">
        <w:rPr>
          <w:rStyle w:val="FootnoteReference"/>
          <w:b/>
        </w:rPr>
        <w:footnoteReference w:id="7"/>
      </w:r>
      <w:r w:rsidR="00B75E19" w:rsidRPr="00444D8F">
        <w:rPr>
          <w:b/>
          <w:vertAlign w:val="superscript"/>
        </w:rPr>
        <w:t xml:space="preserve"> </w:t>
      </w:r>
      <w:r w:rsidRPr="00444D8F">
        <w:t xml:space="preserve">Menţinerea competitivităţii a fost, prin urmare, o provocare continuă. Interesant, condiţiile comerciale au urmat un trend ascendent, ceea ce poate reflecta abilitatea de a inova şi de a spori lanţul valorii adăugate (Consiliul Economic Danez, 2014). Contul curent a înregistrat excedente de la sfârşitul anilor 1980. Există o percepţie largă în ceea ce priveşte importanţa </w:t>
      </w:r>
      <w:r w:rsidRPr="00444D8F">
        <w:lastRenderedPageBreak/>
        <w:t>de a rămâne competitiv pentru a susţine niveluri ridicate ale veniturilor şi ocupării forţei de muncă.</w:t>
      </w:r>
      <w:r w:rsidR="00BA0FBA" w:rsidRPr="00444D8F">
        <w:t xml:space="preserve"> </w:t>
      </w:r>
      <w:r w:rsidRPr="00444D8F">
        <w:t>Globalizarea nu este un fenomen nou. Danemarca nu este un exemplu de "politici împotriva pieţelor" – la drept vorbind, este un exemplu de cum trebuie g</w:t>
      </w:r>
      <w:r w:rsidRPr="00444D8F">
        <w:rPr>
          <w:lang w:val="ro-RO"/>
        </w:rPr>
        <w:t>ăsită</w:t>
      </w:r>
      <w:r w:rsidRPr="00444D8F">
        <w:t xml:space="preserve"> o "a treia cale", pentru stabilirea unui echilibru între pieţe şi stat.</w:t>
      </w:r>
      <w:r w:rsidRPr="00444D8F">
        <w:rPr>
          <w:rFonts w:eastAsia="Times New Roman" w:cstheme="minorHAnsi"/>
          <w:vertAlign w:val="superscript"/>
        </w:rPr>
        <w:t xml:space="preserve"> </w:t>
      </w:r>
      <w:r w:rsidRPr="00444D8F">
        <w:t xml:space="preserve">În al doilea rând, nu contează numai dimensiunea, ci şi structura problemelor statului social. Efectele </w:t>
      </w:r>
      <w:r w:rsidR="00BA0FBA" w:rsidRPr="00444D8F">
        <w:t>impozitelor/</w:t>
      </w:r>
      <w:r w:rsidRPr="00444D8F">
        <w:t>fiscale nu pot fi evaluate fără a lua în considerare ceea ce se finanţează.</w:t>
      </w:r>
    </w:p>
    <w:p w:rsidR="003E6E80" w:rsidRPr="00444D8F" w:rsidRDefault="003E6E80" w:rsidP="009D1756">
      <w:pPr>
        <w:spacing w:after="0" w:line="274" w:lineRule="auto"/>
        <w:jc w:val="both"/>
        <w:rPr>
          <w:rFonts w:eastAsia="Times New Roman" w:cstheme="minorHAnsi"/>
          <w:vertAlign w:val="superscript"/>
        </w:rPr>
      </w:pPr>
    </w:p>
    <w:p w:rsidR="003E6E80" w:rsidRPr="00444D8F" w:rsidRDefault="003E6E80" w:rsidP="009D1756">
      <w:pPr>
        <w:jc w:val="both"/>
        <w:rPr>
          <w:b/>
          <w:vertAlign w:val="superscript"/>
        </w:rPr>
      </w:pPr>
    </w:p>
    <w:p w:rsidR="00DE0D91" w:rsidRPr="00444D8F" w:rsidRDefault="00DE0D91" w:rsidP="009D1756">
      <w:pPr>
        <w:spacing w:after="0" w:line="260" w:lineRule="auto"/>
        <w:ind w:right="45"/>
        <w:jc w:val="both"/>
        <w:rPr>
          <w:rFonts w:eastAsia="Times New Roman" w:cstheme="minorHAnsi"/>
        </w:rPr>
      </w:pPr>
    </w:p>
    <w:tbl>
      <w:tblPr>
        <w:tblStyle w:val="TableGrid"/>
        <w:tblpPr w:leftFromText="180" w:rightFromText="180" w:vertAnchor="page" w:horzAnchor="margin" w:tblpY="3438"/>
        <w:tblW w:w="0" w:type="auto"/>
        <w:tblLook w:val="04A0" w:firstRow="1" w:lastRow="0" w:firstColumn="1" w:lastColumn="0" w:noHBand="0" w:noVBand="1"/>
      </w:tblPr>
      <w:tblGrid>
        <w:gridCol w:w="6019"/>
      </w:tblGrid>
      <w:tr w:rsidR="001F4C26" w:rsidRPr="00444D8F" w:rsidTr="006F1D86">
        <w:trPr>
          <w:trHeight w:val="3860"/>
        </w:trPr>
        <w:tc>
          <w:tcPr>
            <w:tcW w:w="6019" w:type="dxa"/>
          </w:tcPr>
          <w:p w:rsidR="00DE0D91" w:rsidRPr="00444D8F" w:rsidRDefault="00DE0D91" w:rsidP="009D1756">
            <w:pPr>
              <w:spacing w:after="200" w:line="276" w:lineRule="auto"/>
              <w:jc w:val="both"/>
              <w:rPr>
                <w:b/>
              </w:rPr>
            </w:pPr>
            <w:r w:rsidRPr="00444D8F">
              <w:rPr>
                <w:b/>
              </w:rPr>
              <w:t xml:space="preserve"> Figura 4.2 Cote comerciale, ţări OCDE</w:t>
            </w:r>
          </w:p>
          <w:p w:rsidR="00DE0D91" w:rsidRPr="00444D8F" w:rsidRDefault="00DE0D91" w:rsidP="009D1756">
            <w:pPr>
              <w:spacing w:after="200" w:line="276" w:lineRule="auto"/>
              <w:jc w:val="both"/>
            </w:pPr>
            <w:r w:rsidRPr="00444D8F">
              <w:rPr>
                <w:noProof/>
              </w:rPr>
              <w:drawing>
                <wp:anchor distT="0" distB="0" distL="114300" distR="114300" simplePos="0" relativeHeight="251658240" behindDoc="0" locked="0" layoutInCell="1" allowOverlap="0" wp14:anchorId="750CC108" wp14:editId="055653A2">
                  <wp:simplePos x="0" y="0"/>
                  <wp:positionH relativeFrom="margin">
                    <wp:posOffset>190238</wp:posOffset>
                  </wp:positionH>
                  <wp:positionV relativeFrom="paragraph">
                    <wp:posOffset>68655</wp:posOffset>
                  </wp:positionV>
                  <wp:extent cx="3438000" cy="29556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535064" name="Picture 535064"/>
                          <pic:cNvPicPr/>
                        </pic:nvPicPr>
                        <pic:blipFill>
                          <a:blip r:embed="rId9"/>
                          <a:stretch>
                            <a:fillRect/>
                          </a:stretch>
                        </pic:blipFill>
                        <pic:spPr>
                          <a:xfrm>
                            <a:off x="0" y="0"/>
                            <a:ext cx="3438000" cy="2955600"/>
                          </a:xfrm>
                          <a:prstGeom prst="rect">
                            <a:avLst/>
                          </a:prstGeom>
                        </pic:spPr>
                      </pic:pic>
                    </a:graphicData>
                  </a:graphic>
                  <wp14:sizeRelH relativeFrom="margin">
                    <wp14:pctWidth>0</wp14:pctWidth>
                  </wp14:sizeRelH>
                  <wp14:sizeRelV relativeFrom="margin">
                    <wp14:pctHeight>0</wp14:pctHeight>
                  </wp14:sizeRelV>
                </wp:anchor>
              </w:drawing>
            </w:r>
            <w:r w:rsidRPr="00444D8F">
              <w:t>Cota comercială m</w:t>
            </w:r>
            <w:r w:rsidRPr="00444D8F">
              <w:rPr>
                <w:lang w:val="ro-RO"/>
              </w:rPr>
              <w:t xml:space="preserve">ăsurată </w:t>
            </w:r>
            <w:r w:rsidRPr="00444D8F">
              <w:t>ca</w:t>
            </w:r>
            <w:r w:rsidRPr="00444D8F">
              <w:rPr>
                <w:b/>
              </w:rPr>
              <w:t xml:space="preserve"> </w:t>
            </w:r>
            <w:r w:rsidRPr="00444D8F">
              <w:t>½*</w:t>
            </w:r>
            <w:r w:rsidRPr="00444D8F">
              <w:rPr>
                <w:lang w:val="en-GB"/>
              </w:rPr>
              <w:t>(importuri</w:t>
            </w:r>
            <w:r w:rsidRPr="00444D8F">
              <w:t>+exporturi</w:t>
            </w:r>
            <w:r w:rsidRPr="00444D8F">
              <w:rPr>
                <w:lang w:val="en-GB"/>
              </w:rPr>
              <w:t xml:space="preserve">) </w:t>
            </w:r>
            <w:r w:rsidRPr="00444D8F">
              <w:rPr>
                <w:lang w:val="ro-RO"/>
              </w:rPr>
              <w:t>şi</w:t>
            </w:r>
            <w:r w:rsidRPr="00444D8F">
              <w:rPr>
                <w:lang w:val="en-GB"/>
              </w:rPr>
              <w:t xml:space="preserve"> ilustrată ca pondere a valorii adăugate brute în sectorul privat. Datele sunt relevante pentru anul 2013.Sursa: Calcule OCDE </w:t>
            </w:r>
            <w:r w:rsidRPr="00444D8F">
              <w:rPr>
                <w:lang w:val="ro-RO"/>
              </w:rPr>
              <w:t>şi</w:t>
            </w:r>
            <w:r w:rsidRPr="00444D8F">
              <w:rPr>
                <w:lang w:val="en-GB"/>
              </w:rPr>
              <w:t xml:space="preserve"> EEAG</w:t>
            </w:r>
          </w:p>
        </w:tc>
      </w:tr>
    </w:tbl>
    <w:p w:rsidR="00DE0D91" w:rsidRPr="00444D8F" w:rsidRDefault="00DE0D91" w:rsidP="009D1756">
      <w:pPr>
        <w:jc w:val="both"/>
      </w:pPr>
      <w:r w:rsidRPr="00444D8F">
        <w:t xml:space="preserve">Tipurile diferite de cheltuieli şi taxe afectează performanţa în mod diferit. Ca exemplu, luaţi în considerare oferta de muncă în cazurile în care se poate face distincţia între cheltuielile pasive prin reducerea ofertei de forţă de muncă (cum ar fi pensionarea anticipată), precum şi cheltuielile active de susţinere a ofertei de muncă (cum ar fi îngrijirea zilnică, educaţia). Lucrări empirice recente cu privire la legătura dintre performanţa economică (creşterea economică) şi sectorul public arată că structura cheltuielilor publice şi modul de finanţare </w:t>
      </w:r>
      <w:r w:rsidR="00BA0FBA" w:rsidRPr="00444D8F">
        <w:t xml:space="preserve">sunt </w:t>
      </w:r>
      <w:r w:rsidRPr="00444D8F">
        <w:t>mai important</w:t>
      </w:r>
      <w:r w:rsidR="00BA0FBA" w:rsidRPr="00444D8F">
        <w:t>e</w:t>
      </w:r>
      <w:r w:rsidRPr="00444D8F">
        <w:t xml:space="preserve"> decât dimensiunea brută. Distincţia dintre cheltuielile active/productive şi pasive/</w:t>
      </w:r>
      <w:r w:rsidR="007C67BD" w:rsidRPr="00444D8F">
        <w:t xml:space="preserve">non-productive </w:t>
      </w:r>
      <w:r w:rsidRPr="00444D8F">
        <w:t>este importantă, iar primele pot avea efecte pozitive asupra creşterii (a se vedea, de exemplu, Gemmell şi colab, 2011, Arnold şi colab, 2011). O pondere relativ mare a cheltuielilor publice este de tip "activ" în Danemarca, iar acest lucru susţine explicaţia motivului pentru care performanţa economică a fost relativ bună, în ciuda sectorului public larg, cf. Andersen (2015a).</w:t>
      </w:r>
    </w:p>
    <w:p w:rsidR="00FF774A" w:rsidRPr="00444D8F" w:rsidRDefault="00E8533D" w:rsidP="009D1756">
      <w:pPr>
        <w:spacing w:after="0" w:line="307" w:lineRule="auto"/>
        <w:ind w:left="18" w:right="42" w:hanging="6"/>
        <w:jc w:val="both"/>
        <w:rPr>
          <w:rFonts w:eastAsia="Times New Roman" w:cstheme="minorHAnsi"/>
        </w:rPr>
      </w:pPr>
      <w:r w:rsidRPr="00444D8F">
        <w:t>O distinc</w:t>
      </w:r>
      <w:r w:rsidR="00576D4A" w:rsidRPr="00444D8F">
        <w:t>ţ</w:t>
      </w:r>
      <w:r w:rsidRPr="00444D8F">
        <w:t xml:space="preserve">ie similară </w:t>
      </w:r>
      <w:r w:rsidR="007C4697" w:rsidRPr="00444D8F">
        <w:t xml:space="preserve">este aplicabilă </w:t>
      </w:r>
      <w:r w:rsidRPr="00444D8F">
        <w:t>transferurilor; ele nu sunt pasiv</w:t>
      </w:r>
      <w:r w:rsidR="00E72171" w:rsidRPr="00444D8F">
        <w:t>e</w:t>
      </w:r>
      <w:r w:rsidRPr="00444D8F">
        <w:t xml:space="preserve"> în sensul că pot fi </w:t>
      </w:r>
      <w:r w:rsidR="00E72171" w:rsidRPr="00444D8F">
        <w:t>pretinse/</w:t>
      </w:r>
      <w:r w:rsidRPr="00444D8F">
        <w:t>solicitate necondi</w:t>
      </w:r>
      <w:r w:rsidR="00576D4A" w:rsidRPr="00444D8F">
        <w:t>ţ</w:t>
      </w:r>
      <w:r w:rsidR="007C4697" w:rsidRPr="00444D8F">
        <w:t>ionat.</w:t>
      </w:r>
      <w:r w:rsidR="00502B85" w:rsidRPr="00444D8F">
        <w:rPr>
          <w:rStyle w:val="FootnoteReference"/>
        </w:rPr>
        <w:footnoteReference w:id="8"/>
      </w:r>
      <w:r w:rsidR="007C4697" w:rsidRPr="00444D8F">
        <w:t xml:space="preserve"> </w:t>
      </w:r>
      <w:r w:rsidRPr="00444D8F">
        <w:t>Diverse condi</w:t>
      </w:r>
      <w:r w:rsidR="00576D4A" w:rsidRPr="00444D8F">
        <w:t>ţ</w:t>
      </w:r>
      <w:r w:rsidRPr="00444D8F">
        <w:t>ionări - cunoscut</w:t>
      </w:r>
      <w:r w:rsidR="00E72171" w:rsidRPr="00444D8F">
        <w:t>e</w:t>
      </w:r>
      <w:r w:rsidRPr="00444D8F">
        <w:t xml:space="preserve"> sub numele de </w:t>
      </w:r>
      <w:r w:rsidRPr="00444D8F">
        <w:rPr>
          <w:i/>
        </w:rPr>
        <w:t>workfare</w:t>
      </w:r>
      <w:r w:rsidR="00EC4C01" w:rsidRPr="00444D8F">
        <w:rPr>
          <w:i/>
        </w:rPr>
        <w:t xml:space="preserve"> </w:t>
      </w:r>
      <w:r w:rsidR="004449F4" w:rsidRPr="00444D8F">
        <w:rPr>
          <w:i/>
        </w:rPr>
        <w:t>(</w:t>
      </w:r>
      <w:r w:rsidR="00172B04" w:rsidRPr="00444D8F">
        <w:t>muncă în schimbul beneficiilor)</w:t>
      </w:r>
      <w:r w:rsidR="00E72171" w:rsidRPr="00444D8F">
        <w:t xml:space="preserve">/ sau politici </w:t>
      </w:r>
      <w:r w:rsidRPr="00444D8F">
        <w:t>active pe pia</w:t>
      </w:r>
      <w:r w:rsidR="00576D4A" w:rsidRPr="00444D8F">
        <w:t>ţ</w:t>
      </w:r>
      <w:r w:rsidRPr="00444D8F">
        <w:t>a for</w:t>
      </w:r>
      <w:r w:rsidR="00576D4A" w:rsidRPr="00444D8F">
        <w:t>ţ</w:t>
      </w:r>
      <w:r w:rsidRPr="00444D8F">
        <w:t>ei de muncă - fac parte din sistemul de echilibra</w:t>
      </w:r>
      <w:r w:rsidR="008129D2" w:rsidRPr="00444D8F">
        <w:t xml:space="preserve">re a preocupării </w:t>
      </w:r>
      <w:r w:rsidRPr="00444D8F">
        <w:t xml:space="preserve">pentru securitatea veniturilor </w:t>
      </w:r>
      <w:r w:rsidR="00576D4A" w:rsidRPr="00444D8F">
        <w:t>ş</w:t>
      </w:r>
      <w:r w:rsidRPr="00444D8F">
        <w:t xml:space="preserve">i </w:t>
      </w:r>
      <w:r w:rsidR="004449F4" w:rsidRPr="00444D8F">
        <w:t>stimulente</w:t>
      </w:r>
      <w:r w:rsidR="00BA0FBA" w:rsidRPr="00444D8F">
        <w:t>lor</w:t>
      </w:r>
      <w:r w:rsidR="004449F4" w:rsidRPr="00444D8F">
        <w:t xml:space="preserve"> în vederea căutării active a unui loc </w:t>
      </w:r>
      <w:r w:rsidRPr="00444D8F">
        <w:t xml:space="preserve">de muncă. </w:t>
      </w:r>
      <w:r w:rsidR="008129D2" w:rsidRPr="00444D8F">
        <w:t xml:space="preserve">Acesta este </w:t>
      </w:r>
      <w:r w:rsidR="00EC4C01" w:rsidRPr="00444D8F">
        <w:t xml:space="preserve">punctul de plecare </w:t>
      </w:r>
      <w:r w:rsidR="008129D2" w:rsidRPr="00444D8F">
        <w:t xml:space="preserve">şi anume că există </w:t>
      </w:r>
      <w:r w:rsidRPr="00444D8F">
        <w:t xml:space="preserve">compromisuri, iar aceste politici </w:t>
      </w:r>
      <w:r w:rsidR="008129D2" w:rsidRPr="00444D8F">
        <w:t xml:space="preserve">au </w:t>
      </w:r>
      <w:r w:rsidRPr="00444D8F">
        <w:t>un cost. Danemarca cheltuie</w:t>
      </w:r>
      <w:r w:rsidR="00576D4A" w:rsidRPr="00444D8F">
        <w:t>ş</w:t>
      </w:r>
      <w:r w:rsidRPr="00444D8F">
        <w:t>te 1,</w:t>
      </w:r>
      <w:r w:rsidR="008129D2" w:rsidRPr="00444D8F">
        <w:t xml:space="preserve"> </w:t>
      </w:r>
      <w:r w:rsidRPr="00444D8F">
        <w:t xml:space="preserve">8 </w:t>
      </w:r>
      <w:r w:rsidR="008129D2" w:rsidRPr="00444D8F">
        <w:t xml:space="preserve">% </w:t>
      </w:r>
      <w:r w:rsidRPr="00444D8F">
        <w:t>din PIB (date</w:t>
      </w:r>
      <w:r w:rsidR="008129D2" w:rsidRPr="00444D8F">
        <w:t xml:space="preserve"> din 2013</w:t>
      </w:r>
      <w:r w:rsidRPr="00444D8F">
        <w:t>) p</w:t>
      </w:r>
      <w:r w:rsidR="00EC4C01" w:rsidRPr="00444D8F">
        <w:t>entru</w:t>
      </w:r>
      <w:r w:rsidRPr="00444D8F">
        <w:t xml:space="preserve"> politicile active ale pie</w:t>
      </w:r>
      <w:r w:rsidR="00576D4A" w:rsidRPr="00444D8F">
        <w:t>ţ</w:t>
      </w:r>
      <w:r w:rsidRPr="00444D8F">
        <w:t>ei for</w:t>
      </w:r>
      <w:r w:rsidR="00576D4A" w:rsidRPr="00444D8F">
        <w:t>ţ</w:t>
      </w:r>
      <w:r w:rsidRPr="00444D8F">
        <w:t xml:space="preserve">ei de muncă (cheltuieli directe </w:t>
      </w:r>
      <w:r w:rsidR="008129D2" w:rsidRPr="00444D8F">
        <w:t xml:space="preserve">pentru </w:t>
      </w:r>
      <w:r w:rsidRPr="00444D8F">
        <w:t xml:space="preserve">programe </w:t>
      </w:r>
      <w:r w:rsidR="00576D4A" w:rsidRPr="00444D8F">
        <w:t>ş</w:t>
      </w:r>
      <w:r w:rsidRPr="00444D8F">
        <w:t xml:space="preserve">i administrarea acestora, cheltuielile privind transferurile </w:t>
      </w:r>
      <w:r w:rsidR="00EC4C01" w:rsidRPr="00444D8F">
        <w:t xml:space="preserve">fiind în </w:t>
      </w:r>
      <w:r w:rsidR="00EC4C01" w:rsidRPr="00444D8F">
        <w:lastRenderedPageBreak/>
        <w:t>plus</w:t>
      </w:r>
      <w:r w:rsidR="00502B85" w:rsidRPr="00444D8F">
        <w:t>)</w:t>
      </w:r>
      <w:r w:rsidR="00BA0FBA" w:rsidRPr="00444D8F">
        <w:t>.</w:t>
      </w:r>
      <w:r w:rsidR="00502B85" w:rsidRPr="00444D8F">
        <w:rPr>
          <w:rStyle w:val="FootnoteReference"/>
        </w:rPr>
        <w:footnoteReference w:id="9"/>
      </w:r>
      <w:r w:rsidRPr="00444D8F">
        <w:t xml:space="preserve">Acesta este cel mai </w:t>
      </w:r>
      <w:r w:rsidR="008129D2" w:rsidRPr="00444D8F">
        <w:t xml:space="preserve">ridicat </w:t>
      </w:r>
      <w:r w:rsidRPr="00444D8F">
        <w:t xml:space="preserve">nivel </w:t>
      </w:r>
      <w:r w:rsidR="00EC4C01" w:rsidRPr="00444D8F">
        <w:t xml:space="preserve">de </w:t>
      </w:r>
      <w:r w:rsidRPr="00444D8F">
        <w:t>cheltuieli în</w:t>
      </w:r>
      <w:r w:rsidR="00EC4C01" w:rsidRPr="00444D8F">
        <w:t xml:space="preserve"> r</w:t>
      </w:r>
      <w:r w:rsidR="00EC4C01" w:rsidRPr="00444D8F">
        <w:rPr>
          <w:lang w:val="ro-RO"/>
        </w:rPr>
        <w:t xml:space="preserve">ândul ţărilor </w:t>
      </w:r>
      <w:r w:rsidRPr="00444D8F">
        <w:t>OCD</w:t>
      </w:r>
      <w:r w:rsidR="00EC4C01" w:rsidRPr="00444D8F">
        <w:t>E</w:t>
      </w:r>
      <w:r w:rsidRPr="00444D8F">
        <w:t>, unde media este de 0</w:t>
      </w:r>
      <w:r w:rsidR="008129D2" w:rsidRPr="00444D8F">
        <w:t>, 6</w:t>
      </w:r>
      <w:r w:rsidRPr="00444D8F">
        <w:t xml:space="preserve"> </w:t>
      </w:r>
      <w:r w:rsidR="008129D2" w:rsidRPr="00444D8F">
        <w:t>%</w:t>
      </w:r>
      <w:r w:rsidRPr="00444D8F">
        <w:t xml:space="preserve"> din PIB.</w:t>
      </w:r>
    </w:p>
    <w:p w:rsidR="007D3C6B" w:rsidRPr="00444D8F" w:rsidRDefault="00E8533D" w:rsidP="009D1756">
      <w:pPr>
        <w:jc w:val="both"/>
      </w:pPr>
      <w:r w:rsidRPr="00444D8F">
        <w:t xml:space="preserve">În cele din urmă, </w:t>
      </w:r>
      <w:r w:rsidR="00BA0FBA" w:rsidRPr="00444D8F">
        <w:t xml:space="preserve">trebuie </w:t>
      </w:r>
      <w:r w:rsidRPr="00444D8F">
        <w:t>remarcat faptul că abordarea "activă" poate contribui</w:t>
      </w:r>
      <w:r w:rsidR="008129D2" w:rsidRPr="00444D8F">
        <w:t xml:space="preserve"> şi </w:t>
      </w:r>
      <w:r w:rsidRPr="00444D8F">
        <w:t>la reducerea inegalită</w:t>
      </w:r>
      <w:r w:rsidR="00576D4A" w:rsidRPr="00444D8F">
        <w:t>ţ</w:t>
      </w:r>
      <w:r w:rsidRPr="00444D8F">
        <w:t xml:space="preserve">ii veniturilor. Astfel, inegalitatea </w:t>
      </w:r>
      <w:r w:rsidR="00EC4C01" w:rsidRPr="00444D8F">
        <w:t xml:space="preserve">scăzută a </w:t>
      </w:r>
      <w:r w:rsidRPr="00444D8F">
        <w:t xml:space="preserve">veniturilor în Danemarca - </w:t>
      </w:r>
      <w:r w:rsidR="00576D4A" w:rsidRPr="00444D8F">
        <w:t>ş</w:t>
      </w:r>
      <w:r w:rsidRPr="00444D8F">
        <w:t xml:space="preserve">i </w:t>
      </w:r>
      <w:r w:rsidR="00EC4C01" w:rsidRPr="00444D8F">
        <w:t xml:space="preserve">în </w:t>
      </w:r>
      <w:r w:rsidR="008129D2" w:rsidRPr="00444D8F">
        <w:t xml:space="preserve">celelalte </w:t>
      </w:r>
      <w:r w:rsidR="00576D4A" w:rsidRPr="00444D8F">
        <w:t>ţ</w:t>
      </w:r>
      <w:r w:rsidRPr="00444D8F">
        <w:t xml:space="preserve">ări nordice - poate fi atribuită în mare măsură </w:t>
      </w:r>
      <w:r w:rsidR="00EC4C01" w:rsidRPr="00444D8F">
        <w:t xml:space="preserve">unei </w:t>
      </w:r>
      <w:r w:rsidRPr="00444D8F">
        <w:t>distribu</w:t>
      </w:r>
      <w:r w:rsidR="00576D4A" w:rsidRPr="00444D8F">
        <w:t>ţ</w:t>
      </w:r>
      <w:r w:rsidRPr="00444D8F">
        <w:t>i</w:t>
      </w:r>
      <w:r w:rsidR="00EC4C01" w:rsidRPr="00444D8F">
        <w:t>i</w:t>
      </w:r>
      <w:r w:rsidRPr="00444D8F">
        <w:t xml:space="preserve"> egal</w:t>
      </w:r>
      <w:r w:rsidR="00EC4C01" w:rsidRPr="00444D8F">
        <w:t>e</w:t>
      </w:r>
      <w:r w:rsidRPr="00444D8F">
        <w:t xml:space="preserve"> a veniturilor pe pia</w:t>
      </w:r>
      <w:r w:rsidR="00576D4A" w:rsidRPr="00444D8F">
        <w:t>ţ</w:t>
      </w:r>
      <w:r w:rsidRPr="00444D8F">
        <w:t xml:space="preserve">ă. </w:t>
      </w:r>
      <w:r w:rsidR="00397706" w:rsidRPr="00444D8F">
        <w:t xml:space="preserve">Politicile privind educaţia şi </w:t>
      </w:r>
      <w:r w:rsidRPr="00444D8F">
        <w:t>pia</w:t>
      </w:r>
      <w:r w:rsidR="00576D4A" w:rsidRPr="00444D8F">
        <w:t>ţ</w:t>
      </w:r>
      <w:r w:rsidRPr="00444D8F">
        <w:t>a for</w:t>
      </w:r>
      <w:r w:rsidR="00576D4A" w:rsidRPr="00444D8F">
        <w:t>ţ</w:t>
      </w:r>
      <w:r w:rsidRPr="00444D8F">
        <w:t>ei de muncă cr</w:t>
      </w:r>
      <w:r w:rsidR="00397706" w:rsidRPr="00444D8F">
        <w:t>e</w:t>
      </w:r>
      <w:r w:rsidRPr="00444D8F">
        <w:t>ea</w:t>
      </w:r>
      <w:r w:rsidR="00397706" w:rsidRPr="00444D8F">
        <w:t>ză</w:t>
      </w:r>
      <w:r w:rsidRPr="00444D8F">
        <w:t xml:space="preserve"> </w:t>
      </w:r>
      <w:r w:rsidR="00EC4C01" w:rsidRPr="00444D8F">
        <w:t xml:space="preserve">premisele </w:t>
      </w:r>
      <w:r w:rsidRPr="00444D8F">
        <w:t>pentru o</w:t>
      </w:r>
      <w:r w:rsidR="00EC4C01" w:rsidRPr="00444D8F">
        <w:t xml:space="preserve"> rată ridicată a </w:t>
      </w:r>
      <w:r w:rsidRPr="00444D8F">
        <w:t>for</w:t>
      </w:r>
      <w:r w:rsidR="00576D4A" w:rsidRPr="00444D8F">
        <w:t>ţ</w:t>
      </w:r>
      <w:r w:rsidRPr="00444D8F">
        <w:t xml:space="preserve">ei de muncă </w:t>
      </w:r>
      <w:r w:rsidR="00576D4A" w:rsidRPr="00444D8F">
        <w:t>ş</w:t>
      </w:r>
      <w:r w:rsidRPr="00444D8F">
        <w:t>i distribu</w:t>
      </w:r>
      <w:r w:rsidR="00576D4A" w:rsidRPr="00444D8F">
        <w:t>ţ</w:t>
      </w:r>
      <w:r w:rsidRPr="00444D8F">
        <w:t>i</w:t>
      </w:r>
      <w:r w:rsidR="00EC4C01" w:rsidRPr="00444D8F">
        <w:t>a</w:t>
      </w:r>
      <w:r w:rsidRPr="00444D8F">
        <w:t xml:space="preserve"> relativ egală a venitului. </w:t>
      </w:r>
      <w:r w:rsidR="00397706" w:rsidRPr="00444D8F">
        <w:t>I</w:t>
      </w:r>
      <w:r w:rsidRPr="00444D8F">
        <w:t>negalitate</w:t>
      </w:r>
      <w:r w:rsidR="00397706" w:rsidRPr="00444D8F">
        <w:t>a</w:t>
      </w:r>
      <w:r w:rsidRPr="00444D8F">
        <w:t xml:space="preserve"> scăzută este adesea atribuită </w:t>
      </w:r>
      <w:r w:rsidR="00397706" w:rsidRPr="00444D8F">
        <w:t>impozit</w:t>
      </w:r>
      <w:r w:rsidRPr="00444D8F">
        <w:t xml:space="preserve">elor </w:t>
      </w:r>
      <w:r w:rsidR="00576D4A" w:rsidRPr="00444D8F">
        <w:t>ş</w:t>
      </w:r>
      <w:r w:rsidRPr="00444D8F">
        <w:t>i transferurilor</w:t>
      </w:r>
      <w:r w:rsidR="00EC4C01" w:rsidRPr="00444D8F">
        <w:t xml:space="preserve"> dar</w:t>
      </w:r>
      <w:r w:rsidRPr="00444D8F">
        <w:t>, de</w:t>
      </w:r>
      <w:r w:rsidR="00576D4A" w:rsidRPr="00444D8F">
        <w:t>ş</w:t>
      </w:r>
      <w:r w:rsidRPr="00444D8F">
        <w:t xml:space="preserve">i acestea sunt importante, </w:t>
      </w:r>
      <w:r w:rsidR="00BA0FBA" w:rsidRPr="00444D8F">
        <w:t xml:space="preserve">fundamentul pentru rezultatele egalitare îl reprezintă </w:t>
      </w:r>
      <w:r w:rsidRPr="00444D8F">
        <w:t xml:space="preserve">rezultatele </w:t>
      </w:r>
      <w:r w:rsidR="00EC4C01" w:rsidRPr="00444D8F">
        <w:t xml:space="preserve">de </w:t>
      </w:r>
      <w:r w:rsidRPr="00444D8F">
        <w:t>pe pia</w:t>
      </w:r>
      <w:r w:rsidR="00576D4A" w:rsidRPr="00444D8F">
        <w:t>ţ</w:t>
      </w:r>
      <w:r w:rsidRPr="00444D8F">
        <w:t>a munc</w:t>
      </w:r>
      <w:r w:rsidR="00EC4C01" w:rsidRPr="00444D8F">
        <w:t>ii</w:t>
      </w:r>
      <w:r w:rsidRPr="00444D8F">
        <w:t>.</w:t>
      </w:r>
      <w:r w:rsidR="00EC4C01" w:rsidRPr="00444D8F">
        <w:t xml:space="preserve"> </w:t>
      </w:r>
    </w:p>
    <w:p w:rsidR="00E8533D" w:rsidRPr="00444D8F" w:rsidRDefault="00E8533D" w:rsidP="009D1756">
      <w:pPr>
        <w:jc w:val="both"/>
        <w:rPr>
          <w:b/>
        </w:rPr>
      </w:pPr>
      <w:r w:rsidRPr="00444D8F">
        <w:rPr>
          <w:b/>
        </w:rPr>
        <w:t>4.3 Politica cursului de schimb</w:t>
      </w:r>
    </w:p>
    <w:p w:rsidR="00172B04" w:rsidRPr="00444D8F" w:rsidRDefault="00E8533D" w:rsidP="009D1756">
      <w:pPr>
        <w:jc w:val="both"/>
      </w:pPr>
      <w:r w:rsidRPr="00444D8F">
        <w:t xml:space="preserve">Politicile economice </w:t>
      </w:r>
      <w:r w:rsidR="004B4B68" w:rsidRPr="00444D8F">
        <w:t>di</w:t>
      </w:r>
      <w:r w:rsidRPr="00444D8F">
        <w:t>n Danemarca s</w:t>
      </w:r>
      <w:r w:rsidR="0097705E" w:rsidRPr="00444D8F">
        <w:t xml:space="preserve">e află </w:t>
      </w:r>
      <w:r w:rsidRPr="00444D8F">
        <w:t>con</w:t>
      </w:r>
      <w:r w:rsidR="003E1B89" w:rsidRPr="00444D8F">
        <w:t>stant</w:t>
      </w:r>
      <w:r w:rsidRPr="00444D8F">
        <w:t xml:space="preserve"> </w:t>
      </w:r>
      <w:r w:rsidR="00AB1A73" w:rsidRPr="00444D8F">
        <w:t xml:space="preserve">în centrul unui </w:t>
      </w:r>
      <w:r w:rsidRPr="00444D8F">
        <w:t>test de pia</w:t>
      </w:r>
      <w:r w:rsidR="00576D4A" w:rsidRPr="00444D8F">
        <w:t>ţ</w:t>
      </w:r>
      <w:r w:rsidRPr="00444D8F">
        <w:t>ă</w:t>
      </w:r>
      <w:r w:rsidR="003E1B89" w:rsidRPr="00444D8F">
        <w:t>,</w:t>
      </w:r>
      <w:r w:rsidR="00AB1A73" w:rsidRPr="00444D8F">
        <w:t xml:space="preserve"> </w:t>
      </w:r>
      <w:r w:rsidR="004B4B68" w:rsidRPr="00444D8F">
        <w:t xml:space="preserve">întrucât </w:t>
      </w:r>
      <w:r w:rsidRPr="00444D8F">
        <w:t xml:space="preserve">Danemarca </w:t>
      </w:r>
      <w:r w:rsidR="004B4B68" w:rsidRPr="00444D8F">
        <w:t xml:space="preserve">este </w:t>
      </w:r>
      <w:r w:rsidRPr="00444D8F">
        <w:t>una dintre pu</w:t>
      </w:r>
      <w:r w:rsidR="00576D4A" w:rsidRPr="00444D8F">
        <w:t>ţ</w:t>
      </w:r>
      <w:r w:rsidRPr="00444D8F">
        <w:t xml:space="preserve">inele </w:t>
      </w:r>
      <w:r w:rsidR="00576D4A" w:rsidRPr="00444D8F">
        <w:t>ţ</w:t>
      </w:r>
      <w:r w:rsidRPr="00444D8F">
        <w:t>ări care s</w:t>
      </w:r>
      <w:r w:rsidR="003E1B89" w:rsidRPr="00444D8F">
        <w:t xml:space="preserve">tabileşte </w:t>
      </w:r>
      <w:r w:rsidR="0097705E" w:rsidRPr="00444D8F">
        <w:t xml:space="preserve">unilateral </w:t>
      </w:r>
      <w:r w:rsidR="003E1B89" w:rsidRPr="00444D8F">
        <w:t>o rat</w:t>
      </w:r>
      <w:r w:rsidR="0097705E" w:rsidRPr="00444D8F">
        <w:t>ă</w:t>
      </w:r>
      <w:r w:rsidR="003E1B89" w:rsidRPr="00444D8F">
        <w:t xml:space="preserve"> </w:t>
      </w:r>
      <w:r w:rsidR="00BA0FBA" w:rsidRPr="00444D8F">
        <w:t xml:space="preserve">fixă </w:t>
      </w:r>
      <w:r w:rsidR="003E1B89" w:rsidRPr="00444D8F">
        <w:t>de schimb</w:t>
      </w:r>
      <w:r w:rsidRPr="00444D8F">
        <w:t xml:space="preserve">. Coroana daneză </w:t>
      </w:r>
      <w:r w:rsidR="004B4B68" w:rsidRPr="00444D8F">
        <w:t>are un curs fix faţă de euro</w:t>
      </w:r>
      <w:r w:rsidRPr="00444D8F">
        <w:t xml:space="preserve">, </w:t>
      </w:r>
      <w:r w:rsidR="003E1B89" w:rsidRPr="00444D8F">
        <w:t xml:space="preserve">iar dobânda propagată în </w:t>
      </w:r>
      <w:r w:rsidRPr="00444D8F">
        <w:t xml:space="preserve">zona euro reprezintă </w:t>
      </w:r>
      <w:r w:rsidR="00CB4F79" w:rsidRPr="00444D8F">
        <w:t>valoare</w:t>
      </w:r>
      <w:r w:rsidRPr="00444D8F">
        <w:t>a credibilită</w:t>
      </w:r>
      <w:r w:rsidR="00576D4A" w:rsidRPr="00444D8F">
        <w:t>ţ</w:t>
      </w:r>
      <w:r w:rsidRPr="00444D8F">
        <w:t xml:space="preserve">ii </w:t>
      </w:r>
      <w:r w:rsidR="0097705E" w:rsidRPr="00444D8F">
        <w:t xml:space="preserve">ţintei, prin urmare şi a </w:t>
      </w:r>
      <w:r w:rsidR="006F1D86" w:rsidRPr="00444D8F">
        <w:t xml:space="preserve">politicii economice. </w:t>
      </w:r>
      <w:r w:rsidRPr="00444D8F">
        <w:t xml:space="preserve">Pe parcursul anilor 1970 </w:t>
      </w:r>
      <w:r w:rsidR="00576D4A" w:rsidRPr="00444D8F">
        <w:t>ş</w:t>
      </w:r>
      <w:r w:rsidRPr="00444D8F">
        <w:t xml:space="preserve">i 1980, când economia a suferit din </w:t>
      </w:r>
      <w:r w:rsidR="0097705E" w:rsidRPr="00444D8F">
        <w:t xml:space="preserve">cauza </w:t>
      </w:r>
      <w:r w:rsidRPr="00444D8F">
        <w:t>diverse</w:t>
      </w:r>
      <w:r w:rsidR="0097705E" w:rsidRPr="00444D8F">
        <w:t>lor</w:t>
      </w:r>
      <w:r w:rsidRPr="00444D8F">
        <w:t xml:space="preserve"> dezechilibre, </w:t>
      </w:r>
      <w:r w:rsidR="0097705E" w:rsidRPr="00444D8F">
        <w:t xml:space="preserve">propagarea </w:t>
      </w:r>
      <w:r w:rsidRPr="00444D8F">
        <w:t xml:space="preserve">ratei dobânzii a fost ridicată, </w:t>
      </w:r>
      <w:r w:rsidR="0097705E" w:rsidRPr="00444D8F">
        <w:t xml:space="preserve">având loc </w:t>
      </w:r>
      <w:r w:rsidRPr="00444D8F">
        <w:t>devaloriz</w:t>
      </w:r>
      <w:r w:rsidR="0097705E" w:rsidRPr="00444D8F">
        <w:t xml:space="preserve">ări recurente. Credibilitatea era </w:t>
      </w:r>
      <w:r w:rsidRPr="00444D8F">
        <w:t xml:space="preserve">scăzută, iar politicile economice </w:t>
      </w:r>
      <w:r w:rsidR="0097705E" w:rsidRPr="00444D8F">
        <w:t xml:space="preserve">erau </w:t>
      </w:r>
      <w:r w:rsidR="00CB4F79" w:rsidRPr="00444D8F">
        <w:t>in</w:t>
      </w:r>
      <w:r w:rsidRPr="00444D8F">
        <w:t>co</w:t>
      </w:r>
      <w:r w:rsidR="004B4B68" w:rsidRPr="00444D8F">
        <w:t xml:space="preserve">erente. </w:t>
      </w:r>
      <w:r w:rsidRPr="00444D8F">
        <w:t>Un regim de schimb fix</w:t>
      </w:r>
      <w:r w:rsidR="0097705E" w:rsidRPr="00444D8F">
        <w:t>,</w:t>
      </w:r>
      <w:r w:rsidRPr="00444D8F">
        <w:t xml:space="preserve"> mai ferm</w:t>
      </w:r>
      <w:r w:rsidR="0097705E" w:rsidRPr="00444D8F">
        <w:t>,</w:t>
      </w:r>
      <w:r w:rsidRPr="00444D8F">
        <w:t xml:space="preserve"> a fost stabilit în 1980, bazat pe premisa că deprecieri</w:t>
      </w:r>
      <w:r w:rsidR="0097705E" w:rsidRPr="00444D8F">
        <w:t>le</w:t>
      </w:r>
      <w:r w:rsidRPr="00444D8F">
        <w:t xml:space="preserve"> discrete nu </w:t>
      </w:r>
      <w:r w:rsidR="0097705E" w:rsidRPr="00444D8F">
        <w:t xml:space="preserve">erau </w:t>
      </w:r>
      <w:r w:rsidRPr="00444D8F">
        <w:t>o op</w:t>
      </w:r>
      <w:r w:rsidR="00576D4A" w:rsidRPr="00444D8F">
        <w:t>ţ</w:t>
      </w:r>
      <w:r w:rsidRPr="00444D8F">
        <w:t xml:space="preserve">iune de politică, iar credibilitatea </w:t>
      </w:r>
      <w:r w:rsidR="0097705E" w:rsidRPr="00444D8F">
        <w:t xml:space="preserve">ţintei trebuia asigurată </w:t>
      </w:r>
      <w:r w:rsidRPr="00444D8F">
        <w:t>prin intermediul politicilor fiscale (</w:t>
      </w:r>
      <w:r w:rsidR="00576D4A" w:rsidRPr="00444D8F">
        <w:t>ş</w:t>
      </w:r>
      <w:r w:rsidRPr="00444D8F">
        <w:t xml:space="preserve">i </w:t>
      </w:r>
      <w:r w:rsidR="004B4B68" w:rsidRPr="00444D8F">
        <w:t xml:space="preserve">a </w:t>
      </w:r>
      <w:r w:rsidRPr="00444D8F">
        <w:t>reforme</w:t>
      </w:r>
      <w:r w:rsidR="0097705E" w:rsidRPr="00444D8F">
        <w:t>lor</w:t>
      </w:r>
      <w:r w:rsidRPr="00444D8F">
        <w:t xml:space="preserve"> structurale). Cursul de schimb a fost raportat</w:t>
      </w:r>
      <w:r w:rsidR="004B4B68" w:rsidRPr="00444D8F">
        <w:t xml:space="preserve"> </w:t>
      </w:r>
      <w:r w:rsidRPr="00444D8F">
        <w:t xml:space="preserve">în mod eficient la </w:t>
      </w:r>
      <w:r w:rsidR="0097705E" w:rsidRPr="00444D8F">
        <w:t>marca german</w:t>
      </w:r>
      <w:r w:rsidR="004B4B68" w:rsidRPr="00444D8F">
        <w:t>ă</w:t>
      </w:r>
      <w:r w:rsidRPr="00444D8F">
        <w:t xml:space="preserve">, </w:t>
      </w:r>
      <w:r w:rsidR="00CB4F79" w:rsidRPr="00444D8F">
        <w:t xml:space="preserve">iar </w:t>
      </w:r>
      <w:r w:rsidRPr="00444D8F">
        <w:t xml:space="preserve">începând </w:t>
      </w:r>
      <w:r w:rsidR="0097705E" w:rsidRPr="00444D8F">
        <w:t xml:space="preserve">cu </w:t>
      </w:r>
      <w:r w:rsidRPr="00444D8F">
        <w:t>1999</w:t>
      </w:r>
      <w:r w:rsidR="004B4B68" w:rsidRPr="00444D8F">
        <w:t xml:space="preserve"> la euro</w:t>
      </w:r>
      <w:r w:rsidRPr="00444D8F">
        <w:t>. Danemarca a adoptat o bandă îngustă pentru varia</w:t>
      </w:r>
      <w:r w:rsidR="0097705E" w:rsidRPr="00444D8F">
        <w:t xml:space="preserve">ţiile coroanei </w:t>
      </w:r>
      <w:r w:rsidRPr="00444D8F">
        <w:t>danez</w:t>
      </w:r>
      <w:r w:rsidR="0097705E" w:rsidRPr="00444D8F">
        <w:t>e</w:t>
      </w:r>
      <w:r w:rsidRPr="00444D8F">
        <w:t xml:space="preserve"> în raport cu euro de ± 2,</w:t>
      </w:r>
      <w:r w:rsidR="004B4B68" w:rsidRPr="00444D8F">
        <w:t xml:space="preserve"> </w:t>
      </w:r>
      <w:r w:rsidRPr="00444D8F">
        <w:t xml:space="preserve">25 procente în </w:t>
      </w:r>
      <w:r w:rsidR="00891FEF" w:rsidRPr="00444D8F">
        <w:t>cadrul Meca</w:t>
      </w:r>
      <w:r w:rsidR="007E2393" w:rsidRPr="00444D8F">
        <w:t>nismului Cursului de Schimb II/</w:t>
      </w:r>
      <w:r w:rsidR="00891FEF" w:rsidRPr="00444D8F">
        <w:t>MCS II</w:t>
      </w:r>
      <w:r w:rsidRPr="00444D8F">
        <w:t xml:space="preserve">, </w:t>
      </w:r>
      <w:r w:rsidR="00891FEF" w:rsidRPr="00444D8F">
        <w:t>ş</w:t>
      </w:r>
      <w:r w:rsidRPr="00444D8F">
        <w:t>i acest lucru a a</w:t>
      </w:r>
      <w:r w:rsidR="00502B85" w:rsidRPr="00444D8F">
        <w:t>tins o credibilitate puternică.</w:t>
      </w:r>
      <w:r w:rsidR="004145D4" w:rsidRPr="00444D8F">
        <w:rPr>
          <w:rStyle w:val="FootnoteReference"/>
        </w:rPr>
        <w:footnoteReference w:id="10"/>
      </w:r>
      <w:r w:rsidR="006F1D86" w:rsidRPr="00444D8F">
        <w:rPr>
          <w:vertAlign w:val="superscript"/>
        </w:rPr>
        <w:t xml:space="preserve"> </w:t>
      </w:r>
      <w:r w:rsidR="004B4B68" w:rsidRPr="00444D8F">
        <w:t xml:space="preserve">Ecartul ratei </w:t>
      </w:r>
      <w:r w:rsidRPr="00444D8F">
        <w:t xml:space="preserve">dobânzii în zona euro este foarte mic, ocazional, a fost </w:t>
      </w:r>
      <w:r w:rsidR="00891FEF" w:rsidRPr="00444D8F">
        <w:t xml:space="preserve">chiar </w:t>
      </w:r>
      <w:r w:rsidRPr="00444D8F">
        <w:t xml:space="preserve">negativ, </w:t>
      </w:r>
      <w:r w:rsidR="004145D4" w:rsidRPr="00444D8F">
        <w:rPr>
          <w:rStyle w:val="FootnoteReference"/>
        </w:rPr>
        <w:footnoteReference w:id="11"/>
      </w:r>
      <w:r w:rsidR="006F1D86" w:rsidRPr="00444D8F">
        <w:t xml:space="preserve"> </w:t>
      </w:r>
      <w:r w:rsidRPr="00444D8F">
        <w:t>cf. Figur</w:t>
      </w:r>
      <w:r w:rsidR="00891FEF" w:rsidRPr="00444D8F">
        <w:t>ii</w:t>
      </w:r>
      <w:r w:rsidRPr="00444D8F">
        <w:t xml:space="preserve"> 4.3. Este demn de remarcat faptul că, în aceea</w:t>
      </w:r>
      <w:r w:rsidR="00576D4A" w:rsidRPr="00444D8F">
        <w:t>ş</w:t>
      </w:r>
      <w:r w:rsidRPr="00444D8F">
        <w:t>i perioadă, situa</w:t>
      </w:r>
      <w:r w:rsidR="00576D4A" w:rsidRPr="00444D8F">
        <w:t>ţ</w:t>
      </w:r>
      <w:r w:rsidRPr="00444D8F">
        <w:t>ia s</w:t>
      </w:r>
      <w:r w:rsidR="00891FEF" w:rsidRPr="00444D8F">
        <w:t>-</w:t>
      </w:r>
      <w:r w:rsidRPr="00444D8F">
        <w:t>a schimbat d</w:t>
      </w:r>
      <w:r w:rsidR="00891FEF" w:rsidRPr="00444D8F">
        <w:t>e la u</w:t>
      </w:r>
      <w:r w:rsidRPr="00444D8F">
        <w:t xml:space="preserve">n scenariu de deficite sistematice de cont curent </w:t>
      </w:r>
      <w:r w:rsidR="00576D4A" w:rsidRPr="00444D8F">
        <w:t>ş</w:t>
      </w:r>
      <w:r w:rsidRPr="00444D8F">
        <w:t>i cre</w:t>
      </w:r>
      <w:r w:rsidR="00576D4A" w:rsidRPr="00444D8F">
        <w:t>ş</w:t>
      </w:r>
      <w:r w:rsidRPr="00444D8F">
        <w:t>terea datoriei externe (</w:t>
      </w:r>
      <w:r w:rsidR="00891FEF" w:rsidRPr="00444D8F">
        <w:t xml:space="preserve">urcând până la </w:t>
      </w:r>
      <w:r w:rsidR="00A43164" w:rsidRPr="00444D8F">
        <w:t>aproape 50</w:t>
      </w:r>
      <w:r w:rsidR="00891FEF" w:rsidRPr="00444D8F">
        <w:t>%</w:t>
      </w:r>
      <w:r w:rsidRPr="00444D8F">
        <w:t xml:space="preserve"> din PIB la sfâr</w:t>
      </w:r>
      <w:r w:rsidR="00576D4A" w:rsidRPr="00444D8F">
        <w:t>ş</w:t>
      </w:r>
      <w:r w:rsidRPr="00444D8F">
        <w:t xml:space="preserve">itul anilor 1980) </w:t>
      </w:r>
      <w:r w:rsidR="00891FEF" w:rsidRPr="00444D8F">
        <w:t xml:space="preserve">la excedente </w:t>
      </w:r>
      <w:r w:rsidRPr="00444D8F">
        <w:t xml:space="preserve">sistematice </w:t>
      </w:r>
      <w:r w:rsidR="00576D4A" w:rsidRPr="00444D8F">
        <w:t>ş</w:t>
      </w:r>
      <w:r w:rsidRPr="00444D8F">
        <w:t>i o pozi</w:t>
      </w:r>
      <w:r w:rsidR="00576D4A" w:rsidRPr="00444D8F">
        <w:t>ţ</w:t>
      </w:r>
      <w:r w:rsidR="00A43164" w:rsidRPr="00444D8F">
        <w:t>ie netă a activelor externe (</w:t>
      </w:r>
      <w:r w:rsidRPr="00444D8F">
        <w:t>de circa 40</w:t>
      </w:r>
      <w:r w:rsidR="00A43164" w:rsidRPr="00444D8F">
        <w:t>%</w:t>
      </w:r>
      <w:r w:rsidRPr="00444D8F">
        <w:t xml:space="preserve"> din PIB).</w:t>
      </w:r>
      <w:r w:rsidR="00964B1A" w:rsidRPr="00444D8F">
        <w:t xml:space="preserve"> </w:t>
      </w:r>
    </w:p>
    <w:p w:rsidR="00172B04" w:rsidRPr="00444D8F" w:rsidRDefault="00172B04" w:rsidP="009D1756">
      <w:pPr>
        <w:jc w:val="both"/>
      </w:pPr>
      <w:r w:rsidRPr="00444D8F">
        <w:rPr>
          <w:b/>
        </w:rPr>
        <w:t xml:space="preserve">   Figura 4.3 Ecartul ratei dobânzilor între Danemarca şi Germania          </w:t>
      </w:r>
    </w:p>
    <w:p w:rsidR="00172B04" w:rsidRPr="00444D8F" w:rsidRDefault="00172B04" w:rsidP="009D1756">
      <w:pPr>
        <w:jc w:val="both"/>
      </w:pPr>
    </w:p>
    <w:p w:rsidR="00172B04" w:rsidRPr="00444D8F" w:rsidRDefault="00172B04" w:rsidP="00172B04">
      <w:pPr>
        <w:numPr>
          <w:ilvl w:val="0"/>
          <w:numId w:val="4"/>
        </w:numPr>
        <w:contextualSpacing/>
        <w:jc w:val="both"/>
      </w:pPr>
      <w:r w:rsidRPr="00444D8F">
        <w:t>Rata efectivă de rentabilitate a obligaţiunilor de stat. Observaţii anuale.</w:t>
      </w:r>
    </w:p>
    <w:p w:rsidR="00172B04" w:rsidRPr="00444D8F" w:rsidRDefault="00172B04" w:rsidP="00172B04">
      <w:pPr>
        <w:jc w:val="both"/>
      </w:pPr>
      <w:r w:rsidRPr="00444D8F">
        <w:lastRenderedPageBreak/>
        <w:t>Sursa</w:t>
      </w:r>
      <w:r w:rsidRPr="00444D8F">
        <w:rPr>
          <w:lang w:val="en-GB"/>
        </w:rPr>
        <w:t>: Calcule Banca Centrală</w:t>
      </w:r>
      <w:r w:rsidRPr="00444D8F">
        <w:t xml:space="preserve"> Danez</w:t>
      </w:r>
      <w:r w:rsidRPr="00444D8F">
        <w:rPr>
          <w:lang w:val="ro-RO"/>
        </w:rPr>
        <w:t>ă</w:t>
      </w:r>
      <w:r w:rsidRPr="00444D8F">
        <w:t xml:space="preserve"> şi EEAG                   </w:t>
      </w:r>
      <w:r w:rsidRPr="00444D8F">
        <w:rPr>
          <w:noProof/>
        </w:rPr>
        <w:drawing>
          <wp:anchor distT="0" distB="0" distL="114300" distR="114300" simplePos="0" relativeHeight="251660288" behindDoc="0" locked="0" layoutInCell="1" allowOverlap="0" wp14:anchorId="5BD32DEA" wp14:editId="4F954F76">
            <wp:simplePos x="0" y="0"/>
            <wp:positionH relativeFrom="margin">
              <wp:posOffset>149225</wp:posOffset>
            </wp:positionH>
            <wp:positionV relativeFrom="paragraph">
              <wp:posOffset>-314325</wp:posOffset>
            </wp:positionV>
            <wp:extent cx="4114800" cy="219456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35066" name="Picture 535066"/>
                    <pic:cNvPicPr/>
                  </pic:nvPicPr>
                  <pic:blipFill>
                    <a:blip r:embed="rId10"/>
                    <a:stretch>
                      <a:fillRect/>
                    </a:stretch>
                  </pic:blipFill>
                  <pic:spPr>
                    <a:xfrm>
                      <a:off x="0" y="0"/>
                      <a:ext cx="4114800" cy="2194560"/>
                    </a:xfrm>
                    <a:prstGeom prst="rect">
                      <a:avLst/>
                    </a:prstGeom>
                  </pic:spPr>
                </pic:pic>
              </a:graphicData>
            </a:graphic>
            <wp14:sizeRelH relativeFrom="margin">
              <wp14:pctWidth>0</wp14:pctWidth>
            </wp14:sizeRelH>
            <wp14:sizeRelV relativeFrom="margin">
              <wp14:pctHeight>0</wp14:pctHeight>
            </wp14:sizeRelV>
          </wp:anchor>
        </w:drawing>
      </w:r>
    </w:p>
    <w:p w:rsidR="00172B04" w:rsidRPr="00444D8F" w:rsidRDefault="00172B04" w:rsidP="009D1756">
      <w:pPr>
        <w:jc w:val="both"/>
      </w:pPr>
    </w:p>
    <w:p w:rsidR="00172B04" w:rsidRPr="00444D8F" w:rsidRDefault="00172B04" w:rsidP="009D1756">
      <w:pPr>
        <w:jc w:val="both"/>
      </w:pPr>
    </w:p>
    <w:p w:rsidR="00172B04" w:rsidRPr="00444D8F" w:rsidRDefault="00172B04" w:rsidP="009D1756">
      <w:pPr>
        <w:jc w:val="both"/>
      </w:pPr>
    </w:p>
    <w:p w:rsidR="00172B04" w:rsidRPr="00444D8F" w:rsidRDefault="00172B04" w:rsidP="009D1756">
      <w:pPr>
        <w:jc w:val="both"/>
      </w:pPr>
    </w:p>
    <w:p w:rsidR="007E2393" w:rsidRPr="00444D8F" w:rsidRDefault="00A43164" w:rsidP="009D1756">
      <w:pPr>
        <w:jc w:val="both"/>
      </w:pPr>
      <w:r w:rsidRPr="00444D8F">
        <w:t xml:space="preserve">Întrucât coroana daneză </w:t>
      </w:r>
      <w:r w:rsidR="004B4B68" w:rsidRPr="00444D8F">
        <w:t>este fixată de euro</w:t>
      </w:r>
      <w:r w:rsidR="00E8533D" w:rsidRPr="00444D8F">
        <w:t>, este dificil pentru cei din afară să în</w:t>
      </w:r>
      <w:r w:rsidR="00576D4A" w:rsidRPr="00444D8F">
        <w:t>ţ</w:t>
      </w:r>
      <w:r w:rsidR="00E8533D" w:rsidRPr="00444D8F">
        <w:t>eleagă de ce Danemarca nu aderă la UM</w:t>
      </w:r>
      <w:r w:rsidRPr="00444D8F">
        <w:t>E/Uniunea Monetară Europeană. Î</w:t>
      </w:r>
      <w:r w:rsidR="00E8533D" w:rsidRPr="00444D8F">
        <w:t>ntrebarea este extrem de sensibil</w:t>
      </w:r>
      <w:r w:rsidR="004B4B68" w:rsidRPr="00444D8F">
        <w:t>ă</w:t>
      </w:r>
      <w:r w:rsidR="00E8533D" w:rsidRPr="00444D8F">
        <w:t xml:space="preserve">, iar problema a devenit tabu în dezbaterile politice. În parlament, există o majoritate clară </w:t>
      </w:r>
      <w:r w:rsidRPr="00444D8F">
        <w:t>în favoarea aderării</w:t>
      </w:r>
      <w:r w:rsidR="00E8533D" w:rsidRPr="00444D8F">
        <w:t xml:space="preserve">, dar există un angajament politic </w:t>
      </w:r>
      <w:r w:rsidRPr="00444D8F">
        <w:t xml:space="preserve">prin care </w:t>
      </w:r>
      <w:r w:rsidR="00E8533D" w:rsidRPr="00444D8F">
        <w:t>problema trebui</w:t>
      </w:r>
      <w:r w:rsidRPr="00444D8F">
        <w:t>e</w:t>
      </w:r>
      <w:r w:rsidR="00E8533D" w:rsidRPr="00444D8F">
        <w:t xml:space="preserve"> </w:t>
      </w:r>
      <w:r w:rsidRPr="00444D8F">
        <w:t xml:space="preserve">hotărâtă prin </w:t>
      </w:r>
      <w:r w:rsidR="00E8533D" w:rsidRPr="00444D8F">
        <w:t xml:space="preserve">referendum. </w:t>
      </w:r>
      <w:r w:rsidRPr="00444D8F">
        <w:t xml:space="preserve">S-a </w:t>
      </w:r>
      <w:r w:rsidR="00E8533D" w:rsidRPr="00444D8F">
        <w:t xml:space="preserve">organizat </w:t>
      </w:r>
      <w:r w:rsidRPr="00444D8F">
        <w:t xml:space="preserve">un referendum </w:t>
      </w:r>
      <w:r w:rsidR="00E8533D" w:rsidRPr="00444D8F">
        <w:t xml:space="preserve">de două ori </w:t>
      </w:r>
      <w:r w:rsidR="005039C1" w:rsidRPr="00444D8F">
        <w:t xml:space="preserve">dar nu s-a obţinut sprijinul </w:t>
      </w:r>
      <w:r w:rsidR="00E8533D" w:rsidRPr="00444D8F">
        <w:t xml:space="preserve">pentru </w:t>
      </w:r>
      <w:r w:rsidRPr="00444D8F">
        <w:t>a</w:t>
      </w:r>
      <w:r w:rsidR="005039C1" w:rsidRPr="00444D8F">
        <w:t xml:space="preserve"> deven</w:t>
      </w:r>
      <w:r w:rsidR="006F1D86" w:rsidRPr="00444D8F">
        <w:t>i</w:t>
      </w:r>
      <w:r w:rsidR="005039C1" w:rsidRPr="00444D8F">
        <w:t xml:space="preserve"> membru al UME</w:t>
      </w:r>
      <w:r w:rsidR="00E8533D" w:rsidRPr="00444D8F">
        <w:t xml:space="preserve">, </w:t>
      </w:r>
      <w:r w:rsidR="004145D4" w:rsidRPr="00444D8F">
        <w:rPr>
          <w:rStyle w:val="FootnoteReference"/>
        </w:rPr>
        <w:footnoteReference w:id="12"/>
      </w:r>
      <w:r w:rsidR="00E8533D" w:rsidRPr="00444D8F">
        <w:t xml:space="preserve"> </w:t>
      </w:r>
      <w:r w:rsidR="00CB4F79" w:rsidRPr="00444D8F">
        <w:t xml:space="preserve">iar </w:t>
      </w:r>
      <w:r w:rsidR="00E8533D" w:rsidRPr="00444D8F">
        <w:t xml:space="preserve">riscul politic de a </w:t>
      </w:r>
      <w:r w:rsidRPr="00444D8F">
        <w:t xml:space="preserve">convoca un nou referendum este </w:t>
      </w:r>
      <w:r w:rsidR="00E8533D" w:rsidRPr="00444D8F">
        <w:t xml:space="preserve">mare. In </w:t>
      </w:r>
      <w:r w:rsidRPr="00444D8F">
        <w:t xml:space="preserve">sondajele </w:t>
      </w:r>
      <w:r w:rsidR="00E8533D" w:rsidRPr="00444D8F">
        <w:t xml:space="preserve">recente </w:t>
      </w:r>
      <w:r w:rsidRPr="00444D8F">
        <w:t xml:space="preserve">neaderarea </w:t>
      </w:r>
      <w:r w:rsidR="00E8533D" w:rsidRPr="00444D8F">
        <w:t>are o majoritate clară, sau peste două treimi din vot</w:t>
      </w:r>
      <w:r w:rsidRPr="00444D8F">
        <w:t>uri</w:t>
      </w:r>
      <w:r w:rsidR="00E8533D" w:rsidRPr="00444D8F">
        <w:t>.</w:t>
      </w:r>
      <w:r w:rsidR="004145D4" w:rsidRPr="00444D8F">
        <w:rPr>
          <w:rStyle w:val="FootnoteReference"/>
        </w:rPr>
        <w:footnoteReference w:id="13"/>
      </w:r>
      <w:r w:rsidR="00E8533D" w:rsidRPr="00444D8F">
        <w:t xml:space="preserve"> Nu există practic nici o dezbatere publică pe această temă, iar pozi</w:t>
      </w:r>
      <w:r w:rsidR="00576D4A" w:rsidRPr="00444D8F">
        <w:t>ţ</w:t>
      </w:r>
      <w:r w:rsidR="00E8533D" w:rsidRPr="00444D8F">
        <w:t>iile s</w:t>
      </w:r>
      <w:r w:rsidRPr="00444D8F">
        <w:t xml:space="preserve">e află într-un impas. </w:t>
      </w:r>
      <w:r w:rsidR="00E8533D" w:rsidRPr="00444D8F">
        <w:t>Sus</w:t>
      </w:r>
      <w:r w:rsidRPr="00444D8F">
        <w:t>ţ</w:t>
      </w:r>
      <w:r w:rsidR="00E8533D" w:rsidRPr="00444D8F">
        <w:t>in</w:t>
      </w:r>
      <w:r w:rsidRPr="00444D8F">
        <w:t>ă</w:t>
      </w:r>
      <w:r w:rsidR="00E8533D" w:rsidRPr="00444D8F">
        <w:t>torii ader</w:t>
      </w:r>
      <w:r w:rsidRPr="00444D8F">
        <w:t>ă</w:t>
      </w:r>
      <w:r w:rsidR="00E8533D" w:rsidRPr="00444D8F">
        <w:t>r</w:t>
      </w:r>
      <w:r w:rsidRPr="00444D8F">
        <w:t>ii</w:t>
      </w:r>
      <w:r w:rsidR="00E8533D" w:rsidRPr="00444D8F">
        <w:t xml:space="preserve"> </w:t>
      </w:r>
      <w:r w:rsidR="00BC15CD" w:rsidRPr="00444D8F">
        <w:t xml:space="preserve">afirmă </w:t>
      </w:r>
      <w:r w:rsidR="00E8533D" w:rsidRPr="00444D8F">
        <w:t xml:space="preserve">că, </w:t>
      </w:r>
      <w:r w:rsidR="00BC15CD" w:rsidRPr="00444D8F">
        <w:t xml:space="preserve">întrucât </w:t>
      </w:r>
      <w:r w:rsidR="00E8533D" w:rsidRPr="00444D8F">
        <w:t xml:space="preserve">politica fixă a cursului de schimb nu este contestată politic, Danemarca ar putea </w:t>
      </w:r>
      <w:r w:rsidR="00BC15CD" w:rsidRPr="00444D8F">
        <w:t xml:space="preserve">foarte </w:t>
      </w:r>
      <w:r w:rsidR="00E8533D" w:rsidRPr="00444D8F">
        <w:t xml:space="preserve">bine </w:t>
      </w:r>
      <w:r w:rsidR="00BC15CD" w:rsidRPr="00444D8F">
        <w:t xml:space="preserve">să adere </w:t>
      </w:r>
      <w:r w:rsidR="00E8533D" w:rsidRPr="00444D8F">
        <w:t>pentru a fi prezen</w:t>
      </w:r>
      <w:r w:rsidR="005039C1" w:rsidRPr="00444D8F">
        <w:t>tă</w:t>
      </w:r>
      <w:r w:rsidR="00E8533D" w:rsidRPr="00444D8F">
        <w:t xml:space="preserve"> la masa decizi</w:t>
      </w:r>
      <w:r w:rsidR="00BC15CD" w:rsidRPr="00444D8F">
        <w:t>ilor</w:t>
      </w:r>
      <w:r w:rsidR="00E8533D" w:rsidRPr="00444D8F">
        <w:t>, în timp ce adversarii sus</w:t>
      </w:r>
      <w:r w:rsidR="00576D4A" w:rsidRPr="00444D8F">
        <w:t>ţ</w:t>
      </w:r>
      <w:r w:rsidR="00E8533D" w:rsidRPr="00444D8F">
        <w:t xml:space="preserve">in că </w:t>
      </w:r>
      <w:r w:rsidR="00BC15CD" w:rsidRPr="00444D8F">
        <w:t xml:space="preserve">statutul de neaderare nu </w:t>
      </w:r>
      <w:r w:rsidR="00E8533D" w:rsidRPr="00444D8F">
        <w:t>a fost o problemă, a</w:t>
      </w:r>
      <w:r w:rsidR="00576D4A" w:rsidRPr="00444D8F">
        <w:t>ş</w:t>
      </w:r>
      <w:r w:rsidR="00E8533D" w:rsidRPr="00444D8F">
        <w:t xml:space="preserve">a că de ce </w:t>
      </w:r>
      <w:r w:rsidR="00BC15CD" w:rsidRPr="00444D8F">
        <w:t>să adere</w:t>
      </w:r>
      <w:r w:rsidR="00E8533D" w:rsidRPr="00444D8F">
        <w:t>.</w:t>
      </w:r>
    </w:p>
    <w:p w:rsidR="00FF774A" w:rsidRPr="00444D8F" w:rsidRDefault="00E8533D" w:rsidP="009D1756">
      <w:pPr>
        <w:jc w:val="both"/>
        <w:rPr>
          <w:b/>
        </w:rPr>
      </w:pPr>
      <w:r w:rsidRPr="00444D8F">
        <w:rPr>
          <w:b/>
        </w:rPr>
        <w:t>Figur</w:t>
      </w:r>
      <w:r w:rsidR="005039C1" w:rsidRPr="00444D8F">
        <w:rPr>
          <w:b/>
        </w:rPr>
        <w:t>a</w:t>
      </w:r>
      <w:r w:rsidRPr="00444D8F">
        <w:rPr>
          <w:b/>
        </w:rPr>
        <w:t xml:space="preserve"> </w:t>
      </w:r>
      <w:r w:rsidR="00986AE1" w:rsidRPr="00444D8F">
        <w:rPr>
          <w:b/>
        </w:rPr>
        <w:t>4.4 Produsele</w:t>
      </w:r>
      <w:r w:rsidR="00BC35E8" w:rsidRPr="00444D8F">
        <w:rPr>
          <w:b/>
        </w:rPr>
        <w:t xml:space="preserve"> Interne Brute</w:t>
      </w:r>
    </w:p>
    <w:p w:rsidR="007E2393" w:rsidRPr="00444D8F" w:rsidRDefault="007E2393" w:rsidP="009D1756">
      <w:pPr>
        <w:jc w:val="both"/>
        <w:rPr>
          <w:b/>
        </w:rPr>
      </w:pPr>
      <w:r w:rsidRPr="00444D8F">
        <w:rPr>
          <w:rFonts w:eastAsia="Times New Roman" w:cstheme="minorHAnsi"/>
          <w:b/>
          <w:noProof/>
        </w:rPr>
        <w:drawing>
          <wp:inline distT="0" distB="0" distL="0" distR="0" wp14:anchorId="2E163976" wp14:editId="25A7244F">
            <wp:extent cx="3942697" cy="2743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2697" cy="2743200"/>
                    </a:xfrm>
                    <a:prstGeom prst="rect">
                      <a:avLst/>
                    </a:prstGeom>
                    <a:noFill/>
                  </pic:spPr>
                </pic:pic>
              </a:graphicData>
            </a:graphic>
          </wp:inline>
        </w:drawing>
      </w:r>
    </w:p>
    <w:p w:rsidR="003A0D12" w:rsidRPr="00444D8F" w:rsidRDefault="003C5F7D" w:rsidP="009D1756">
      <w:pPr>
        <w:jc w:val="both"/>
        <w:rPr>
          <w:b/>
        </w:rPr>
      </w:pPr>
      <w:r w:rsidRPr="00444D8F">
        <w:rPr>
          <w:b/>
        </w:rPr>
        <w:lastRenderedPageBreak/>
        <w:t>4.4 Capacitate</w:t>
      </w:r>
      <w:r w:rsidR="005039C1" w:rsidRPr="00444D8F">
        <w:rPr>
          <w:b/>
        </w:rPr>
        <w:t xml:space="preserve"> de adaptare model - efecte</w:t>
      </w:r>
      <w:r w:rsidR="003A0D12" w:rsidRPr="00444D8F">
        <w:rPr>
          <w:b/>
        </w:rPr>
        <w:t>le Marii Recesiuni</w:t>
      </w:r>
    </w:p>
    <w:p w:rsidR="005039C1" w:rsidRPr="00444D8F" w:rsidRDefault="003A0D12" w:rsidP="009D1756">
      <w:pPr>
        <w:jc w:val="both"/>
      </w:pPr>
      <w:r w:rsidRPr="00444D8F">
        <w:t xml:space="preserve">Fiind o economie mică </w:t>
      </w:r>
      <w:r w:rsidR="00576D4A" w:rsidRPr="00444D8F">
        <w:t>ş</w:t>
      </w:r>
      <w:r w:rsidRPr="00444D8F">
        <w:t>i deschisă, Danemarca a fost grav afectat</w:t>
      </w:r>
      <w:r w:rsidR="00CB4F79" w:rsidRPr="00444D8F">
        <w:t>ă</w:t>
      </w:r>
      <w:r w:rsidRPr="00444D8F">
        <w:t xml:space="preserve"> de Marea Recesiune. Nu mai pu</w:t>
      </w:r>
      <w:r w:rsidR="00576D4A" w:rsidRPr="00444D8F">
        <w:t>ţ</w:t>
      </w:r>
      <w:r w:rsidRPr="00444D8F">
        <w:t xml:space="preserve">in de treisprezece </w:t>
      </w:r>
      <w:r w:rsidR="00576D4A" w:rsidRPr="00444D8F">
        <w:t>ţ</w:t>
      </w:r>
      <w:r w:rsidRPr="00444D8F">
        <w:t xml:space="preserve">ări </w:t>
      </w:r>
      <w:r w:rsidR="00BC15CD" w:rsidRPr="00444D8F">
        <w:t xml:space="preserve">- </w:t>
      </w:r>
      <w:r w:rsidRPr="00444D8F">
        <w:t xml:space="preserve">inclusiv </w:t>
      </w:r>
      <w:r w:rsidR="00BC15CD" w:rsidRPr="00444D8F">
        <w:t>Danemarca -</w:t>
      </w:r>
      <w:r w:rsidRPr="00444D8F">
        <w:t xml:space="preserve"> </w:t>
      </w:r>
      <w:r w:rsidR="00BC15CD" w:rsidRPr="00444D8F">
        <w:t xml:space="preserve">au </w:t>
      </w:r>
      <w:r w:rsidRPr="00444D8F">
        <w:t xml:space="preserve">experimentat o scădere a PIB-ului real </w:t>
      </w:r>
      <w:r w:rsidR="00BC15CD" w:rsidRPr="00444D8F">
        <w:t xml:space="preserve">de peste </w:t>
      </w:r>
      <w:r w:rsidRPr="00444D8F">
        <w:t xml:space="preserve">5 procente între 2008 </w:t>
      </w:r>
      <w:r w:rsidR="00576D4A" w:rsidRPr="00444D8F">
        <w:t>ş</w:t>
      </w:r>
      <w:r w:rsidRPr="00444D8F">
        <w:t>i 2009.</w:t>
      </w:r>
      <w:r w:rsidR="00CB4F79" w:rsidRPr="00444D8F">
        <w:t xml:space="preserve"> </w:t>
      </w:r>
      <w:r w:rsidRPr="00444D8F">
        <w:t xml:space="preserve">Danemarca a experimentat un model de </w:t>
      </w:r>
      <w:r w:rsidR="00BC15CD" w:rsidRPr="00444D8F">
        <w:t xml:space="preserve">prosperitate </w:t>
      </w:r>
      <w:r w:rsidRPr="00444D8F">
        <w:t>în trecut, cf. Figur</w:t>
      </w:r>
      <w:r w:rsidR="00BC15CD" w:rsidRPr="00444D8F">
        <w:t>ii</w:t>
      </w:r>
      <w:r w:rsidRPr="00444D8F">
        <w:t xml:space="preserve"> 4.4. </w:t>
      </w:r>
      <w:r w:rsidR="00BC15CD" w:rsidRPr="00444D8F">
        <w:t>Î</w:t>
      </w:r>
      <w:r w:rsidRPr="00444D8F">
        <w:t>nainte de Marea Recesiune, activitatea agregată</w:t>
      </w:r>
      <w:r w:rsidR="005023CD" w:rsidRPr="00444D8F">
        <w:t>/globală</w:t>
      </w:r>
      <w:r w:rsidRPr="00444D8F">
        <w:t xml:space="preserve"> a fost </w:t>
      </w:r>
      <w:r w:rsidR="00BC15CD" w:rsidRPr="00444D8F">
        <w:t xml:space="preserve">egală cu sau peste </w:t>
      </w:r>
      <w:r w:rsidRPr="00444D8F">
        <w:t>capacit</w:t>
      </w:r>
      <w:r w:rsidR="00BC15CD" w:rsidRPr="00444D8F">
        <w:t>atea</w:t>
      </w:r>
      <w:r w:rsidR="005023CD" w:rsidRPr="00444D8F">
        <w:t xml:space="preserve"> de utilizare totală</w:t>
      </w:r>
      <w:r w:rsidR="00CB4F79" w:rsidRPr="00444D8F">
        <w:t>.</w:t>
      </w:r>
      <w:r w:rsidR="005039C1" w:rsidRPr="00444D8F">
        <w:t xml:space="preserve"> </w:t>
      </w:r>
    </w:p>
    <w:p w:rsidR="001E7852" w:rsidRPr="00444D8F" w:rsidRDefault="003A0D12" w:rsidP="009D1756">
      <w:pPr>
        <w:jc w:val="both"/>
      </w:pPr>
      <w:r w:rsidRPr="00444D8F">
        <w:t xml:space="preserve">Au existat mai multe semne de supra-încălzire, inclusiv </w:t>
      </w:r>
      <w:r w:rsidR="00BC15CD" w:rsidRPr="00444D8F">
        <w:t xml:space="preserve">un </w:t>
      </w:r>
      <w:r w:rsidR="00576D4A" w:rsidRPr="00444D8F">
        <w:t>ş</w:t>
      </w:r>
      <w:r w:rsidRPr="00444D8F">
        <w:t>omaj foarte scăzut (cu mult sub nivelul structural), acceler</w:t>
      </w:r>
      <w:r w:rsidR="00CB4F79" w:rsidRPr="00444D8F">
        <w:t>area</w:t>
      </w:r>
      <w:r w:rsidRPr="00444D8F">
        <w:t xml:space="preserve"> cre</w:t>
      </w:r>
      <w:r w:rsidR="00576D4A" w:rsidRPr="00444D8F">
        <w:t>ş</w:t>
      </w:r>
      <w:r w:rsidRPr="00444D8F">
        <w:t>teril</w:t>
      </w:r>
      <w:r w:rsidR="00CB4F79" w:rsidRPr="00444D8F">
        <w:t>or</w:t>
      </w:r>
      <w:r w:rsidRPr="00444D8F">
        <w:t xml:space="preserve"> salariale, precum </w:t>
      </w:r>
      <w:r w:rsidR="00576D4A" w:rsidRPr="00444D8F">
        <w:t>ş</w:t>
      </w:r>
      <w:r w:rsidRPr="00444D8F">
        <w:t>i o pia</w:t>
      </w:r>
      <w:r w:rsidR="00576D4A" w:rsidRPr="00444D8F">
        <w:t>ţ</w:t>
      </w:r>
      <w:r w:rsidRPr="00444D8F">
        <w:t xml:space="preserve">ă </w:t>
      </w:r>
      <w:r w:rsidR="006E5077" w:rsidRPr="00444D8F">
        <w:t xml:space="preserve">a </w:t>
      </w:r>
      <w:r w:rsidRPr="00444D8F">
        <w:t>locuin</w:t>
      </w:r>
      <w:r w:rsidR="00576D4A" w:rsidRPr="00444D8F">
        <w:t>ţ</w:t>
      </w:r>
      <w:r w:rsidRPr="00444D8F">
        <w:t>e</w:t>
      </w:r>
      <w:r w:rsidR="006E5077" w:rsidRPr="00444D8F">
        <w:t>lor</w:t>
      </w:r>
      <w:r w:rsidRPr="00444D8F">
        <w:t xml:space="preserve"> în plină expansiune. Această evolu</w:t>
      </w:r>
      <w:r w:rsidR="00576D4A" w:rsidRPr="00444D8F">
        <w:t>ţ</w:t>
      </w:r>
      <w:r w:rsidRPr="00444D8F">
        <w:t xml:space="preserve">ie a fost determinată în mare măsură de cererea internă. Economia nu </w:t>
      </w:r>
      <w:r w:rsidR="00CB4F79" w:rsidRPr="00444D8F">
        <w:t>s-a situat</w:t>
      </w:r>
      <w:r w:rsidRPr="00444D8F">
        <w:t xml:space="preserve">, </w:t>
      </w:r>
      <w:r w:rsidR="00CB4F79" w:rsidRPr="00444D8F">
        <w:t>deci</w:t>
      </w:r>
      <w:r w:rsidRPr="00444D8F">
        <w:t xml:space="preserve">, pe o traiectorie sustenabilă, iar în ajunul Marii Recesiuni au existat deja </w:t>
      </w:r>
      <w:r w:rsidR="006E5077" w:rsidRPr="00444D8F">
        <w:t xml:space="preserve">semne </w:t>
      </w:r>
      <w:r w:rsidRPr="00444D8F">
        <w:t xml:space="preserve">că activitatea economică </w:t>
      </w:r>
      <w:r w:rsidR="006E5077" w:rsidRPr="00444D8F">
        <w:t>era în slăbi</w:t>
      </w:r>
      <w:r w:rsidRPr="00444D8F">
        <w:t>re. Marea Recesiune a accelerat această evolu</w:t>
      </w:r>
      <w:r w:rsidR="00576D4A" w:rsidRPr="00444D8F">
        <w:t>ţ</w:t>
      </w:r>
      <w:r w:rsidRPr="00444D8F">
        <w:t>ie. Combina</w:t>
      </w:r>
      <w:r w:rsidR="00576D4A" w:rsidRPr="00444D8F">
        <w:t>ţ</w:t>
      </w:r>
      <w:r w:rsidRPr="00444D8F">
        <w:t xml:space="preserve">ia dintre o </w:t>
      </w:r>
      <w:r w:rsidR="006E5077" w:rsidRPr="00444D8F">
        <w:t xml:space="preserve">direcţie deja în </w:t>
      </w:r>
      <w:r w:rsidRPr="00444D8F">
        <w:t>deceler</w:t>
      </w:r>
      <w:r w:rsidR="006E5077" w:rsidRPr="00444D8F">
        <w:t>are</w:t>
      </w:r>
      <w:r w:rsidRPr="00444D8F">
        <w:t xml:space="preserve"> </w:t>
      </w:r>
      <w:r w:rsidR="00576D4A" w:rsidRPr="00444D8F">
        <w:t>ş</w:t>
      </w:r>
      <w:r w:rsidRPr="00444D8F">
        <w:t xml:space="preserve">i Marea </w:t>
      </w:r>
      <w:r w:rsidR="006E5077" w:rsidRPr="00444D8F">
        <w:t>R</w:t>
      </w:r>
      <w:r w:rsidRPr="00444D8F">
        <w:t xml:space="preserve">ecesiune a indus o scădere abruptă a PIB-ului (vezi figura 4.4) </w:t>
      </w:r>
      <w:r w:rsidR="00576D4A" w:rsidRPr="00444D8F">
        <w:t>ş</w:t>
      </w:r>
      <w:r w:rsidRPr="00444D8F">
        <w:t xml:space="preserve">i </w:t>
      </w:r>
      <w:r w:rsidR="006E5077" w:rsidRPr="00444D8F">
        <w:t xml:space="preserve">a </w:t>
      </w:r>
      <w:r w:rsidRPr="00444D8F">
        <w:t>ocup</w:t>
      </w:r>
      <w:r w:rsidR="006E5077" w:rsidRPr="00444D8F">
        <w:t xml:space="preserve">ării </w:t>
      </w:r>
      <w:r w:rsidRPr="00444D8F">
        <w:t>for</w:t>
      </w:r>
      <w:r w:rsidR="00576D4A" w:rsidRPr="00444D8F">
        <w:t>ţ</w:t>
      </w:r>
      <w:r w:rsidRPr="00444D8F">
        <w:t xml:space="preserve">ei de muncă. Rata </w:t>
      </w:r>
      <w:r w:rsidR="00576D4A" w:rsidRPr="00444D8F">
        <w:t>ş</w:t>
      </w:r>
      <w:r w:rsidRPr="00444D8F">
        <w:t>omajului a crescut cu 2,</w:t>
      </w:r>
      <w:r w:rsidR="005023CD" w:rsidRPr="00444D8F">
        <w:t xml:space="preserve"> </w:t>
      </w:r>
      <w:r w:rsidRPr="00444D8F">
        <w:t xml:space="preserve">5 puncte procentuale între 2008 </w:t>
      </w:r>
      <w:r w:rsidR="00576D4A" w:rsidRPr="00444D8F">
        <w:t>ş</w:t>
      </w:r>
      <w:r w:rsidRPr="00444D8F">
        <w:t xml:space="preserve">i 2009 </w:t>
      </w:r>
      <w:r w:rsidR="00576D4A" w:rsidRPr="00444D8F">
        <w:t>ş</w:t>
      </w:r>
      <w:r w:rsidRPr="00444D8F">
        <w:t xml:space="preserve">i cu 4 puncte procentuale între 2008 </w:t>
      </w:r>
      <w:r w:rsidR="00576D4A" w:rsidRPr="00444D8F">
        <w:t>ş</w:t>
      </w:r>
      <w:r w:rsidRPr="00444D8F">
        <w:t>i 2010, aproape dublu fa</w:t>
      </w:r>
      <w:r w:rsidR="00576D4A" w:rsidRPr="00444D8F">
        <w:t>ţ</w:t>
      </w:r>
      <w:r w:rsidRPr="00444D8F">
        <w:t xml:space="preserve">ă de </w:t>
      </w:r>
      <w:r w:rsidR="006E5077" w:rsidRPr="00444D8F">
        <w:t xml:space="preserve">creşterea medie în </w:t>
      </w:r>
      <w:r w:rsidR="00576D4A" w:rsidRPr="00444D8F">
        <w:t>ţ</w:t>
      </w:r>
      <w:r w:rsidRPr="00444D8F">
        <w:t>ăril</w:t>
      </w:r>
      <w:r w:rsidR="006E5077" w:rsidRPr="00444D8F">
        <w:t>e</w:t>
      </w:r>
      <w:r w:rsidRPr="00444D8F">
        <w:t xml:space="preserve"> OCD</w:t>
      </w:r>
      <w:r w:rsidR="006E5077" w:rsidRPr="00444D8F">
        <w:t>E</w:t>
      </w:r>
      <w:r w:rsidRPr="00444D8F">
        <w:t xml:space="preserve">, cu toate că </w:t>
      </w:r>
      <w:r w:rsidR="00576D4A" w:rsidRPr="00444D8F">
        <w:t>ş</w:t>
      </w:r>
      <w:r w:rsidRPr="00444D8F">
        <w:t>omajul a rămas sub media OCDE. În timp ce cre</w:t>
      </w:r>
      <w:r w:rsidR="00576D4A" w:rsidRPr="00444D8F">
        <w:t>ş</w:t>
      </w:r>
      <w:r w:rsidRPr="00444D8F">
        <w:t>terea ini</w:t>
      </w:r>
      <w:r w:rsidR="00576D4A" w:rsidRPr="00444D8F">
        <w:t>ţ</w:t>
      </w:r>
      <w:r w:rsidRPr="00444D8F">
        <w:t xml:space="preserve">ială a fost mai mare decât pentru </w:t>
      </w:r>
      <w:r w:rsidR="00576D4A" w:rsidRPr="00444D8F">
        <w:t>ţ</w:t>
      </w:r>
      <w:r w:rsidRPr="00444D8F">
        <w:t xml:space="preserve">ările </w:t>
      </w:r>
      <w:r w:rsidR="005023CD" w:rsidRPr="00444D8F">
        <w:t xml:space="preserve">euro şi </w:t>
      </w:r>
      <w:r w:rsidRPr="00444D8F">
        <w:t>OCD</w:t>
      </w:r>
      <w:r w:rsidR="006E5077" w:rsidRPr="00444D8F">
        <w:t>E</w:t>
      </w:r>
      <w:r w:rsidRPr="00444D8F">
        <w:t xml:space="preserve">, </w:t>
      </w:r>
      <w:r w:rsidR="00576D4A" w:rsidRPr="00444D8F">
        <w:t>ş</w:t>
      </w:r>
      <w:r w:rsidRPr="00444D8F">
        <w:t>omajul ulterior a fost în scădere u</w:t>
      </w:r>
      <w:r w:rsidR="00576D4A" w:rsidRPr="00444D8F">
        <w:t>ş</w:t>
      </w:r>
      <w:r w:rsidRPr="00444D8F">
        <w:t>oară, cf. Figur</w:t>
      </w:r>
      <w:r w:rsidR="006E5077" w:rsidRPr="00444D8F">
        <w:t>ii</w:t>
      </w:r>
      <w:r w:rsidRPr="00444D8F">
        <w:t xml:space="preserve"> 4.5.</w:t>
      </w:r>
    </w:p>
    <w:p w:rsidR="001E7852" w:rsidRPr="00444D8F" w:rsidRDefault="001E7852" w:rsidP="009D1756">
      <w:pPr>
        <w:jc w:val="both"/>
        <w:rPr>
          <w:b/>
        </w:rPr>
      </w:pPr>
      <w:r w:rsidRPr="00444D8F">
        <w:rPr>
          <w:b/>
        </w:rPr>
        <w:t>Figura 4.5 Ratele şomajului</w:t>
      </w:r>
    </w:p>
    <w:p w:rsidR="00EC4075" w:rsidRPr="00444D8F" w:rsidRDefault="00FF774A" w:rsidP="009D1756">
      <w:pPr>
        <w:jc w:val="both"/>
      </w:pPr>
      <w:r w:rsidRPr="00444D8F">
        <w:t xml:space="preserve"> </w:t>
      </w:r>
      <w:r w:rsidR="00BC35E8" w:rsidRPr="00444D8F">
        <w:rPr>
          <w:b/>
          <w:noProof/>
        </w:rPr>
        <w:drawing>
          <wp:inline distT="0" distB="0" distL="0" distR="0" wp14:anchorId="1828A645" wp14:editId="6A7F680D">
            <wp:extent cx="4359154" cy="283464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9154" cy="2834640"/>
                    </a:xfrm>
                    <a:prstGeom prst="rect">
                      <a:avLst/>
                    </a:prstGeom>
                    <a:noFill/>
                  </pic:spPr>
                </pic:pic>
              </a:graphicData>
            </a:graphic>
          </wp:inline>
        </w:drawing>
      </w:r>
    </w:p>
    <w:p w:rsidR="003A0D12" w:rsidRPr="00444D8F" w:rsidRDefault="003A0D12" w:rsidP="009D1756">
      <w:pPr>
        <w:jc w:val="both"/>
        <w:rPr>
          <w:b/>
        </w:rPr>
      </w:pPr>
      <w:r w:rsidRPr="00444D8F">
        <w:t xml:space="preserve">Criza financiară nu a avut doar cauze externe, </w:t>
      </w:r>
      <w:r w:rsidR="0011054D" w:rsidRPr="00444D8F">
        <w:t xml:space="preserve">ci </w:t>
      </w:r>
      <w:r w:rsidR="006E5077" w:rsidRPr="00444D8F">
        <w:t xml:space="preserve">şi </w:t>
      </w:r>
      <w:r w:rsidRPr="00444D8F">
        <w:t>rădăcini interne</w:t>
      </w:r>
      <w:r w:rsidR="008072DC" w:rsidRPr="00444D8F">
        <w:t>,</w:t>
      </w:r>
      <w:r w:rsidRPr="00444D8F">
        <w:t xml:space="preserve"> legate de </w:t>
      </w:r>
      <w:r w:rsidR="006E5077" w:rsidRPr="00444D8F">
        <w:t xml:space="preserve">bula </w:t>
      </w:r>
      <w:r w:rsidRPr="00444D8F">
        <w:t>pre</w:t>
      </w:r>
      <w:r w:rsidR="00576D4A" w:rsidRPr="00444D8F">
        <w:t>ţ</w:t>
      </w:r>
      <w:r w:rsidR="008072DC" w:rsidRPr="00444D8F">
        <w:t xml:space="preserve">urilor </w:t>
      </w:r>
      <w:r w:rsidR="0011054D" w:rsidRPr="00444D8F">
        <w:t>de pe</w:t>
      </w:r>
      <w:r w:rsidRPr="00444D8F">
        <w:t xml:space="preserve"> pia</w:t>
      </w:r>
      <w:r w:rsidR="00576D4A" w:rsidRPr="00444D8F">
        <w:t>ţ</w:t>
      </w:r>
      <w:r w:rsidRPr="00444D8F">
        <w:t xml:space="preserve">a </w:t>
      </w:r>
      <w:r w:rsidR="006E5077" w:rsidRPr="00444D8F">
        <w:t xml:space="preserve">imobiliară </w:t>
      </w:r>
      <w:r w:rsidRPr="00444D8F">
        <w:t>daneză. Sectorul financiar a fost grav afectat de criză</w:t>
      </w:r>
      <w:r w:rsidR="008072DC" w:rsidRPr="00444D8F">
        <w:t xml:space="preserve"> </w:t>
      </w:r>
      <w:r w:rsidR="0011054D" w:rsidRPr="00444D8F">
        <w:rPr>
          <w:lang w:val="ro-RO"/>
        </w:rPr>
        <w:t xml:space="preserve">şi </w:t>
      </w:r>
      <w:r w:rsidR="0011054D" w:rsidRPr="00444D8F">
        <w:t xml:space="preserve">au fost </w:t>
      </w:r>
      <w:r w:rsidRPr="00444D8F">
        <w:t xml:space="preserve">introduse "pachete bancare", dar, </w:t>
      </w:r>
      <w:r w:rsidR="006E5077" w:rsidRPr="00444D8F">
        <w:t xml:space="preserve">întrucât </w:t>
      </w:r>
      <w:r w:rsidRPr="00444D8F">
        <w:t xml:space="preserve">acestea </w:t>
      </w:r>
      <w:r w:rsidR="005023CD" w:rsidRPr="00444D8F">
        <w:t xml:space="preserve">au avut la bază </w:t>
      </w:r>
      <w:r w:rsidRPr="00444D8F">
        <w:t xml:space="preserve">mecanisme </w:t>
      </w:r>
      <w:r w:rsidR="006E5077" w:rsidRPr="00444D8F">
        <w:t>de cauţiune</w:t>
      </w:r>
      <w:r w:rsidR="00CA06E9" w:rsidRPr="00444D8F">
        <w:t>,</w:t>
      </w:r>
      <w:r w:rsidR="006E5077" w:rsidRPr="00444D8F">
        <w:t xml:space="preserve"> </w:t>
      </w:r>
      <w:r w:rsidRPr="00444D8F">
        <w:t xml:space="preserve">nu au existat planuri </w:t>
      </w:r>
      <w:r w:rsidR="008072DC" w:rsidRPr="00444D8F">
        <w:t xml:space="preserve">publice </w:t>
      </w:r>
      <w:r w:rsidRPr="00444D8F">
        <w:t xml:space="preserve">de salvare ale sectorului financiar. De asemenea, </w:t>
      </w:r>
      <w:r w:rsidR="00CA06E9" w:rsidRPr="00444D8F">
        <w:t xml:space="preserve">trebuie subliniat </w:t>
      </w:r>
      <w:r w:rsidRPr="00444D8F">
        <w:t xml:space="preserve">faptul că, în ciuda </w:t>
      </w:r>
      <w:r w:rsidR="00CA06E9" w:rsidRPr="00444D8F">
        <w:t xml:space="preserve">reversului </w:t>
      </w:r>
      <w:r w:rsidR="008072DC" w:rsidRPr="00444D8F">
        <w:t>puternic</w:t>
      </w:r>
      <w:r w:rsidRPr="00444D8F">
        <w:t xml:space="preserve">, </w:t>
      </w:r>
      <w:r w:rsidR="0011054D" w:rsidRPr="00444D8F">
        <w:t xml:space="preserve">nu mai puţin </w:t>
      </w:r>
      <w:r w:rsidR="00CA06E9" w:rsidRPr="00444D8F">
        <w:t>în zona</w:t>
      </w:r>
      <w:r w:rsidR="0011054D" w:rsidRPr="00444D8F">
        <w:t xml:space="preserve"> pieţei mobiliare</w:t>
      </w:r>
      <w:r w:rsidRPr="00444D8F">
        <w:t>, nu a existat o cre</w:t>
      </w:r>
      <w:r w:rsidR="00576D4A" w:rsidRPr="00444D8F">
        <w:t>ş</w:t>
      </w:r>
      <w:r w:rsidRPr="00444D8F">
        <w:t>tere semnificativă a falimente</w:t>
      </w:r>
      <w:r w:rsidR="008072DC" w:rsidRPr="00444D8F">
        <w:t>lor în zona gospodăriilor</w:t>
      </w:r>
      <w:r w:rsidR="00CA06E9" w:rsidRPr="00444D8F">
        <w:t xml:space="preserve">/consumatorilor casnici danezi. </w:t>
      </w:r>
      <w:r w:rsidRPr="00444D8F">
        <w:t xml:space="preserve">Modelul de </w:t>
      </w:r>
      <w:r w:rsidRPr="00444D8F">
        <w:rPr>
          <w:b/>
        </w:rPr>
        <w:t>boom</w:t>
      </w:r>
      <w:r w:rsidR="00B833D1" w:rsidRPr="00444D8F">
        <w:rPr>
          <w:b/>
        </w:rPr>
        <w:t>-bust</w:t>
      </w:r>
      <w:r w:rsidRPr="00444D8F">
        <w:t xml:space="preserve"> </w:t>
      </w:r>
      <w:r w:rsidR="00E606FF" w:rsidRPr="00444D8F">
        <w:t>(</w:t>
      </w:r>
      <w:r w:rsidR="00E606FF" w:rsidRPr="00444D8F">
        <w:rPr>
          <w:i/>
        </w:rPr>
        <w:t xml:space="preserve">expansiune </w:t>
      </w:r>
      <w:r w:rsidR="0011054D" w:rsidRPr="00444D8F">
        <w:rPr>
          <w:i/>
        </w:rPr>
        <w:t>ş</w:t>
      </w:r>
      <w:r w:rsidR="00E606FF" w:rsidRPr="00444D8F">
        <w:rPr>
          <w:i/>
        </w:rPr>
        <w:t>i contrac</w:t>
      </w:r>
      <w:r w:rsidR="00E606FF" w:rsidRPr="00444D8F">
        <w:rPr>
          <w:i/>
          <w:lang w:val="ro-RO"/>
        </w:rPr>
        <w:t>ţ</w:t>
      </w:r>
      <w:r w:rsidR="0011054D" w:rsidRPr="00444D8F">
        <w:rPr>
          <w:i/>
        </w:rPr>
        <w:t>ie economică</w:t>
      </w:r>
      <w:r w:rsidR="00E606FF" w:rsidRPr="00444D8F">
        <w:t xml:space="preserve">) </w:t>
      </w:r>
      <w:r w:rsidR="00CA06E9" w:rsidRPr="00444D8F">
        <w:t xml:space="preserve">a fost, </w:t>
      </w:r>
      <w:r w:rsidRPr="00444D8F">
        <w:t>în anumite privin</w:t>
      </w:r>
      <w:r w:rsidR="00576D4A" w:rsidRPr="00444D8F">
        <w:t>ţ</w:t>
      </w:r>
      <w:r w:rsidRPr="00444D8F">
        <w:t>e</w:t>
      </w:r>
      <w:r w:rsidR="008072DC" w:rsidRPr="00444D8F">
        <w:t>,</w:t>
      </w:r>
      <w:r w:rsidRPr="00444D8F">
        <w:t xml:space="preserve"> similar cu ce</w:t>
      </w:r>
      <w:r w:rsidR="008072DC" w:rsidRPr="00444D8F">
        <w:t>l</w:t>
      </w:r>
      <w:r w:rsidRPr="00444D8F">
        <w:t xml:space="preserve"> observat în unele </w:t>
      </w:r>
      <w:r w:rsidR="00576D4A" w:rsidRPr="00444D8F">
        <w:t>ţ</w:t>
      </w:r>
      <w:r w:rsidRPr="00444D8F">
        <w:t xml:space="preserve">ări din sudul Europei (precum </w:t>
      </w:r>
      <w:r w:rsidRPr="00444D8F">
        <w:lastRenderedPageBreak/>
        <w:t xml:space="preserve">Portugalia </w:t>
      </w:r>
      <w:r w:rsidR="00576D4A" w:rsidRPr="00444D8F">
        <w:t>ş</w:t>
      </w:r>
      <w:r w:rsidRPr="00444D8F">
        <w:t>i Spania), dar cu diferen</w:t>
      </w:r>
      <w:r w:rsidR="00576D4A" w:rsidRPr="00444D8F">
        <w:t>ţ</w:t>
      </w:r>
      <w:r w:rsidRPr="00444D8F">
        <w:t xml:space="preserve">a importantă </w:t>
      </w:r>
      <w:r w:rsidR="008072DC" w:rsidRPr="00444D8F">
        <w:t xml:space="preserve">că </w:t>
      </w:r>
      <w:r w:rsidRPr="00444D8F">
        <w:t xml:space="preserve">sectorul financiar </w:t>
      </w:r>
      <w:r w:rsidR="0011054D" w:rsidRPr="00444D8F">
        <w:t xml:space="preserve">din </w:t>
      </w:r>
      <w:r w:rsidRPr="00444D8F">
        <w:t>Danemarca a fost mai rezistent</w:t>
      </w:r>
      <w:r w:rsidR="0011054D" w:rsidRPr="00444D8F">
        <w:t>, iar</w:t>
      </w:r>
      <w:r w:rsidRPr="00444D8F">
        <w:t xml:space="preserve"> finan</w:t>
      </w:r>
      <w:r w:rsidR="00576D4A" w:rsidRPr="00444D8F">
        <w:t>ţ</w:t>
      </w:r>
      <w:r w:rsidRPr="00444D8F">
        <w:t xml:space="preserve">ele publice </w:t>
      </w:r>
      <w:r w:rsidR="008072DC" w:rsidRPr="00444D8F">
        <w:t xml:space="preserve">erau </w:t>
      </w:r>
      <w:r w:rsidRPr="00444D8F">
        <w:t>într-o pozi</w:t>
      </w:r>
      <w:r w:rsidR="00576D4A" w:rsidRPr="00444D8F">
        <w:t>ţ</w:t>
      </w:r>
      <w:r w:rsidRPr="00444D8F">
        <w:t>ie mult mai b</w:t>
      </w:r>
      <w:r w:rsidR="008072DC" w:rsidRPr="00444D8F">
        <w:t xml:space="preserve">ună pentru a </w:t>
      </w:r>
      <w:r w:rsidRPr="00444D8F">
        <w:t>absorb</w:t>
      </w:r>
      <w:r w:rsidR="008072DC" w:rsidRPr="00444D8F">
        <w:t>i</w:t>
      </w:r>
      <w:r w:rsidRPr="00444D8F">
        <w:t xml:space="preserve"> consecin</w:t>
      </w:r>
      <w:r w:rsidR="00576D4A" w:rsidRPr="00444D8F">
        <w:t>ţ</w:t>
      </w:r>
      <w:r w:rsidR="008072DC" w:rsidRPr="00444D8F">
        <w:t>e</w:t>
      </w:r>
      <w:r w:rsidRPr="00444D8F">
        <w:t>le declinului activită</w:t>
      </w:r>
      <w:r w:rsidR="00576D4A" w:rsidRPr="00444D8F">
        <w:t>ţ</w:t>
      </w:r>
      <w:r w:rsidRPr="00444D8F">
        <w:t>ii economice.</w:t>
      </w:r>
    </w:p>
    <w:p w:rsidR="00576D4A" w:rsidRPr="00444D8F" w:rsidRDefault="003A0D12" w:rsidP="009D1756">
      <w:pPr>
        <w:jc w:val="both"/>
      </w:pPr>
      <w:r w:rsidRPr="00444D8F">
        <w:t>Modelul de boom-bust poate fi par</w:t>
      </w:r>
      <w:r w:rsidR="00576D4A" w:rsidRPr="00444D8F">
        <w:t>ţ</w:t>
      </w:r>
      <w:r w:rsidRPr="00444D8F">
        <w:t>ial atribuit unei politici fiscale excesiv de slab</w:t>
      </w:r>
      <w:r w:rsidR="00B833D1" w:rsidRPr="00444D8F">
        <w:t>e</w:t>
      </w:r>
      <w:r w:rsidRPr="00444D8F">
        <w:t xml:space="preserve">. Economia </w:t>
      </w:r>
      <w:r w:rsidR="005023CD" w:rsidRPr="00444D8F">
        <w:t>era în plină expansiune</w:t>
      </w:r>
      <w:r w:rsidRPr="00444D8F">
        <w:t xml:space="preserve">, </w:t>
      </w:r>
      <w:r w:rsidR="00DE71A9" w:rsidRPr="00444D8F">
        <w:t xml:space="preserve">cu </w:t>
      </w:r>
      <w:r w:rsidRPr="00444D8F">
        <w:t>cre</w:t>
      </w:r>
      <w:r w:rsidR="00576D4A" w:rsidRPr="00444D8F">
        <w:t>ş</w:t>
      </w:r>
      <w:r w:rsidRPr="00444D8F">
        <w:t>tere</w:t>
      </w:r>
      <w:r w:rsidR="005023CD" w:rsidRPr="00444D8F">
        <w:t xml:space="preserve"> sporită a </w:t>
      </w:r>
      <w:r w:rsidRPr="00444D8F">
        <w:t xml:space="preserve">consumului </w:t>
      </w:r>
      <w:r w:rsidR="00576D4A" w:rsidRPr="00444D8F">
        <w:t>ş</w:t>
      </w:r>
      <w:r w:rsidRPr="00444D8F">
        <w:t>i investi</w:t>
      </w:r>
      <w:r w:rsidR="00576D4A" w:rsidRPr="00444D8F">
        <w:t>ţ</w:t>
      </w:r>
      <w:r w:rsidRPr="00444D8F">
        <w:t xml:space="preserve">iilor private, iar politica fiscală </w:t>
      </w:r>
      <w:r w:rsidR="00CA06E9" w:rsidRPr="00444D8F">
        <w:t xml:space="preserve">cu un pronunţat </w:t>
      </w:r>
      <w:r w:rsidR="00DE71A9" w:rsidRPr="00444D8F">
        <w:t xml:space="preserve">caracter expansionist. </w:t>
      </w:r>
      <w:r w:rsidRPr="00444D8F">
        <w:t>Cu toate acestea, factorii de decizie politică au fost re</w:t>
      </w:r>
      <w:r w:rsidR="00DE71A9" w:rsidRPr="00444D8F">
        <w:t>zervaţi în privinţa înăspririi politicii fiscale.</w:t>
      </w:r>
      <w:r w:rsidRPr="00444D8F">
        <w:t xml:space="preserve"> Atunci când </w:t>
      </w:r>
      <w:r w:rsidR="00DE71A9" w:rsidRPr="00444D8F">
        <w:t xml:space="preserve">a fost abordat </w:t>
      </w:r>
      <w:r w:rsidR="00B833D1" w:rsidRPr="00444D8F">
        <w:t xml:space="preserve">din partea mai multor economişti </w:t>
      </w:r>
      <w:r w:rsidR="00DE71A9" w:rsidRPr="00444D8F">
        <w:t xml:space="preserve">cu solicitarea de a </w:t>
      </w:r>
      <w:r w:rsidR="002D4D8C" w:rsidRPr="00444D8F">
        <w:t>înăspr</w:t>
      </w:r>
      <w:r w:rsidR="00DE71A9" w:rsidRPr="00444D8F">
        <w:t>i</w:t>
      </w:r>
      <w:r w:rsidR="002D4D8C" w:rsidRPr="00444D8F">
        <w:t xml:space="preserve"> </w:t>
      </w:r>
      <w:r w:rsidRPr="00444D8F">
        <w:t>politica fiscală, premierul danez a declarat că economi</w:t>
      </w:r>
      <w:r w:rsidR="00576D4A" w:rsidRPr="00444D8F">
        <w:t>ş</w:t>
      </w:r>
      <w:r w:rsidRPr="00444D8F">
        <w:t xml:space="preserve">tii </w:t>
      </w:r>
      <w:r w:rsidR="00DE71A9" w:rsidRPr="00444D8F">
        <w:t xml:space="preserve">ar trebui să-şi </w:t>
      </w:r>
      <w:r w:rsidRPr="00444D8F">
        <w:t xml:space="preserve">rescrie </w:t>
      </w:r>
      <w:r w:rsidR="00B833D1" w:rsidRPr="00444D8F">
        <w:t xml:space="preserve">manualele </w:t>
      </w:r>
      <w:r w:rsidR="00CA06E9" w:rsidRPr="00444D8F">
        <w:t xml:space="preserve">şi să aprecieze </w:t>
      </w:r>
      <w:r w:rsidR="002D4D8C" w:rsidRPr="00444D8F">
        <w:t xml:space="preserve">cât </w:t>
      </w:r>
      <w:r w:rsidRPr="00444D8F">
        <w:t>de b</w:t>
      </w:r>
      <w:r w:rsidR="00E606FF" w:rsidRPr="00444D8F">
        <w:t>ună e situaţia. E</w:t>
      </w:r>
      <w:r w:rsidRPr="00444D8F">
        <w:t>volu</w:t>
      </w:r>
      <w:r w:rsidR="00576D4A" w:rsidRPr="00444D8F">
        <w:t>ţ</w:t>
      </w:r>
      <w:r w:rsidRPr="00444D8F">
        <w:t xml:space="preserve">iile ulterioare au confirmat faptul că </w:t>
      </w:r>
      <w:r w:rsidR="00576D4A" w:rsidRPr="00444D8F">
        <w:t xml:space="preserve">manualele au fost mai aproape de </w:t>
      </w:r>
      <w:r w:rsidR="00E606FF" w:rsidRPr="00444D8F">
        <w:t xml:space="preserve">adevăr </w:t>
      </w:r>
      <w:r w:rsidR="00576D4A" w:rsidRPr="00444D8F">
        <w:t>decât prim-ministru</w:t>
      </w:r>
      <w:r w:rsidR="00E606FF" w:rsidRPr="00444D8F">
        <w:t>l</w:t>
      </w:r>
      <w:r w:rsidR="00576D4A" w:rsidRPr="00444D8F">
        <w:t>!</w:t>
      </w:r>
      <w:r w:rsidR="00890AD0" w:rsidRPr="00444D8F">
        <w:t xml:space="preserve"> </w:t>
      </w:r>
      <w:r w:rsidR="001A0F98" w:rsidRPr="00444D8F">
        <w:t xml:space="preserve"> </w:t>
      </w:r>
    </w:p>
    <w:p w:rsidR="00C554CD" w:rsidRPr="00444D8F" w:rsidRDefault="00576D4A" w:rsidP="00C554CD">
      <w:pPr>
        <w:jc w:val="both"/>
      </w:pPr>
      <w:r w:rsidRPr="00444D8F">
        <w:t>Efectele destabilizatoare ale politicii fiscale a</w:t>
      </w:r>
      <w:r w:rsidR="00E606FF" w:rsidRPr="00444D8F">
        <w:t>u</w:t>
      </w:r>
      <w:r w:rsidRPr="00444D8F">
        <w:t xml:space="preserve"> avut două surse principale: înghe</w:t>
      </w:r>
      <w:r w:rsidR="000F093A" w:rsidRPr="00444D8F">
        <w:t>ţ</w:t>
      </w:r>
      <w:r w:rsidRPr="00444D8F">
        <w:t>are</w:t>
      </w:r>
      <w:r w:rsidR="004F2F1F" w:rsidRPr="00444D8F">
        <w:t>a</w:t>
      </w:r>
      <w:r w:rsidRPr="00444D8F">
        <w:t xml:space="preserve"> fiscală </w:t>
      </w:r>
      <w:r w:rsidR="000F093A" w:rsidRPr="00444D8F">
        <w:t>ş</w:t>
      </w:r>
      <w:r w:rsidRPr="00444D8F">
        <w:t>i cre</w:t>
      </w:r>
      <w:r w:rsidR="000F093A" w:rsidRPr="00444D8F">
        <w:t>ş</w:t>
      </w:r>
      <w:r w:rsidRPr="00444D8F">
        <w:t>tere</w:t>
      </w:r>
      <w:r w:rsidR="00E606FF" w:rsidRPr="00444D8F">
        <w:t>a</w:t>
      </w:r>
      <w:r w:rsidRPr="00444D8F">
        <w:t xml:space="preserve"> ridicată a cheltuielilor publice. Guvernul liberal-conservator a introdus o a</w:t>
      </w:r>
      <w:r w:rsidR="000F093A" w:rsidRPr="00444D8F">
        <w:t>ş</w:t>
      </w:r>
      <w:r w:rsidRPr="00444D8F">
        <w:t>a-numită înghe</w:t>
      </w:r>
      <w:r w:rsidR="000F093A" w:rsidRPr="00444D8F">
        <w:t>ţ</w:t>
      </w:r>
      <w:r w:rsidRPr="00444D8F">
        <w:t>are fiscală cu inten</w:t>
      </w:r>
      <w:r w:rsidR="000F093A" w:rsidRPr="00444D8F">
        <w:t>ţ</w:t>
      </w:r>
      <w:r w:rsidRPr="00444D8F">
        <w:t xml:space="preserve">ia de </w:t>
      </w:r>
      <w:r w:rsidR="00E606FF" w:rsidRPr="00444D8F">
        <w:t xml:space="preserve">a </w:t>
      </w:r>
      <w:r w:rsidR="009C6E0D" w:rsidRPr="00444D8F">
        <w:t xml:space="preserve">modera/limita </w:t>
      </w:r>
      <w:r w:rsidRPr="00444D8F">
        <w:t>cheltuielil</w:t>
      </w:r>
      <w:r w:rsidR="00E606FF" w:rsidRPr="00444D8F">
        <w:t>e</w:t>
      </w:r>
      <w:r w:rsidRPr="00444D8F">
        <w:t xml:space="preserve"> din sectorul public. Înghe</w:t>
      </w:r>
      <w:r w:rsidR="000F093A" w:rsidRPr="00444D8F">
        <w:t>ţ</w:t>
      </w:r>
      <w:r w:rsidRPr="00444D8F">
        <w:t xml:space="preserve">area fiscală a </w:t>
      </w:r>
      <w:r w:rsidR="00DD30E4" w:rsidRPr="00444D8F">
        <w:t>limitat cre</w:t>
      </w:r>
      <w:r w:rsidR="00DD30E4" w:rsidRPr="00444D8F">
        <w:rPr>
          <w:lang w:val="ro-RO"/>
        </w:rPr>
        <w:t>ş</w:t>
      </w:r>
      <w:r w:rsidR="00DD30E4" w:rsidRPr="00444D8F">
        <w:t xml:space="preserve">terea </w:t>
      </w:r>
      <w:r w:rsidRPr="00444D8F">
        <w:t>ratel</w:t>
      </w:r>
      <w:r w:rsidR="00DD30E4" w:rsidRPr="00444D8F">
        <w:t>or</w:t>
      </w:r>
      <w:r w:rsidRPr="00444D8F">
        <w:t xml:space="preserve"> de impozitare, dar pentru impozitele pe proprietate </w:t>
      </w:r>
      <w:r w:rsidR="000F093A" w:rsidRPr="00444D8F">
        <w:t>ş</w:t>
      </w:r>
      <w:r w:rsidRPr="00444D8F">
        <w:t>i unele accize înghe</w:t>
      </w:r>
      <w:r w:rsidR="000F093A" w:rsidRPr="00444D8F">
        <w:t>ţ</w:t>
      </w:r>
      <w:r w:rsidRPr="00444D8F">
        <w:t xml:space="preserve">area a fost </w:t>
      </w:r>
      <w:r w:rsidR="00DD30E4" w:rsidRPr="00444D8F">
        <w:t>stabilită</w:t>
      </w:r>
      <w:r w:rsidRPr="00444D8F">
        <w:t xml:space="preserve"> </w:t>
      </w:r>
      <w:r w:rsidR="00E606FF" w:rsidRPr="00444D8F">
        <w:t xml:space="preserve">prin </w:t>
      </w:r>
      <w:r w:rsidRPr="00444D8F">
        <w:t>plă</w:t>
      </w:r>
      <w:r w:rsidR="000F093A" w:rsidRPr="00444D8F">
        <w:t>ţ</w:t>
      </w:r>
      <w:r w:rsidR="004F2F1F" w:rsidRPr="00444D8F">
        <w:t>i fiscale nominale.</w:t>
      </w:r>
      <w:r w:rsidR="004145D4" w:rsidRPr="00444D8F">
        <w:rPr>
          <w:rStyle w:val="FootnoteReference"/>
        </w:rPr>
        <w:footnoteReference w:id="14"/>
      </w:r>
      <w:r w:rsidR="00BC35E8" w:rsidRPr="00444D8F">
        <w:rPr>
          <w:vertAlign w:val="superscript"/>
        </w:rPr>
        <w:t xml:space="preserve"> </w:t>
      </w:r>
      <w:r w:rsidRPr="00444D8F">
        <w:t>În situa</w:t>
      </w:r>
      <w:r w:rsidR="000F093A" w:rsidRPr="00444D8F">
        <w:t>ţ</w:t>
      </w:r>
      <w:r w:rsidRPr="00444D8F">
        <w:t>i</w:t>
      </w:r>
      <w:r w:rsidR="00B14070" w:rsidRPr="00444D8F">
        <w:t xml:space="preserve">a </w:t>
      </w:r>
      <w:r w:rsidRPr="00444D8F">
        <w:t>cre</w:t>
      </w:r>
      <w:r w:rsidR="000F093A" w:rsidRPr="00444D8F">
        <w:t>ş</w:t>
      </w:r>
      <w:r w:rsidRPr="00444D8F">
        <w:t>ter</w:t>
      </w:r>
      <w:r w:rsidR="00B14070" w:rsidRPr="00444D8F">
        <w:t>i</w:t>
      </w:r>
      <w:r w:rsidR="00DD30E4" w:rsidRPr="00444D8F">
        <w:t>i</w:t>
      </w:r>
      <w:r w:rsidRPr="00444D8F">
        <w:t xml:space="preserve"> rapid</w:t>
      </w:r>
      <w:r w:rsidR="00B14070" w:rsidRPr="00444D8F">
        <w:t>e</w:t>
      </w:r>
      <w:r w:rsidRPr="00444D8F">
        <w:t xml:space="preserve"> a pre</w:t>
      </w:r>
      <w:r w:rsidR="000F093A" w:rsidRPr="00444D8F">
        <w:t>ţ</w:t>
      </w:r>
      <w:r w:rsidRPr="00444D8F">
        <w:t>urilor locuin</w:t>
      </w:r>
      <w:r w:rsidR="000F093A" w:rsidRPr="00444D8F">
        <w:t>ţ</w:t>
      </w:r>
      <w:r w:rsidRPr="00444D8F">
        <w:t>elor, ace</w:t>
      </w:r>
      <w:r w:rsidR="00B14070" w:rsidRPr="00444D8F">
        <w:t>st</w:t>
      </w:r>
      <w:r w:rsidR="00CB59F0" w:rsidRPr="00444D8F">
        <w:t xml:space="preserve"> lucru</w:t>
      </w:r>
      <w:r w:rsidR="00B14070" w:rsidRPr="00444D8F">
        <w:t xml:space="preserve"> a </w:t>
      </w:r>
      <w:r w:rsidRPr="00444D8F">
        <w:t xml:space="preserve">redus ratele </w:t>
      </w:r>
      <w:r w:rsidR="002D4D8C" w:rsidRPr="00444D8F">
        <w:t>reale/</w:t>
      </w:r>
      <w:r w:rsidRPr="00444D8F">
        <w:t>efective de impozitare, care, la rândul lor, au contribuit la continuarea cre</w:t>
      </w:r>
      <w:r w:rsidR="000F093A" w:rsidRPr="00444D8F">
        <w:t>ş</w:t>
      </w:r>
      <w:r w:rsidRPr="00444D8F">
        <w:t>terii pre</w:t>
      </w:r>
      <w:r w:rsidR="000F093A" w:rsidRPr="00444D8F">
        <w:t>ţ</w:t>
      </w:r>
      <w:r w:rsidRPr="00444D8F">
        <w:t>u</w:t>
      </w:r>
      <w:r w:rsidR="00DD30E4" w:rsidRPr="00444D8F">
        <w:t>lui</w:t>
      </w:r>
      <w:r w:rsidRPr="00444D8F">
        <w:t xml:space="preserve"> </w:t>
      </w:r>
      <w:r w:rsidR="00B14070" w:rsidRPr="00444D8F">
        <w:t>locuinţelor</w:t>
      </w:r>
      <w:r w:rsidRPr="00444D8F">
        <w:t>. În acela</w:t>
      </w:r>
      <w:r w:rsidR="000F093A" w:rsidRPr="00444D8F">
        <w:t>ş</w:t>
      </w:r>
      <w:r w:rsidRPr="00444D8F">
        <w:t>i timp, cre</w:t>
      </w:r>
      <w:r w:rsidR="000F093A" w:rsidRPr="00444D8F">
        <w:t>ş</w:t>
      </w:r>
      <w:r w:rsidRPr="00444D8F">
        <w:t xml:space="preserve">terea consumului </w:t>
      </w:r>
      <w:r w:rsidR="00CB59F0" w:rsidRPr="00444D8F">
        <w:t xml:space="preserve">public </w:t>
      </w:r>
      <w:r w:rsidR="002D4D8C" w:rsidRPr="00444D8F">
        <w:t xml:space="preserve">era </w:t>
      </w:r>
      <w:r w:rsidRPr="00444D8F">
        <w:t>ridicat. Rata medie anuală de cre</w:t>
      </w:r>
      <w:r w:rsidR="000F093A" w:rsidRPr="00444D8F">
        <w:t>ş</w:t>
      </w:r>
      <w:r w:rsidRPr="00444D8F">
        <w:t xml:space="preserve">tere a cheltuielilor publice a fost de aproximativ 2 </w:t>
      </w:r>
      <w:r w:rsidR="00B14070" w:rsidRPr="00444D8F">
        <w:t xml:space="preserve">% </w:t>
      </w:r>
      <w:r w:rsidRPr="00444D8F">
        <w:t xml:space="preserve">în perioada </w:t>
      </w:r>
      <w:r w:rsidR="00CB59F0" w:rsidRPr="00444D8F">
        <w:t>premerg</w:t>
      </w:r>
      <w:r w:rsidR="00CB59F0" w:rsidRPr="00444D8F">
        <w:rPr>
          <w:lang w:val="ro-RO"/>
        </w:rPr>
        <w:t xml:space="preserve">ătoare </w:t>
      </w:r>
      <w:r w:rsidRPr="00444D8F">
        <w:t>Mar</w:t>
      </w:r>
      <w:r w:rsidR="00B14070" w:rsidRPr="00444D8F">
        <w:t>ii Recesiuni</w:t>
      </w:r>
      <w:r w:rsidRPr="00444D8F">
        <w:t xml:space="preserve"> - determinată în principal </w:t>
      </w:r>
      <w:r w:rsidR="00DD30E4" w:rsidRPr="00444D8F">
        <w:t xml:space="preserve">de </w:t>
      </w:r>
      <w:r w:rsidRPr="00444D8F">
        <w:t>cre</w:t>
      </w:r>
      <w:r w:rsidR="000F093A" w:rsidRPr="00444D8F">
        <w:t>ş</w:t>
      </w:r>
      <w:r w:rsidRPr="00444D8F">
        <w:t xml:space="preserve">terea cheltuielilor </w:t>
      </w:r>
      <w:r w:rsidR="00B14070" w:rsidRPr="00444D8F">
        <w:t xml:space="preserve">pentru </w:t>
      </w:r>
      <w:r w:rsidRPr="00444D8F">
        <w:t xml:space="preserve">sănătate - în timp ce </w:t>
      </w:r>
      <w:r w:rsidR="000F093A" w:rsidRPr="00444D8F">
        <w:t>ţ</w:t>
      </w:r>
      <w:r w:rsidRPr="00444D8F">
        <w:t xml:space="preserve">inta </w:t>
      </w:r>
      <w:r w:rsidR="00DD30E4" w:rsidRPr="00444D8F">
        <w:t xml:space="preserve">a fost </w:t>
      </w:r>
      <w:r w:rsidR="00B14070" w:rsidRPr="00444D8F">
        <w:t>de aproximativ 1%</w:t>
      </w:r>
      <w:r w:rsidRPr="00444D8F">
        <w:t xml:space="preserve">. </w:t>
      </w:r>
      <w:r w:rsidR="00CB59F0" w:rsidRPr="00444D8F">
        <w:t>Astfel, p</w:t>
      </w:r>
      <w:r w:rsidR="006A34D1" w:rsidRPr="00444D8F">
        <w:t xml:space="preserve">olitica fiscală a fost evident </w:t>
      </w:r>
      <w:r w:rsidRPr="00444D8F">
        <w:t>prociclic</w:t>
      </w:r>
      <w:r w:rsidR="00B14070" w:rsidRPr="00444D8F">
        <w:t>ă</w:t>
      </w:r>
      <w:r w:rsidRPr="00444D8F">
        <w:t xml:space="preserve"> în </w:t>
      </w:r>
      <w:r w:rsidR="006A34D1" w:rsidRPr="00444D8F">
        <w:t xml:space="preserve">această </w:t>
      </w:r>
      <w:r w:rsidRPr="00444D8F">
        <w:t>perioad</w:t>
      </w:r>
      <w:r w:rsidR="006A34D1" w:rsidRPr="00444D8F">
        <w:t>ă</w:t>
      </w:r>
      <w:r w:rsidRPr="00444D8F">
        <w:t>.</w:t>
      </w:r>
      <w:r w:rsidR="00BB2498" w:rsidRPr="00444D8F">
        <w:t xml:space="preserve"> </w:t>
      </w:r>
    </w:p>
    <w:p w:rsidR="00BB2498" w:rsidRPr="00444D8F" w:rsidRDefault="00BB2498" w:rsidP="00C554CD">
      <w:pPr>
        <w:jc w:val="both"/>
      </w:pPr>
      <w:r w:rsidRPr="00444D8F">
        <w:t>După izbucnirea Marii Recesiuni, politica fiscală a fost expansionistă. Danemarca se află în grupul ţărilor care au aplicat cea mai expansionistă politică fiscală în decursul perioadei 2009-2010. Prezenţa spaţiului fiscal a permis stabilizatorilor automaţi să funcţioneze (cel mai puternic în spaţiul OCDE) lăsând loc</w:t>
      </w:r>
      <w:r w:rsidR="004F2F1F" w:rsidRPr="00444D8F">
        <w:t xml:space="preserve"> politicilor discreţionare. </w:t>
      </w:r>
      <w:r w:rsidRPr="00444D8F">
        <w:t>În ace</w:t>
      </w:r>
      <w:r w:rsidR="004F2F1F" w:rsidRPr="00444D8F">
        <w:t>eaşi direcţie</w:t>
      </w:r>
      <w:r w:rsidRPr="00444D8F">
        <w:t xml:space="preserve"> se înscrie şi faptul că finanţele publice au fost consolidate înainte de criză; cf. Figurii 4.6, aceasta însemnând că a existat un anumit spaţiu de manevră în timpul Marii Recesiuni. </w:t>
      </w:r>
    </w:p>
    <w:p w:rsidR="00BB2498" w:rsidRPr="00444D8F" w:rsidRDefault="00BB2498" w:rsidP="00BB2498">
      <w:pPr>
        <w:jc w:val="both"/>
        <w:rPr>
          <w:b/>
        </w:rPr>
      </w:pPr>
      <w:r w:rsidRPr="00444D8F">
        <w:rPr>
          <w:b/>
        </w:rPr>
        <w:t xml:space="preserve">Figura 4.6 Stocurile datoriei brute </w:t>
      </w:r>
    </w:p>
    <w:p w:rsidR="007C67BD" w:rsidRPr="00444D8F" w:rsidRDefault="007C67BD" w:rsidP="00BB2498">
      <w:pPr>
        <w:jc w:val="both"/>
        <w:rPr>
          <w:b/>
        </w:rPr>
      </w:pPr>
      <w:r w:rsidRPr="00444D8F">
        <w:rPr>
          <w:b/>
          <w:noProof/>
        </w:rPr>
        <w:lastRenderedPageBreak/>
        <w:drawing>
          <wp:inline distT="0" distB="0" distL="0" distR="0" wp14:anchorId="34C7A366" wp14:editId="69D45060">
            <wp:extent cx="4427524" cy="2377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7524" cy="2377440"/>
                    </a:xfrm>
                    <a:prstGeom prst="rect">
                      <a:avLst/>
                    </a:prstGeom>
                    <a:noFill/>
                  </pic:spPr>
                </pic:pic>
              </a:graphicData>
            </a:graphic>
          </wp:inline>
        </w:drawing>
      </w:r>
    </w:p>
    <w:p w:rsidR="00C554CD" w:rsidRPr="00444D8F" w:rsidRDefault="00C554CD" w:rsidP="00C554CD">
      <w:pPr>
        <w:jc w:val="both"/>
      </w:pPr>
      <w:r w:rsidRPr="00444D8F">
        <w:t>Evaluarea datoriei în conformitate cu conceptul de datorii al Uniunii Monetare Europene. Sursa OCDE.</w:t>
      </w:r>
    </w:p>
    <w:p w:rsidR="00C554CD" w:rsidRPr="00444D8F" w:rsidRDefault="00C554CD" w:rsidP="00BB2498">
      <w:pPr>
        <w:jc w:val="both"/>
        <w:rPr>
          <w:b/>
        </w:rPr>
      </w:pPr>
    </w:p>
    <w:p w:rsidR="00FF774A" w:rsidRPr="00444D8F" w:rsidRDefault="00D37865" w:rsidP="009D1756">
      <w:pPr>
        <w:jc w:val="both"/>
      </w:pPr>
      <w:r w:rsidRPr="00444D8F">
        <w:t xml:space="preserve">Cu toate că Danemarca este una dintre </w:t>
      </w:r>
      <w:r w:rsidR="000F093A" w:rsidRPr="00444D8F">
        <w:t>ţ</w:t>
      </w:r>
      <w:r w:rsidRPr="00444D8F">
        <w:t>ările europene cu cele mai pu</w:t>
      </w:r>
      <w:r w:rsidR="000F093A" w:rsidRPr="00444D8F">
        <w:t>ţ</w:t>
      </w:r>
      <w:r w:rsidRPr="00444D8F">
        <w:t xml:space="preserve">ine probleme </w:t>
      </w:r>
      <w:r w:rsidR="002D1DF9" w:rsidRPr="00444D8F">
        <w:t>estim</w:t>
      </w:r>
      <w:r w:rsidRPr="00444D8F">
        <w:t xml:space="preserve">ate în </w:t>
      </w:r>
      <w:r w:rsidR="002D1DF9" w:rsidRPr="00444D8F">
        <w:t xml:space="preserve">privinţa </w:t>
      </w:r>
      <w:r w:rsidRPr="00444D8F">
        <w:t>indicatori</w:t>
      </w:r>
      <w:r w:rsidR="002D1DF9" w:rsidRPr="00444D8F">
        <w:t>lor</w:t>
      </w:r>
      <w:r w:rsidRPr="00444D8F">
        <w:t xml:space="preserve"> </w:t>
      </w:r>
      <w:r w:rsidR="002D1DF9" w:rsidRPr="00444D8F">
        <w:t xml:space="preserve">standard </w:t>
      </w:r>
      <w:r w:rsidRPr="00444D8F">
        <w:t>macroeconomici, criza s</w:t>
      </w:r>
      <w:r w:rsidR="006A34D1" w:rsidRPr="00444D8F">
        <w:t>-</w:t>
      </w:r>
      <w:r w:rsidRPr="00444D8F">
        <w:t>a dovedit a fi foarte persistent</w:t>
      </w:r>
      <w:r w:rsidR="006A34D1" w:rsidRPr="00444D8F">
        <w:t>ă</w:t>
      </w:r>
      <w:r w:rsidRPr="00444D8F">
        <w:t>. A</w:t>
      </w:r>
      <w:r w:rsidR="000F093A" w:rsidRPr="00444D8F">
        <w:t>ş</w:t>
      </w:r>
      <w:r w:rsidRPr="00444D8F">
        <w:t xml:space="preserve">a cum </w:t>
      </w:r>
      <w:r w:rsidR="004F2F1F" w:rsidRPr="00444D8F">
        <w:t xml:space="preserve">indică </w:t>
      </w:r>
      <w:r w:rsidRPr="00444D8F">
        <w:t>figura 4.4, activitatea a rămas în esen</w:t>
      </w:r>
      <w:r w:rsidR="000F093A" w:rsidRPr="00444D8F">
        <w:t>ţ</w:t>
      </w:r>
      <w:r w:rsidRPr="00444D8F">
        <w:t>ă neschimbată după o mică îmbunătă</w:t>
      </w:r>
      <w:r w:rsidR="000F093A" w:rsidRPr="00444D8F">
        <w:t>ţ</w:t>
      </w:r>
      <w:r w:rsidRPr="00444D8F">
        <w:t xml:space="preserve">ire </w:t>
      </w:r>
      <w:r w:rsidR="006A34D1" w:rsidRPr="00444D8F">
        <w:t xml:space="preserve">în </w:t>
      </w:r>
      <w:r w:rsidRPr="00444D8F">
        <w:t xml:space="preserve">2010-11. Cererea agregată a rămas </w:t>
      </w:r>
      <w:r w:rsidR="002D1DF9" w:rsidRPr="00444D8F">
        <w:t>atenuat</w:t>
      </w:r>
      <w:r w:rsidR="006A34D1" w:rsidRPr="00444D8F">
        <w:t>ă</w:t>
      </w:r>
      <w:r w:rsidRPr="00444D8F">
        <w:t xml:space="preserve">, în special din cauza consumului privat </w:t>
      </w:r>
      <w:r w:rsidR="006A34D1" w:rsidRPr="00444D8F">
        <w:t xml:space="preserve">şi investiţiilor </w:t>
      </w:r>
      <w:r w:rsidRPr="00444D8F">
        <w:t>intern</w:t>
      </w:r>
      <w:r w:rsidR="006A34D1" w:rsidRPr="00444D8F">
        <w:t>e</w:t>
      </w:r>
      <w:r w:rsidRPr="00444D8F">
        <w:t xml:space="preserve">, în timp ce exportul net a crescut. Reducerea prelungită a cererii </w:t>
      </w:r>
      <w:r w:rsidR="002C3188" w:rsidRPr="00444D8F">
        <w:t xml:space="preserve">private </w:t>
      </w:r>
      <w:r w:rsidRPr="00444D8F">
        <w:t>interne po</w:t>
      </w:r>
      <w:r w:rsidR="006A34D1" w:rsidRPr="00444D8F">
        <w:t>ate</w:t>
      </w:r>
      <w:r w:rsidRPr="00444D8F">
        <w:t xml:space="preserve"> fi legat</w:t>
      </w:r>
      <w:r w:rsidR="006A34D1" w:rsidRPr="00444D8F">
        <w:t>ă</w:t>
      </w:r>
      <w:r w:rsidRPr="00444D8F">
        <w:t xml:space="preserve"> de co</w:t>
      </w:r>
      <w:r w:rsidR="006A34D1" w:rsidRPr="00444D8F">
        <w:t>nsolidarea datoriilor, economiil</w:t>
      </w:r>
      <w:r w:rsidR="00DD30E4" w:rsidRPr="00444D8F">
        <w:t>or</w:t>
      </w:r>
      <w:r w:rsidR="006A34D1" w:rsidRPr="00444D8F">
        <w:t xml:space="preserve"> </w:t>
      </w:r>
      <w:r w:rsidR="00DE1F47" w:rsidRPr="00444D8F">
        <w:t xml:space="preserve">de </w:t>
      </w:r>
      <w:r w:rsidRPr="00444D8F">
        <w:t>precau</w:t>
      </w:r>
      <w:r w:rsidR="000F093A" w:rsidRPr="00444D8F">
        <w:t>ţ</w:t>
      </w:r>
      <w:r w:rsidRPr="00444D8F">
        <w:t xml:space="preserve">ie </w:t>
      </w:r>
      <w:r w:rsidR="000F093A" w:rsidRPr="00444D8F">
        <w:t>ş</w:t>
      </w:r>
      <w:r w:rsidRPr="00444D8F">
        <w:t>i a</w:t>
      </w:r>
      <w:r w:rsidR="000F093A" w:rsidRPr="00444D8F">
        <w:t>ş</w:t>
      </w:r>
      <w:r w:rsidRPr="00444D8F">
        <w:t>teptăril</w:t>
      </w:r>
      <w:r w:rsidR="00DD30E4" w:rsidRPr="00444D8F">
        <w:t>or</w:t>
      </w:r>
      <w:r w:rsidRPr="00444D8F">
        <w:t xml:space="preserve"> pesimiste </w:t>
      </w:r>
      <w:r w:rsidR="00DE1F47" w:rsidRPr="00444D8F">
        <w:t xml:space="preserve">determinate </w:t>
      </w:r>
      <w:r w:rsidRPr="00444D8F">
        <w:t xml:space="preserve">de modelul de boom-bust. Cu toate acestea, fiind o economie mică </w:t>
      </w:r>
      <w:r w:rsidR="000F093A" w:rsidRPr="00444D8F">
        <w:t>ş</w:t>
      </w:r>
      <w:r w:rsidRPr="00444D8F">
        <w:t>i deschisă, cererea externă rămâne de importan</w:t>
      </w:r>
      <w:r w:rsidR="000F093A" w:rsidRPr="00444D8F">
        <w:t>ţ</w:t>
      </w:r>
      <w:r w:rsidRPr="00444D8F">
        <w:t xml:space="preserve">ă </w:t>
      </w:r>
      <w:r w:rsidR="00DE1F47" w:rsidRPr="00444D8F">
        <w:t>vitală</w:t>
      </w:r>
      <w:r w:rsidRPr="00444D8F">
        <w:t>.</w:t>
      </w:r>
    </w:p>
    <w:p w:rsidR="00D37865" w:rsidRPr="00444D8F" w:rsidRDefault="00D37865" w:rsidP="009D1756">
      <w:pPr>
        <w:jc w:val="both"/>
      </w:pPr>
      <w:r w:rsidRPr="00444D8F">
        <w:rPr>
          <w:b/>
        </w:rPr>
        <w:t>4.4.1 Pia</w:t>
      </w:r>
      <w:r w:rsidR="000F093A" w:rsidRPr="00444D8F">
        <w:rPr>
          <w:b/>
        </w:rPr>
        <w:t>ţ</w:t>
      </w:r>
      <w:r w:rsidRPr="00444D8F">
        <w:rPr>
          <w:b/>
        </w:rPr>
        <w:t>a muncii - modelul de flexicuritate</w:t>
      </w:r>
    </w:p>
    <w:p w:rsidR="00C554CD" w:rsidRPr="00444D8F" w:rsidRDefault="009C54E1" w:rsidP="00172B04">
      <w:pPr>
        <w:pBdr>
          <w:bottom w:val="single" w:sz="6" w:space="1" w:color="auto"/>
        </w:pBdr>
        <w:jc w:val="both"/>
      </w:pPr>
      <w:r w:rsidRPr="00444D8F">
        <w:t>Ş</w:t>
      </w:r>
      <w:r w:rsidR="00D37865" w:rsidRPr="00444D8F">
        <w:t>omaj</w:t>
      </w:r>
      <w:r w:rsidRPr="00444D8F">
        <w:t>ul</w:t>
      </w:r>
      <w:r w:rsidR="00D37865" w:rsidRPr="00444D8F">
        <w:t xml:space="preserve"> scăzut </w:t>
      </w:r>
      <w:r w:rsidRPr="00444D8F">
        <w:t xml:space="preserve">din </w:t>
      </w:r>
      <w:r w:rsidR="00D37865" w:rsidRPr="00444D8F">
        <w:t xml:space="preserve">Danemarca, în special înainte de Marea </w:t>
      </w:r>
      <w:r w:rsidRPr="00444D8F">
        <w:t>R</w:t>
      </w:r>
      <w:r w:rsidR="00D37865" w:rsidRPr="00444D8F">
        <w:t xml:space="preserve">ecesiune, a generat o mare </w:t>
      </w:r>
      <w:r w:rsidRPr="00444D8F">
        <w:t xml:space="preserve">agitaţie </w:t>
      </w:r>
      <w:r w:rsidR="002D1DF9" w:rsidRPr="00444D8F">
        <w:t xml:space="preserve">vizavi </w:t>
      </w:r>
      <w:r w:rsidRPr="00444D8F">
        <w:t xml:space="preserve">de </w:t>
      </w:r>
      <w:r w:rsidR="00D37865" w:rsidRPr="00444D8F">
        <w:t>a</w:t>
      </w:r>
      <w:r w:rsidR="000F093A" w:rsidRPr="00444D8F">
        <w:t>ş</w:t>
      </w:r>
      <w:r w:rsidR="00D37865" w:rsidRPr="00444D8F">
        <w:t>a-numitul model de flexicuritate</w:t>
      </w:r>
      <w:r w:rsidR="00B06A79" w:rsidRPr="00444D8F">
        <w:t xml:space="preserve"> (flexibilitate şi securitate) pe piaţa forţei de muncă</w:t>
      </w:r>
      <w:r w:rsidR="00D37865" w:rsidRPr="00444D8F">
        <w:t>.</w:t>
      </w:r>
      <w:r w:rsidR="00A77498" w:rsidRPr="00444D8F">
        <w:rPr>
          <w:rStyle w:val="FootnoteReference"/>
        </w:rPr>
        <w:footnoteReference w:id="15"/>
      </w:r>
    </w:p>
    <w:p w:rsidR="00172B04" w:rsidRPr="00444D8F" w:rsidRDefault="00D37865" w:rsidP="00172B04">
      <w:pPr>
        <w:pBdr>
          <w:bottom w:val="single" w:sz="6" w:space="1" w:color="auto"/>
        </w:pBdr>
        <w:jc w:val="both"/>
      </w:pPr>
      <w:r w:rsidRPr="00444D8F">
        <w:t>Versiunea scurtă a modelului flexicurită</w:t>
      </w:r>
      <w:r w:rsidR="000F093A" w:rsidRPr="00444D8F">
        <w:t>ţ</w:t>
      </w:r>
      <w:r w:rsidRPr="00444D8F">
        <w:t>ii este</w:t>
      </w:r>
      <w:r w:rsidR="00B06A79" w:rsidRPr="00444D8F">
        <w:t xml:space="preserve"> urm</w:t>
      </w:r>
      <w:r w:rsidR="00B06A79" w:rsidRPr="00444D8F">
        <w:rPr>
          <w:lang w:val="ro-RO"/>
        </w:rPr>
        <w:t>ă</w:t>
      </w:r>
      <w:r w:rsidR="00B06A79" w:rsidRPr="00444D8F">
        <w:t>toarea</w:t>
      </w:r>
      <w:r w:rsidRPr="00444D8F">
        <w:t>: reguli</w:t>
      </w:r>
      <w:r w:rsidR="00B06A79" w:rsidRPr="00444D8F">
        <w:t>le</w:t>
      </w:r>
      <w:r w:rsidRPr="00444D8F">
        <w:t xml:space="preserve"> </w:t>
      </w:r>
      <w:r w:rsidR="002D1DF9" w:rsidRPr="00444D8F">
        <w:t xml:space="preserve">privind </w:t>
      </w:r>
      <w:r w:rsidRPr="00444D8F">
        <w:t>angajare</w:t>
      </w:r>
      <w:r w:rsidR="002D1DF9" w:rsidRPr="00444D8F">
        <w:t>a</w:t>
      </w:r>
      <w:r w:rsidRPr="00444D8F">
        <w:t xml:space="preserve"> </w:t>
      </w:r>
      <w:r w:rsidR="000F093A" w:rsidRPr="00444D8F">
        <w:t>ş</w:t>
      </w:r>
      <w:r w:rsidRPr="00444D8F">
        <w:t xml:space="preserve">i </w:t>
      </w:r>
      <w:r w:rsidR="00B06A79" w:rsidRPr="00444D8F">
        <w:t>concediere</w:t>
      </w:r>
      <w:r w:rsidR="002D1DF9" w:rsidRPr="00444D8F">
        <w:t>a</w:t>
      </w:r>
      <w:r w:rsidRPr="00444D8F">
        <w:t xml:space="preserve"> sunt destul de flexibile, iar schema asigurări</w:t>
      </w:r>
      <w:r w:rsidR="00B06A79" w:rsidRPr="00444D8F">
        <w:t>lor</w:t>
      </w:r>
      <w:r w:rsidRPr="00444D8F">
        <w:t xml:space="preserve"> de </w:t>
      </w:r>
      <w:r w:rsidR="000F093A" w:rsidRPr="00444D8F">
        <w:t>ş</w:t>
      </w:r>
      <w:r w:rsidRPr="00444D8F">
        <w:t>omaj este genero</w:t>
      </w:r>
      <w:r w:rsidR="00B06A79" w:rsidRPr="00444D8F">
        <w:t>a</w:t>
      </w:r>
      <w:r w:rsidRPr="00444D8F">
        <w:t>s</w:t>
      </w:r>
      <w:r w:rsidR="00B06A79" w:rsidRPr="00444D8F">
        <w:t>ă</w:t>
      </w:r>
      <w:r w:rsidRPr="00444D8F">
        <w:t xml:space="preserve"> </w:t>
      </w:r>
      <w:r w:rsidR="002D1DF9" w:rsidRPr="00444D8F">
        <w:t xml:space="preserve">comparativ cu </w:t>
      </w:r>
      <w:r w:rsidRPr="00444D8F">
        <w:t>standardele interna</w:t>
      </w:r>
      <w:r w:rsidR="000F093A" w:rsidRPr="00444D8F">
        <w:t>ţ</w:t>
      </w:r>
      <w:r w:rsidRPr="00444D8F">
        <w:t>ionale.</w:t>
      </w:r>
      <w:r w:rsidR="00B06A79" w:rsidRPr="00444D8F">
        <w:t xml:space="preserve"> </w:t>
      </w:r>
      <w:r w:rsidR="002D1DF9" w:rsidRPr="00444D8F">
        <w:t>Totuşi,</w:t>
      </w:r>
      <w:r w:rsidR="002C3188" w:rsidRPr="00444D8F">
        <w:t xml:space="preserve"> aceeaşi </w:t>
      </w:r>
      <w:r w:rsidR="00B06A79" w:rsidRPr="00444D8F">
        <w:t>situaţi</w:t>
      </w:r>
      <w:r w:rsidR="002C3188" w:rsidRPr="00444D8F">
        <w:t>e a existat şi</w:t>
      </w:r>
      <w:r w:rsidR="00B06A79" w:rsidRPr="00444D8F">
        <w:t xml:space="preserve"> în </w:t>
      </w:r>
      <w:r w:rsidRPr="00444D8F">
        <w:t xml:space="preserve">perioada de la mijlocul anilor 1970 </w:t>
      </w:r>
      <w:r w:rsidR="00B06A79" w:rsidRPr="00444D8F">
        <w:t xml:space="preserve">până în </w:t>
      </w:r>
      <w:r w:rsidRPr="00444D8F">
        <w:t xml:space="preserve">prima parte a anilor 1990, </w:t>
      </w:r>
      <w:r w:rsidR="00B06A79" w:rsidRPr="00444D8F">
        <w:t xml:space="preserve">când </w:t>
      </w:r>
      <w:r w:rsidRPr="00444D8F">
        <w:t xml:space="preserve">Danemarca </w:t>
      </w:r>
      <w:r w:rsidR="00B06A79" w:rsidRPr="00444D8F">
        <w:t xml:space="preserve">era citată </w:t>
      </w:r>
      <w:r w:rsidRPr="00444D8F">
        <w:t>în mod obi</w:t>
      </w:r>
      <w:r w:rsidR="000F093A" w:rsidRPr="00444D8F">
        <w:t>ş</w:t>
      </w:r>
      <w:r w:rsidRPr="00444D8F">
        <w:t xml:space="preserve">nuit ca o </w:t>
      </w:r>
      <w:r w:rsidR="000F093A" w:rsidRPr="00444D8F">
        <w:t>ţ</w:t>
      </w:r>
      <w:r w:rsidRPr="00444D8F">
        <w:t xml:space="preserve">ară de criză cu </w:t>
      </w:r>
      <w:r w:rsidR="00B06A79" w:rsidRPr="00444D8F">
        <w:t>problem</w:t>
      </w:r>
      <w:r w:rsidR="002D1DF9" w:rsidRPr="00444D8F">
        <w:t>e</w:t>
      </w:r>
      <w:r w:rsidR="00B06A79" w:rsidRPr="00444D8F">
        <w:t xml:space="preserve"> la</w:t>
      </w:r>
      <w:r w:rsidRPr="00444D8F">
        <w:t xml:space="preserve"> aproape </w:t>
      </w:r>
      <w:r w:rsidR="00B06A79" w:rsidRPr="00444D8F">
        <w:t>fiecar</w:t>
      </w:r>
      <w:r w:rsidRPr="00444D8F">
        <w:t xml:space="preserve">e indicator macroeconomic, inclusiv </w:t>
      </w:r>
      <w:r w:rsidR="000F093A" w:rsidRPr="00444D8F">
        <w:t>ş</w:t>
      </w:r>
      <w:r w:rsidRPr="00444D8F">
        <w:t>omaj</w:t>
      </w:r>
      <w:r w:rsidR="00B06A79" w:rsidRPr="00444D8F">
        <w:t>ul</w:t>
      </w:r>
      <w:r w:rsidRPr="00444D8F">
        <w:t xml:space="preserve"> ridicat </w:t>
      </w:r>
      <w:r w:rsidR="000F093A" w:rsidRPr="00444D8F">
        <w:t>ş</w:t>
      </w:r>
      <w:r w:rsidRPr="00444D8F">
        <w:t xml:space="preserve">i persistent. Prin urmare, partea </w:t>
      </w:r>
      <w:r w:rsidR="00202E9D" w:rsidRPr="00444D8F">
        <w:t xml:space="preserve">de </w:t>
      </w:r>
      <w:r w:rsidR="00B06A79" w:rsidRPr="00444D8F">
        <w:rPr>
          <w:i/>
        </w:rPr>
        <w:t>flexibil</w:t>
      </w:r>
      <w:r w:rsidR="00202E9D" w:rsidRPr="00444D8F">
        <w:rPr>
          <w:i/>
        </w:rPr>
        <w:t xml:space="preserve">itate </w:t>
      </w:r>
      <w:r w:rsidR="00202E9D" w:rsidRPr="00444D8F">
        <w:t xml:space="preserve">şi de </w:t>
      </w:r>
      <w:r w:rsidRPr="00444D8F">
        <w:rPr>
          <w:i/>
        </w:rPr>
        <w:t>securitate</w:t>
      </w:r>
      <w:r w:rsidRPr="00444D8F">
        <w:t xml:space="preserve"> a pachetului de politici daneze nu pot </w:t>
      </w:r>
      <w:r w:rsidR="00202E9D" w:rsidRPr="00444D8F">
        <w:t>explica</w:t>
      </w:r>
      <w:r w:rsidR="004F2F1F" w:rsidRPr="00444D8F">
        <w:t>,</w:t>
      </w:r>
      <w:r w:rsidR="00202E9D" w:rsidRPr="00444D8F">
        <w:t xml:space="preserve"> </w:t>
      </w:r>
      <w:r w:rsidR="004F2F1F" w:rsidRPr="00444D8F">
        <w:t xml:space="preserve">în mod izolat, </w:t>
      </w:r>
      <w:r w:rsidRPr="00444D8F">
        <w:t>performan</w:t>
      </w:r>
      <w:r w:rsidR="000F093A" w:rsidRPr="00444D8F">
        <w:t>ţ</w:t>
      </w:r>
      <w:r w:rsidRPr="00444D8F">
        <w:t>a pie</w:t>
      </w:r>
      <w:r w:rsidR="000F093A" w:rsidRPr="00444D8F">
        <w:t>ţ</w:t>
      </w:r>
      <w:r w:rsidRPr="00444D8F">
        <w:t>ei for</w:t>
      </w:r>
      <w:r w:rsidR="000F093A" w:rsidRPr="00444D8F">
        <w:t>ţ</w:t>
      </w:r>
      <w:r w:rsidRPr="00444D8F">
        <w:t>ei de muncă din Danemarca.</w:t>
      </w:r>
    </w:p>
    <w:p w:rsidR="007C67BD" w:rsidRPr="00444D8F" w:rsidRDefault="000B70A6" w:rsidP="007C67BD">
      <w:pPr>
        <w:ind w:right="252"/>
        <w:jc w:val="both"/>
      </w:pPr>
      <w:r w:rsidRPr="00444D8F">
        <w:t xml:space="preserve">Aspectul </w:t>
      </w:r>
      <w:r w:rsidR="004F2F1F" w:rsidRPr="00444D8F">
        <w:t>menţionat</w:t>
      </w:r>
      <w:r w:rsidRPr="00444D8F">
        <w:t xml:space="preserve"> </w:t>
      </w:r>
      <w:r w:rsidR="00D37865" w:rsidRPr="00444D8F">
        <w:t xml:space="preserve">nu </w:t>
      </w:r>
      <w:r w:rsidRPr="00444D8F">
        <w:t>înseamnă negarea</w:t>
      </w:r>
      <w:r w:rsidR="00D37865" w:rsidRPr="00444D8F">
        <w:t xml:space="preserve"> importan</w:t>
      </w:r>
      <w:r w:rsidR="000F093A" w:rsidRPr="00444D8F">
        <w:t>ţ</w:t>
      </w:r>
      <w:r w:rsidRPr="00444D8F">
        <w:t>ei</w:t>
      </w:r>
      <w:r w:rsidR="00D37865" w:rsidRPr="00444D8F">
        <w:t xml:space="preserve"> acestor elemente, dar subliniază faptul că acestea nu </w:t>
      </w:r>
      <w:r w:rsidR="002C3188" w:rsidRPr="00444D8F">
        <w:t xml:space="preserve">oferă </w:t>
      </w:r>
      <w:r w:rsidR="00D37865" w:rsidRPr="00444D8F">
        <w:t>garan</w:t>
      </w:r>
      <w:r w:rsidR="000F093A" w:rsidRPr="00444D8F">
        <w:t>ţ</w:t>
      </w:r>
      <w:r w:rsidR="00D37865" w:rsidRPr="00444D8F">
        <w:t>i</w:t>
      </w:r>
      <w:r w:rsidR="002C3188" w:rsidRPr="00444D8F">
        <w:t xml:space="preserve">a unei </w:t>
      </w:r>
      <w:r w:rsidR="00D37865" w:rsidRPr="00444D8F">
        <w:t>rat</w:t>
      </w:r>
      <w:r w:rsidR="002C3188" w:rsidRPr="00444D8F">
        <w:t>e</w:t>
      </w:r>
      <w:r w:rsidR="00D37865" w:rsidRPr="00444D8F">
        <w:t xml:space="preserve"> scăzut</w:t>
      </w:r>
      <w:r w:rsidR="002C3188" w:rsidRPr="00444D8F">
        <w:t>e</w:t>
      </w:r>
      <w:r w:rsidR="00D37865" w:rsidRPr="00444D8F">
        <w:t xml:space="preserve"> </w:t>
      </w:r>
      <w:r w:rsidR="000F093A" w:rsidRPr="00444D8F">
        <w:t>ş</w:t>
      </w:r>
      <w:r w:rsidR="00D37865" w:rsidRPr="00444D8F">
        <w:t>i stabil</w:t>
      </w:r>
      <w:r w:rsidR="002C3188" w:rsidRPr="00444D8F">
        <w:t>e</w:t>
      </w:r>
      <w:r w:rsidR="00D37865" w:rsidRPr="00444D8F">
        <w:t xml:space="preserve"> a </w:t>
      </w:r>
      <w:r w:rsidR="000F093A" w:rsidRPr="00444D8F">
        <w:t>ş</w:t>
      </w:r>
      <w:r w:rsidR="00D37865" w:rsidRPr="00444D8F">
        <w:t xml:space="preserve">omajului. </w:t>
      </w:r>
      <w:r w:rsidRPr="00444D8F">
        <w:t>Un rol important în justificarea experienţei daneze îl joacă o</w:t>
      </w:r>
      <w:r w:rsidR="00D37865" w:rsidRPr="00444D8F">
        <w:t xml:space="preserve"> serie de reforme </w:t>
      </w:r>
      <w:r w:rsidR="00202E9D" w:rsidRPr="00444D8F">
        <w:t>di</w:t>
      </w:r>
      <w:r w:rsidR="00D37865" w:rsidRPr="00444D8F">
        <w:t>n ultima jumătate a anilor 1990</w:t>
      </w:r>
      <w:r w:rsidRPr="00444D8F">
        <w:t>.</w:t>
      </w:r>
      <w:r w:rsidR="00D37865" w:rsidRPr="00444D8F">
        <w:t xml:space="preserve"> Obiectivul principal al </w:t>
      </w:r>
      <w:r w:rsidR="00D37865" w:rsidRPr="00444D8F">
        <w:lastRenderedPageBreak/>
        <w:t>acestor reforme a fost trecerea de la accent</w:t>
      </w:r>
      <w:r w:rsidR="00202E9D" w:rsidRPr="00444D8F">
        <w:t>ul</w:t>
      </w:r>
      <w:r w:rsidR="00D37865" w:rsidRPr="00444D8F">
        <w:t xml:space="preserve"> </w:t>
      </w:r>
      <w:r w:rsidR="00C6499F" w:rsidRPr="00444D8F">
        <w:t xml:space="preserve">preponderent </w:t>
      </w:r>
      <w:r w:rsidR="00D37865" w:rsidRPr="00444D8F">
        <w:t xml:space="preserve">pasiv </w:t>
      </w:r>
      <w:r w:rsidR="002C3188" w:rsidRPr="00444D8F">
        <w:t xml:space="preserve">privind </w:t>
      </w:r>
      <w:r w:rsidR="00D37865" w:rsidRPr="00444D8F">
        <w:t>protec</w:t>
      </w:r>
      <w:r w:rsidR="000F093A" w:rsidRPr="00444D8F">
        <w:t>ţ</w:t>
      </w:r>
      <w:r w:rsidR="00D37865" w:rsidRPr="00444D8F">
        <w:t>i</w:t>
      </w:r>
      <w:r w:rsidR="002C3188" w:rsidRPr="00444D8F">
        <w:t>a</w:t>
      </w:r>
      <w:r w:rsidR="00D37865" w:rsidRPr="00444D8F">
        <w:t xml:space="preserve"> veniturilor la un accent mai activ p</w:t>
      </w:r>
      <w:r w:rsidRPr="00444D8F">
        <w:t xml:space="preserve">rivind </w:t>
      </w:r>
      <w:r w:rsidR="00C6499F" w:rsidRPr="00444D8F">
        <w:t xml:space="preserve">găsirea </w:t>
      </w:r>
      <w:r w:rsidR="00D37865" w:rsidRPr="00444D8F">
        <w:t xml:space="preserve">de locuri de muncă </w:t>
      </w:r>
      <w:r w:rsidR="000F093A" w:rsidRPr="00444D8F">
        <w:t>ş</w:t>
      </w:r>
      <w:r w:rsidR="00D37865" w:rsidRPr="00444D8F">
        <w:t>i ocupare</w:t>
      </w:r>
      <w:r w:rsidR="00202E9D" w:rsidRPr="00444D8F">
        <w:t>.</w:t>
      </w:r>
      <w:r w:rsidR="00D37865" w:rsidRPr="00444D8F">
        <w:t xml:space="preserve"> Politica </w:t>
      </w:r>
      <w:r w:rsidR="00202E9D" w:rsidRPr="00444D8F">
        <w:t xml:space="preserve">a </w:t>
      </w:r>
      <w:r w:rsidR="00D37865" w:rsidRPr="00444D8F">
        <w:t>înăsprit eligibilitate</w:t>
      </w:r>
      <w:r w:rsidR="00202E9D" w:rsidRPr="00444D8F">
        <w:t xml:space="preserve">a </w:t>
      </w:r>
      <w:r w:rsidR="00C6499F" w:rsidRPr="00444D8F">
        <w:t xml:space="preserve">pentru </w:t>
      </w:r>
      <w:r w:rsidR="00D37865" w:rsidRPr="00444D8F">
        <w:t>ajuto</w:t>
      </w:r>
      <w:r w:rsidR="00202E9D" w:rsidRPr="00444D8F">
        <w:t>arele</w:t>
      </w:r>
      <w:r w:rsidR="00D37865" w:rsidRPr="00444D8F">
        <w:t xml:space="preserve"> de </w:t>
      </w:r>
      <w:r w:rsidR="000F093A" w:rsidRPr="00444D8F">
        <w:t>ş</w:t>
      </w:r>
      <w:r w:rsidR="00D37865" w:rsidRPr="00444D8F">
        <w:t xml:space="preserve">omaj </w:t>
      </w:r>
      <w:r w:rsidR="000F093A" w:rsidRPr="00444D8F">
        <w:t>ş</w:t>
      </w:r>
      <w:r w:rsidR="00D37865" w:rsidRPr="00444D8F">
        <w:t xml:space="preserve">i </w:t>
      </w:r>
      <w:r w:rsidR="00202E9D" w:rsidRPr="00444D8F">
        <w:t xml:space="preserve">a </w:t>
      </w:r>
      <w:r w:rsidR="004F2F1F" w:rsidRPr="00444D8F">
        <w:t>scurtat durata acestora</w:t>
      </w:r>
      <w:r w:rsidR="00A77498" w:rsidRPr="00444D8F">
        <w:rPr>
          <w:rStyle w:val="FootnoteReference"/>
        </w:rPr>
        <w:footnoteReference w:id="16"/>
      </w:r>
      <w:r w:rsidR="00047ED2" w:rsidRPr="00444D8F">
        <w:rPr>
          <w:vertAlign w:val="superscript"/>
        </w:rPr>
        <w:t xml:space="preserve"> </w:t>
      </w:r>
      <w:r w:rsidR="000F093A" w:rsidRPr="00444D8F">
        <w:t>ş</w:t>
      </w:r>
      <w:r w:rsidR="00D37865" w:rsidRPr="00444D8F">
        <w:t>i</w:t>
      </w:r>
      <w:r w:rsidRPr="00444D8F">
        <w:t>, de asemenea, a</w:t>
      </w:r>
      <w:r w:rsidR="00D37865" w:rsidRPr="00444D8F">
        <w:t xml:space="preserve"> introdu</w:t>
      </w:r>
      <w:r w:rsidRPr="00444D8F">
        <w:t>s</w:t>
      </w:r>
      <w:r w:rsidR="00D37865" w:rsidRPr="00444D8F">
        <w:t xml:space="preserve"> elemente </w:t>
      </w:r>
      <w:r w:rsidRPr="00444D8F">
        <w:t xml:space="preserve">de </w:t>
      </w:r>
      <w:r w:rsidR="00202E9D" w:rsidRPr="00444D8F">
        <w:t>prestare de muncă</w:t>
      </w:r>
      <w:r w:rsidR="00D37865" w:rsidRPr="00444D8F">
        <w:t xml:space="preserve"> </w:t>
      </w:r>
      <w:r w:rsidRPr="00444D8F">
        <w:t xml:space="preserve">/ </w:t>
      </w:r>
      <w:r w:rsidRPr="00444D8F">
        <w:rPr>
          <w:i/>
        </w:rPr>
        <w:t xml:space="preserve">workfare </w:t>
      </w:r>
      <w:r w:rsidR="00D37865" w:rsidRPr="00444D8F">
        <w:t xml:space="preserve">în asigurarea de </w:t>
      </w:r>
      <w:r w:rsidR="000F093A" w:rsidRPr="00444D8F">
        <w:t>ş</w:t>
      </w:r>
      <w:r w:rsidR="00D37865" w:rsidRPr="00444D8F">
        <w:t xml:space="preserve">omaj </w:t>
      </w:r>
      <w:r w:rsidR="000F093A" w:rsidRPr="00444D8F">
        <w:t>ş</w:t>
      </w:r>
      <w:r w:rsidR="00D37865" w:rsidRPr="00444D8F">
        <w:t xml:space="preserve">i </w:t>
      </w:r>
      <w:r w:rsidR="00202E9D" w:rsidRPr="00444D8F">
        <w:t xml:space="preserve">în </w:t>
      </w:r>
      <w:r w:rsidR="00D37865" w:rsidRPr="00444D8F">
        <w:t>politicile sociale în general.</w:t>
      </w:r>
    </w:p>
    <w:p w:rsidR="00FF774A" w:rsidRPr="00444D8F" w:rsidRDefault="00202E9D" w:rsidP="009D1756">
      <w:pPr>
        <w:jc w:val="both"/>
      </w:pPr>
      <w:r w:rsidRPr="00444D8F">
        <w:t xml:space="preserve">Întrucât </w:t>
      </w:r>
      <w:r w:rsidR="00D37865" w:rsidRPr="00444D8F">
        <w:t xml:space="preserve">Danemarca a </w:t>
      </w:r>
      <w:r w:rsidRPr="00444D8F">
        <w:t xml:space="preserve">primit </w:t>
      </w:r>
      <w:r w:rsidR="00D37865" w:rsidRPr="00444D8F">
        <w:t xml:space="preserve">o </w:t>
      </w:r>
      <w:r w:rsidR="000B70A6" w:rsidRPr="00444D8F">
        <w:t xml:space="preserve">lovitură </w:t>
      </w:r>
      <w:r w:rsidR="00D37865" w:rsidRPr="00444D8F">
        <w:t xml:space="preserve">severă în timpul Marii Recesiuni, modelul de flexicuritate a fost supus unui test serios. Modelul </w:t>
      </w:r>
      <w:r w:rsidRPr="00444D8F">
        <w:t xml:space="preserve">în sine </w:t>
      </w:r>
      <w:r w:rsidR="00D37865" w:rsidRPr="00444D8F">
        <w:t>nu poate preveni cicluri</w:t>
      </w:r>
      <w:r w:rsidRPr="00444D8F">
        <w:t>le</w:t>
      </w:r>
      <w:r w:rsidR="00D37865" w:rsidRPr="00444D8F">
        <w:t xml:space="preserve">, iar întrebarea interesantă este dacă modelul poate rezista </w:t>
      </w:r>
      <w:r w:rsidR="004F2F1F" w:rsidRPr="00444D8F">
        <w:t xml:space="preserve">în condiţiile </w:t>
      </w:r>
      <w:r w:rsidR="00D37865" w:rsidRPr="00444D8F">
        <w:t>un</w:t>
      </w:r>
      <w:r w:rsidRPr="00444D8F">
        <w:t>ui</w:t>
      </w:r>
      <w:r w:rsidR="00D37865" w:rsidRPr="00444D8F">
        <w:t xml:space="preserve"> declin semnificativ. Normele de </w:t>
      </w:r>
      <w:r w:rsidRPr="00444D8F">
        <w:t xml:space="preserve">concediere </w:t>
      </w:r>
      <w:r w:rsidR="00D37865" w:rsidRPr="00444D8F">
        <w:t xml:space="preserve">laxe </w:t>
      </w:r>
      <w:r w:rsidR="007B7B97" w:rsidRPr="00444D8F">
        <w:t>face p</w:t>
      </w:r>
      <w:r w:rsidR="000B70A6" w:rsidRPr="00444D8F">
        <w:t xml:space="preserve">osibilă </w:t>
      </w:r>
      <w:r w:rsidR="007B7B97" w:rsidRPr="00444D8F">
        <w:t xml:space="preserve">scăderea drastică a </w:t>
      </w:r>
      <w:r w:rsidR="00D37865" w:rsidRPr="00444D8F">
        <w:t>ocup</w:t>
      </w:r>
      <w:r w:rsidR="007B7B97" w:rsidRPr="00444D8F">
        <w:t>ării</w:t>
      </w:r>
      <w:r w:rsidR="00D37865" w:rsidRPr="00444D8F">
        <w:t xml:space="preserve"> for</w:t>
      </w:r>
      <w:r w:rsidR="000F093A" w:rsidRPr="00444D8F">
        <w:t>ţ</w:t>
      </w:r>
      <w:r w:rsidR="00D37865" w:rsidRPr="00444D8F">
        <w:t xml:space="preserve">ei de muncă </w:t>
      </w:r>
      <w:r w:rsidR="007B7B97" w:rsidRPr="00444D8F">
        <w:t>odată cu scăderea cererii agregate</w:t>
      </w:r>
      <w:r w:rsidR="00D37865" w:rsidRPr="00444D8F">
        <w:t xml:space="preserve">, </w:t>
      </w:r>
      <w:r w:rsidR="000F093A" w:rsidRPr="00444D8F">
        <w:t>ş</w:t>
      </w:r>
      <w:r w:rsidR="00D37865" w:rsidRPr="00444D8F">
        <w:t>i, de</w:t>
      </w:r>
      <w:r w:rsidR="000F093A" w:rsidRPr="00444D8F">
        <w:t>ş</w:t>
      </w:r>
      <w:r w:rsidR="00D37865" w:rsidRPr="00444D8F">
        <w:t xml:space="preserve">i </w:t>
      </w:r>
      <w:r w:rsidR="007B7B97" w:rsidRPr="00444D8F">
        <w:t xml:space="preserve">plasa de </w:t>
      </w:r>
      <w:r w:rsidR="00D37865" w:rsidRPr="00444D8F">
        <w:t>siguran</w:t>
      </w:r>
      <w:r w:rsidR="000F093A" w:rsidRPr="00444D8F">
        <w:t>ţ</w:t>
      </w:r>
      <w:r w:rsidR="007B7B97" w:rsidRPr="00444D8F">
        <w:t>ă</w:t>
      </w:r>
      <w:r w:rsidR="00D37865" w:rsidRPr="00444D8F">
        <w:t xml:space="preserve"> socială </w:t>
      </w:r>
      <w:r w:rsidR="007B7B97" w:rsidRPr="00444D8F">
        <w:t xml:space="preserve">asigură </w:t>
      </w:r>
      <w:r w:rsidR="00D37865" w:rsidRPr="00444D8F">
        <w:t>venituri</w:t>
      </w:r>
      <w:r w:rsidR="007B7B97" w:rsidRPr="00444D8F">
        <w:t>le</w:t>
      </w:r>
      <w:r w:rsidR="00D37865" w:rsidRPr="00444D8F">
        <w:t xml:space="preserve"> pentru </w:t>
      </w:r>
      <w:r w:rsidR="000F093A" w:rsidRPr="00444D8F">
        <w:t>ş</w:t>
      </w:r>
      <w:r w:rsidR="00D37865" w:rsidRPr="00444D8F">
        <w:t>omeri, viabilitatea financiară a modelului este risc</w:t>
      </w:r>
      <w:r w:rsidR="007B7B97" w:rsidRPr="00444D8F">
        <w:t xml:space="preserve">antă prin declinul </w:t>
      </w:r>
      <w:r w:rsidR="00D37865" w:rsidRPr="00444D8F">
        <w:t>nivelul</w:t>
      </w:r>
      <w:r w:rsidR="007B7B97" w:rsidRPr="00444D8F">
        <w:t>ui</w:t>
      </w:r>
      <w:r w:rsidR="00D37865" w:rsidRPr="00444D8F">
        <w:t xml:space="preserve"> </w:t>
      </w:r>
      <w:r w:rsidR="007B7B97" w:rsidRPr="00444D8F">
        <w:t xml:space="preserve">de </w:t>
      </w:r>
      <w:r w:rsidR="00D37865" w:rsidRPr="00444D8F">
        <w:t>ocup</w:t>
      </w:r>
      <w:r w:rsidR="007B7B97" w:rsidRPr="00444D8F">
        <w:t xml:space="preserve">are. </w:t>
      </w:r>
      <w:r w:rsidR="00D37865" w:rsidRPr="00444D8F">
        <w:t xml:space="preserve">Un declin prelungit </w:t>
      </w:r>
      <w:r w:rsidR="007B7B97" w:rsidRPr="00444D8F">
        <w:t xml:space="preserve">al </w:t>
      </w:r>
      <w:r w:rsidR="00D37865" w:rsidRPr="00444D8F">
        <w:t>ocup</w:t>
      </w:r>
      <w:r w:rsidR="007B7B97" w:rsidRPr="00444D8F">
        <w:t>ării</w:t>
      </w:r>
      <w:r w:rsidR="00D37865" w:rsidRPr="00444D8F">
        <w:t xml:space="preserve"> for</w:t>
      </w:r>
      <w:r w:rsidR="000F093A" w:rsidRPr="00444D8F">
        <w:t>ţ</w:t>
      </w:r>
      <w:r w:rsidR="00D37865" w:rsidRPr="00444D8F">
        <w:t xml:space="preserve">ei de muncă va reduce veniturile fiscale </w:t>
      </w:r>
      <w:r w:rsidR="000F093A" w:rsidRPr="00444D8F">
        <w:t>ş</w:t>
      </w:r>
      <w:r w:rsidR="00D37865" w:rsidRPr="00444D8F">
        <w:t xml:space="preserve">i </w:t>
      </w:r>
      <w:r w:rsidR="007B7B97" w:rsidRPr="00444D8F">
        <w:t xml:space="preserve">va </w:t>
      </w:r>
      <w:r w:rsidR="00D37865" w:rsidRPr="00444D8F">
        <w:t>cre</w:t>
      </w:r>
      <w:r w:rsidR="000F093A" w:rsidRPr="00444D8F">
        <w:t>ş</w:t>
      </w:r>
      <w:r w:rsidR="00D37865" w:rsidRPr="00444D8F">
        <w:t>te cheltuielil</w:t>
      </w:r>
      <w:r w:rsidR="007B7B97" w:rsidRPr="00444D8F">
        <w:t>e</w:t>
      </w:r>
      <w:r w:rsidR="00D37865" w:rsidRPr="00444D8F">
        <w:t xml:space="preserve"> sociale </w:t>
      </w:r>
      <w:r w:rsidR="007B7B97" w:rsidRPr="00444D8F">
        <w:t xml:space="preserve">punând astfel sub presiune </w:t>
      </w:r>
      <w:r w:rsidR="00D37865" w:rsidRPr="00444D8F">
        <w:t>finan</w:t>
      </w:r>
      <w:r w:rsidR="000F093A" w:rsidRPr="00444D8F">
        <w:t>ţ</w:t>
      </w:r>
      <w:r w:rsidR="00D37865" w:rsidRPr="00444D8F">
        <w:t>ele publice.</w:t>
      </w:r>
    </w:p>
    <w:p w:rsidR="004B24AC" w:rsidRPr="00444D8F" w:rsidRDefault="00D37865" w:rsidP="009D1756">
      <w:pPr>
        <w:jc w:val="both"/>
        <w:rPr>
          <w:b/>
        </w:rPr>
      </w:pPr>
      <w:r w:rsidRPr="00444D8F">
        <w:t>O trăsătură distinctivă a modelului flexicurită</w:t>
      </w:r>
      <w:r w:rsidR="000F093A" w:rsidRPr="00444D8F">
        <w:t>ţ</w:t>
      </w:r>
      <w:r w:rsidRPr="00444D8F">
        <w:t>ii este nivel</w:t>
      </w:r>
      <w:r w:rsidR="007B7B97" w:rsidRPr="00444D8F">
        <w:t>ul</w:t>
      </w:r>
      <w:r w:rsidRPr="00444D8F">
        <w:t xml:space="preserve"> ridicat </w:t>
      </w:r>
      <w:r w:rsidR="007B7B97" w:rsidRPr="00444D8F">
        <w:t xml:space="preserve">al </w:t>
      </w:r>
      <w:r w:rsidR="008E74F3" w:rsidRPr="00444D8F">
        <w:t xml:space="preserve">ratei de înlocuire a </w:t>
      </w:r>
      <w:r w:rsidRPr="00444D8F">
        <w:t>locuri</w:t>
      </w:r>
      <w:r w:rsidR="007B7B97" w:rsidRPr="00444D8F">
        <w:t>lor de muncă</w:t>
      </w:r>
      <w:r w:rsidRPr="00444D8F">
        <w:t xml:space="preserve">, ceea ce înseamnă că </w:t>
      </w:r>
      <w:r w:rsidR="000F093A" w:rsidRPr="00444D8F">
        <w:t>ş</w:t>
      </w:r>
      <w:r w:rsidRPr="00444D8F">
        <w:t xml:space="preserve">omerii (precum </w:t>
      </w:r>
      <w:r w:rsidR="000F093A" w:rsidRPr="00444D8F">
        <w:t>ş</w:t>
      </w:r>
      <w:r w:rsidRPr="00444D8F">
        <w:t>i tinerii care intră pe pia</w:t>
      </w:r>
      <w:r w:rsidR="000F093A" w:rsidRPr="00444D8F">
        <w:t>ţ</w:t>
      </w:r>
      <w:r w:rsidRPr="00444D8F">
        <w:t>a muncii), pot găsi un loc de muncă destul de u</w:t>
      </w:r>
      <w:r w:rsidR="000F093A" w:rsidRPr="00444D8F">
        <w:t>ş</w:t>
      </w:r>
      <w:r w:rsidRPr="00444D8F">
        <w:t xml:space="preserve">or </w:t>
      </w:r>
      <w:r w:rsidR="000F093A" w:rsidRPr="00444D8F">
        <w:t>ş</w:t>
      </w:r>
      <w:r w:rsidRPr="00444D8F">
        <w:t>i</w:t>
      </w:r>
      <w:r w:rsidR="00C6499F" w:rsidRPr="00444D8F">
        <w:t>, de asemenea</w:t>
      </w:r>
      <w:r w:rsidRPr="00444D8F">
        <w:t xml:space="preserve"> că</w:t>
      </w:r>
      <w:r w:rsidR="00C6499F" w:rsidRPr="00444D8F">
        <w:t>,</w:t>
      </w:r>
      <w:r w:rsidRPr="00444D8F">
        <w:t xml:space="preserve"> perioadel</w:t>
      </w:r>
      <w:r w:rsidR="007B7B97" w:rsidRPr="00444D8F">
        <w:t>e</w:t>
      </w:r>
      <w:r w:rsidRPr="00444D8F">
        <w:t xml:space="preserve"> de </w:t>
      </w:r>
      <w:r w:rsidR="000F093A" w:rsidRPr="00444D8F">
        <w:t>ş</w:t>
      </w:r>
      <w:r w:rsidRPr="00444D8F">
        <w:t xml:space="preserve">omaj sunt scurte. </w:t>
      </w:r>
      <w:r w:rsidR="00763950" w:rsidRPr="00444D8F">
        <w:t>Poate a</w:t>
      </w:r>
      <w:r w:rsidRPr="00444D8F">
        <w:t>ceastă caracteristică supravie</w:t>
      </w:r>
      <w:r w:rsidR="000F093A" w:rsidRPr="00444D8F">
        <w:t>ţ</w:t>
      </w:r>
      <w:r w:rsidRPr="00444D8F">
        <w:t xml:space="preserve">ui </w:t>
      </w:r>
      <w:r w:rsidR="007B7B97" w:rsidRPr="00444D8F">
        <w:t xml:space="preserve">unei </w:t>
      </w:r>
      <w:r w:rsidRPr="00444D8F">
        <w:t>scăder</w:t>
      </w:r>
      <w:r w:rsidR="007B7B97" w:rsidRPr="00444D8F">
        <w:t>i</w:t>
      </w:r>
      <w:r w:rsidRPr="00444D8F">
        <w:t xml:space="preserve"> semnificativ</w:t>
      </w:r>
      <w:r w:rsidR="007B7B97" w:rsidRPr="00444D8F">
        <w:t>e</w:t>
      </w:r>
      <w:r w:rsidRPr="00444D8F">
        <w:t xml:space="preserve"> a ocupării for</w:t>
      </w:r>
      <w:r w:rsidR="000F093A" w:rsidRPr="00444D8F">
        <w:t>ţ</w:t>
      </w:r>
      <w:r w:rsidRPr="00444D8F">
        <w:t>ei de muncă?</w:t>
      </w:r>
      <w:r w:rsidR="004B24AC" w:rsidRPr="00444D8F">
        <w:rPr>
          <w:b/>
        </w:rPr>
        <w:t xml:space="preserve"> </w:t>
      </w:r>
    </w:p>
    <w:p w:rsidR="007C67BD" w:rsidRPr="00444D8F" w:rsidRDefault="007C67BD" w:rsidP="009D1756">
      <w:pPr>
        <w:jc w:val="both"/>
        <w:rPr>
          <w:b/>
        </w:rPr>
      </w:pPr>
      <w:r w:rsidRPr="00444D8F">
        <w:rPr>
          <w:b/>
        </w:rPr>
        <w:t>Figura 4.7 Fluxuri intrărilor şi ieşirilor de locuri de muncă</w:t>
      </w:r>
    </w:p>
    <w:p w:rsidR="007C67BD" w:rsidRPr="00444D8F" w:rsidRDefault="007C67BD" w:rsidP="009D1756">
      <w:pPr>
        <w:jc w:val="both"/>
        <w:rPr>
          <w:b/>
        </w:rPr>
      </w:pPr>
      <w:r w:rsidRPr="00444D8F">
        <w:rPr>
          <w:b/>
          <w:noProof/>
        </w:rPr>
        <w:drawing>
          <wp:inline distT="0" distB="0" distL="0" distR="0" wp14:anchorId="111C684A" wp14:editId="09D9AA90">
            <wp:extent cx="4822876" cy="3017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2876" cy="3017520"/>
                    </a:xfrm>
                    <a:prstGeom prst="rect">
                      <a:avLst/>
                    </a:prstGeom>
                    <a:noFill/>
                  </pic:spPr>
                </pic:pic>
              </a:graphicData>
            </a:graphic>
          </wp:inline>
        </w:drawing>
      </w:r>
    </w:p>
    <w:p w:rsidR="007C67BD" w:rsidRPr="00444D8F" w:rsidRDefault="007C67BD" w:rsidP="007C67BD">
      <w:pPr>
        <w:jc w:val="both"/>
        <w:rPr>
          <w:b/>
        </w:rPr>
      </w:pPr>
      <w:r w:rsidRPr="00444D8F">
        <w:rPr>
          <w:b/>
        </w:rPr>
        <w:t xml:space="preserve"> a) Intrări şi ieşiri ca procent din totalul angajărilor gulerelor albastre şi albe pentru întreaga zonă acoperită de Asociaţia Angajatorilor din Danemarca. Nu sunt incluse schimbările locului de muncă pentru acelaşi angajator. Sursa: Asociaţia Antreprenorilor Danezi</w:t>
      </w:r>
    </w:p>
    <w:p w:rsidR="00D37865" w:rsidRPr="00444D8F" w:rsidRDefault="00D37865" w:rsidP="009D1756">
      <w:pPr>
        <w:jc w:val="both"/>
      </w:pPr>
      <w:r w:rsidRPr="00444D8F">
        <w:lastRenderedPageBreak/>
        <w:t xml:space="preserve">Răspunsul la această întrebare este dat de figura 4.7 care prezintă </w:t>
      </w:r>
      <w:r w:rsidR="00763950" w:rsidRPr="00444D8F">
        <w:t xml:space="preserve">coeficienţii </w:t>
      </w:r>
      <w:r w:rsidRPr="00444D8F">
        <w:t xml:space="preserve">de intrare </w:t>
      </w:r>
      <w:r w:rsidR="000F093A" w:rsidRPr="00444D8F">
        <w:t>ş</w:t>
      </w:r>
      <w:r w:rsidRPr="00444D8F">
        <w:t>i ie</w:t>
      </w:r>
      <w:r w:rsidR="000F093A" w:rsidRPr="00444D8F">
        <w:t>ş</w:t>
      </w:r>
      <w:r w:rsidRPr="00444D8F">
        <w:t xml:space="preserve">ire </w:t>
      </w:r>
      <w:r w:rsidR="000B70A6" w:rsidRPr="00444D8F">
        <w:rPr>
          <w:i/>
        </w:rPr>
        <w:t>la</w:t>
      </w:r>
      <w:r w:rsidR="000B70A6" w:rsidRPr="00444D8F">
        <w:t xml:space="preserve"> </w:t>
      </w:r>
      <w:r w:rsidR="000F093A" w:rsidRPr="00444D8F">
        <w:t>ş</w:t>
      </w:r>
      <w:r w:rsidRPr="00444D8F">
        <w:t xml:space="preserve">i </w:t>
      </w:r>
      <w:r w:rsidRPr="00444D8F">
        <w:rPr>
          <w:i/>
        </w:rPr>
        <w:t xml:space="preserve">de la </w:t>
      </w:r>
      <w:r w:rsidRPr="00444D8F">
        <w:t>locurile de muncă pentru o mare parte a pie</w:t>
      </w:r>
      <w:r w:rsidR="000F093A" w:rsidRPr="00444D8F">
        <w:t>ţ</w:t>
      </w:r>
      <w:r w:rsidRPr="00444D8F">
        <w:t>ei for</w:t>
      </w:r>
      <w:r w:rsidR="000F093A" w:rsidRPr="00444D8F">
        <w:t>ţ</w:t>
      </w:r>
      <w:r w:rsidRPr="00444D8F">
        <w:t>ei de muncă privat</w:t>
      </w:r>
      <w:r w:rsidR="00763950" w:rsidRPr="00444D8F">
        <w:t>e</w:t>
      </w:r>
      <w:r w:rsidR="00047ED2" w:rsidRPr="00444D8F">
        <w:t>.</w:t>
      </w:r>
      <w:r w:rsidR="00A77498" w:rsidRPr="00444D8F">
        <w:rPr>
          <w:rStyle w:val="FootnoteReference"/>
        </w:rPr>
        <w:footnoteReference w:id="17"/>
      </w:r>
      <w:r w:rsidR="00FB5D9A" w:rsidRPr="00444D8F">
        <w:t xml:space="preserve"> </w:t>
      </w:r>
      <w:r w:rsidRPr="00444D8F">
        <w:t xml:space="preserve">Efectele Marii Recesiuni sunt </w:t>
      </w:r>
      <w:r w:rsidR="00763950" w:rsidRPr="00444D8F">
        <w:t xml:space="preserve">evidente. </w:t>
      </w:r>
      <w:r w:rsidR="000B70A6" w:rsidRPr="00444D8F">
        <w:t xml:space="preserve"> Fluxul de i</w:t>
      </w:r>
      <w:r w:rsidRPr="00444D8F">
        <w:t>e</w:t>
      </w:r>
      <w:r w:rsidR="000F093A" w:rsidRPr="00444D8F">
        <w:t>ş</w:t>
      </w:r>
      <w:r w:rsidRPr="00444D8F">
        <w:t>iri d</w:t>
      </w:r>
      <w:r w:rsidR="00C6499F" w:rsidRPr="00444D8F">
        <w:t>in</w:t>
      </w:r>
      <w:r w:rsidR="00763950" w:rsidRPr="00444D8F">
        <w:t xml:space="preserve"> </w:t>
      </w:r>
      <w:r w:rsidRPr="00444D8F">
        <w:t>locuri de muncă a</w:t>
      </w:r>
      <w:r w:rsidR="00763950" w:rsidRPr="00444D8F">
        <w:t>u</w:t>
      </w:r>
      <w:r w:rsidRPr="00444D8F">
        <w:t xml:space="preserve"> crescut</w:t>
      </w:r>
      <w:r w:rsidR="00763950" w:rsidRPr="00444D8F">
        <w:t xml:space="preserve">, iar </w:t>
      </w:r>
      <w:r w:rsidR="008E74F3" w:rsidRPr="00444D8F">
        <w:t xml:space="preserve">fluxul de </w:t>
      </w:r>
      <w:r w:rsidRPr="00444D8F">
        <w:t>intrări</w:t>
      </w:r>
      <w:r w:rsidR="00763950" w:rsidRPr="00444D8F">
        <w:t xml:space="preserve"> </w:t>
      </w:r>
      <w:r w:rsidR="00FB5D9A" w:rsidRPr="00444D8F">
        <w:t xml:space="preserve">la </w:t>
      </w:r>
      <w:r w:rsidRPr="00444D8F">
        <w:t>locuri de muncă a</w:t>
      </w:r>
      <w:r w:rsidR="00763950" w:rsidRPr="00444D8F">
        <w:t>u</w:t>
      </w:r>
      <w:r w:rsidRPr="00444D8F">
        <w:t xml:space="preserve"> scăzut. Mai frapant este faptul că nivelurile </w:t>
      </w:r>
      <w:r w:rsidR="008E74F3" w:rsidRPr="00444D8F">
        <w:t xml:space="preserve">ratei de înlocuire </w:t>
      </w:r>
      <w:r w:rsidRPr="00444D8F">
        <w:t>a</w:t>
      </w:r>
      <w:r w:rsidR="00763950" w:rsidRPr="00444D8F">
        <w:t>u</w:t>
      </w:r>
      <w:r w:rsidRPr="00444D8F">
        <w:t xml:space="preserve"> revenit la nivelurile înregistrate înainte de perioada de boom, în ciuda </w:t>
      </w:r>
      <w:r w:rsidR="00763950" w:rsidRPr="00444D8F">
        <w:t xml:space="preserve">faptului că </w:t>
      </w:r>
      <w:r w:rsidRPr="00444D8F">
        <w:t>nivelul global al activită</w:t>
      </w:r>
      <w:r w:rsidR="000F093A" w:rsidRPr="00444D8F">
        <w:t>ţ</w:t>
      </w:r>
      <w:r w:rsidRPr="00444D8F">
        <w:t xml:space="preserve">ii </w:t>
      </w:r>
      <w:r w:rsidR="00763950" w:rsidRPr="00444D8F">
        <w:t xml:space="preserve">a rămas </w:t>
      </w:r>
      <w:r w:rsidRPr="00444D8F">
        <w:t>sumbr</w:t>
      </w:r>
      <w:r w:rsidR="00763950" w:rsidRPr="00444D8F">
        <w:t>u</w:t>
      </w:r>
      <w:r w:rsidRPr="00444D8F">
        <w:t xml:space="preserve">, cf. Figura 4.4. </w:t>
      </w:r>
      <w:r w:rsidR="00FB5D9A" w:rsidRPr="00444D8F">
        <w:t>Într-o perspectivă comparativă r</w:t>
      </w:r>
      <w:r w:rsidRPr="00444D8F">
        <w:t xml:space="preserve">atele </w:t>
      </w:r>
      <w:r w:rsidR="008E74F3" w:rsidRPr="00444D8F">
        <w:t xml:space="preserve">de înlocuire </w:t>
      </w:r>
      <w:r w:rsidRPr="00444D8F">
        <w:t>sunt ridicate, iar rata de tranzi</w:t>
      </w:r>
      <w:r w:rsidR="000F093A" w:rsidRPr="00444D8F">
        <w:t>ţ</w:t>
      </w:r>
      <w:r w:rsidRPr="00444D8F">
        <w:t xml:space="preserve">ie de la </w:t>
      </w:r>
      <w:r w:rsidR="000F093A" w:rsidRPr="00444D8F">
        <w:t>ş</w:t>
      </w:r>
      <w:r w:rsidRPr="00444D8F">
        <w:t>omaj la ocuparea for</w:t>
      </w:r>
      <w:r w:rsidR="000F093A" w:rsidRPr="00444D8F">
        <w:t>ţ</w:t>
      </w:r>
      <w:r w:rsidRPr="00444D8F">
        <w:t>ei de muncă este de asemenea mare, cf. Figura 4.8.</w:t>
      </w:r>
    </w:p>
    <w:p w:rsidR="00FF774A" w:rsidRPr="00444D8F" w:rsidRDefault="00763950" w:rsidP="009D1756">
      <w:pPr>
        <w:jc w:val="both"/>
      </w:pPr>
      <w:r w:rsidRPr="00444D8F">
        <w:t>Mai sunt două aspect</w:t>
      </w:r>
      <w:r w:rsidR="00F93D89" w:rsidRPr="00444D8F">
        <w:t>e</w:t>
      </w:r>
      <w:r w:rsidRPr="00444D8F">
        <w:t xml:space="preserve"> </w:t>
      </w:r>
      <w:r w:rsidR="00D37865" w:rsidRPr="00444D8F">
        <w:t>importante: ratele de ie</w:t>
      </w:r>
      <w:r w:rsidR="000F093A" w:rsidRPr="00444D8F">
        <w:t>ş</w:t>
      </w:r>
      <w:r w:rsidR="00D37865" w:rsidRPr="00444D8F">
        <w:t xml:space="preserve">ire din </w:t>
      </w:r>
      <w:r w:rsidR="000F093A" w:rsidRPr="00444D8F">
        <w:t>ş</w:t>
      </w:r>
      <w:r w:rsidR="00D37865" w:rsidRPr="00444D8F">
        <w:t xml:space="preserve">omaj nu sunt semnificativ mai mici decât în ​​anii de boom </w:t>
      </w:r>
      <w:r w:rsidR="00C6499F" w:rsidRPr="00444D8F">
        <w:t xml:space="preserve">de </w:t>
      </w:r>
      <w:r w:rsidRPr="00444D8F">
        <w:t>di</w:t>
      </w:r>
      <w:r w:rsidR="00D37865" w:rsidRPr="00444D8F">
        <w:t>nainte</w:t>
      </w:r>
      <w:r w:rsidR="00182621" w:rsidRPr="00444D8F">
        <w:t>a</w:t>
      </w:r>
      <w:r w:rsidR="00D37865" w:rsidRPr="00444D8F">
        <w:t xml:space="preserve"> Mar</w:t>
      </w:r>
      <w:r w:rsidR="00182621" w:rsidRPr="00444D8F">
        <w:t>ii</w:t>
      </w:r>
      <w:r w:rsidR="00D37865" w:rsidRPr="00444D8F">
        <w:t xml:space="preserve"> Recesiun</w:t>
      </w:r>
      <w:r w:rsidR="00182621" w:rsidRPr="00444D8F">
        <w:t>i</w:t>
      </w:r>
      <w:r w:rsidR="00D37865" w:rsidRPr="00444D8F">
        <w:t>, de exemplu. În consecin</w:t>
      </w:r>
      <w:r w:rsidR="000F093A" w:rsidRPr="00444D8F">
        <w:t>ţ</w:t>
      </w:r>
      <w:r w:rsidR="00D37865" w:rsidRPr="00444D8F">
        <w:t xml:space="preserve">ă, majoritatea perioadelor de </w:t>
      </w:r>
      <w:r w:rsidR="000F093A" w:rsidRPr="00444D8F">
        <w:t>ş</w:t>
      </w:r>
      <w:r w:rsidR="00D37865" w:rsidRPr="00444D8F">
        <w:t xml:space="preserve">omaj sunt scurte. Durata medie a unei </w:t>
      </w:r>
      <w:r w:rsidR="00F93D89" w:rsidRPr="00444D8F">
        <w:t xml:space="preserve">perioade </w:t>
      </w:r>
      <w:r w:rsidR="00D37865" w:rsidRPr="00444D8F">
        <w:t xml:space="preserve">de </w:t>
      </w:r>
      <w:r w:rsidR="000F093A" w:rsidRPr="00444D8F">
        <w:t>ş</w:t>
      </w:r>
      <w:r w:rsidR="00D37865" w:rsidRPr="00444D8F">
        <w:t xml:space="preserve">omaj în rândul celor </w:t>
      </w:r>
      <w:r w:rsidR="008E74F3" w:rsidRPr="00444D8F">
        <w:t xml:space="preserve">care au beneficiat de </w:t>
      </w:r>
      <w:r w:rsidR="00182621" w:rsidRPr="00444D8F">
        <w:t>ajutor de şomaj a</w:t>
      </w:r>
      <w:r w:rsidR="00D37865" w:rsidRPr="00444D8F">
        <w:t xml:space="preserve"> fost de 17 săptămâni în 2014 (în compara</w:t>
      </w:r>
      <w:r w:rsidR="000F093A" w:rsidRPr="00444D8F">
        <w:t>ţ</w:t>
      </w:r>
      <w:r w:rsidR="00D37865" w:rsidRPr="00444D8F">
        <w:t>ie cu aproximativ 13 săptămâni în timpul perioadei de boom). Foarte important, ie</w:t>
      </w:r>
      <w:r w:rsidR="000F093A" w:rsidRPr="00444D8F">
        <w:t>ş</w:t>
      </w:r>
      <w:r w:rsidR="00D37865" w:rsidRPr="00444D8F">
        <w:t xml:space="preserve">irile din </w:t>
      </w:r>
      <w:r w:rsidR="000F093A" w:rsidRPr="00444D8F">
        <w:t>ş</w:t>
      </w:r>
      <w:r w:rsidR="00D37865" w:rsidRPr="00444D8F">
        <w:t xml:space="preserve">omaj </w:t>
      </w:r>
      <w:r w:rsidR="008E74F3" w:rsidRPr="00444D8F">
        <w:t xml:space="preserve">şi intrarea în activitate </w:t>
      </w:r>
      <w:r w:rsidR="00182621" w:rsidRPr="00444D8F">
        <w:t>au revenit</w:t>
      </w:r>
      <w:r w:rsidR="00D37865" w:rsidRPr="00444D8F">
        <w:t>, de asemenea, la niveluri normale.</w:t>
      </w:r>
    </w:p>
    <w:p w:rsidR="00FB5D9A" w:rsidRPr="00444D8F" w:rsidRDefault="00B75E19" w:rsidP="009D1756">
      <w:pPr>
        <w:jc w:val="both"/>
        <w:rPr>
          <w:b/>
        </w:rPr>
      </w:pPr>
      <w:r w:rsidRPr="00444D8F">
        <w:rPr>
          <w:b/>
        </w:rPr>
        <w:tab/>
      </w:r>
      <w:r w:rsidRPr="00444D8F">
        <w:rPr>
          <w:b/>
        </w:rPr>
        <w:tab/>
      </w:r>
    </w:p>
    <w:p w:rsidR="00FB5D9A" w:rsidRPr="00444D8F" w:rsidRDefault="00FB5D9A" w:rsidP="009D1756">
      <w:pPr>
        <w:jc w:val="both"/>
        <w:rPr>
          <w:b/>
        </w:rPr>
      </w:pPr>
    </w:p>
    <w:p w:rsidR="00FB5D9A" w:rsidRPr="00444D8F" w:rsidRDefault="00FB5D9A" w:rsidP="009D1756">
      <w:pPr>
        <w:jc w:val="both"/>
        <w:rPr>
          <w:b/>
        </w:rPr>
      </w:pPr>
    </w:p>
    <w:p w:rsidR="00B75E19" w:rsidRPr="00444D8F" w:rsidRDefault="00B75E19" w:rsidP="009D1756">
      <w:pPr>
        <w:jc w:val="both"/>
        <w:rPr>
          <w:b/>
        </w:rPr>
      </w:pPr>
      <w:r w:rsidRPr="00444D8F">
        <w:rPr>
          <w:b/>
        </w:rPr>
        <w:t>Figura 4.8 Tranziţiile de pe piaţa muncii pentru şomeri, ţările europene</w:t>
      </w:r>
    </w:p>
    <w:tbl>
      <w:tblPr>
        <w:tblStyle w:val="TableGrid"/>
        <w:tblpPr w:leftFromText="180" w:rightFromText="180" w:vertAnchor="text" w:horzAnchor="margin" w:tblpX="1435" w:tblpY="44"/>
        <w:tblOverlap w:val="never"/>
        <w:tblW w:w="6475" w:type="dxa"/>
        <w:tblLook w:val="04A0" w:firstRow="1" w:lastRow="0" w:firstColumn="1" w:lastColumn="0" w:noHBand="0" w:noVBand="1"/>
      </w:tblPr>
      <w:tblGrid>
        <w:gridCol w:w="6696"/>
      </w:tblGrid>
      <w:tr w:rsidR="001F4C26" w:rsidRPr="00444D8F" w:rsidTr="008C7F75">
        <w:trPr>
          <w:trHeight w:val="3285"/>
        </w:trPr>
        <w:tc>
          <w:tcPr>
            <w:tcW w:w="6475" w:type="dxa"/>
          </w:tcPr>
          <w:p w:rsidR="00B75E19" w:rsidRPr="00444D8F" w:rsidRDefault="00B75E19" w:rsidP="008C7F75">
            <w:pPr>
              <w:jc w:val="both"/>
            </w:pPr>
            <w:r w:rsidRPr="00444D8F">
              <w:rPr>
                <w:noProof/>
              </w:rPr>
              <w:drawing>
                <wp:inline distT="0" distB="0" distL="0" distR="0" wp14:anchorId="7E711B51" wp14:editId="5431FDCB">
                  <wp:extent cx="4114800" cy="212663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0" cy="2126638"/>
                          </a:xfrm>
                          <a:prstGeom prst="rect">
                            <a:avLst/>
                          </a:prstGeom>
                          <a:noFill/>
                        </pic:spPr>
                      </pic:pic>
                    </a:graphicData>
                  </a:graphic>
                </wp:inline>
              </w:drawing>
            </w:r>
          </w:p>
          <w:p w:rsidR="00B75E19" w:rsidRPr="00444D8F" w:rsidRDefault="00B75E19" w:rsidP="008C7F75">
            <w:pPr>
              <w:jc w:val="both"/>
              <w:rPr>
                <w:b/>
                <w:noProof/>
              </w:rPr>
            </w:pPr>
            <w:r w:rsidRPr="00444D8F">
              <w:rPr>
                <w:rFonts w:cstheme="minorHAnsi"/>
                <w:b/>
                <w:noProof/>
                <w:shd w:val="clear" w:color="auto" w:fill="0070C0"/>
              </w:rPr>
              <w:t>□</w:t>
            </w:r>
            <w:r w:rsidRPr="00444D8F">
              <w:rPr>
                <w:b/>
                <w:noProof/>
              </w:rPr>
              <w:t xml:space="preserve">de la şomaj la ocupare  </w:t>
            </w:r>
            <w:r w:rsidRPr="00444D8F">
              <w:rPr>
                <w:b/>
                <w:noProof/>
                <w:shd w:val="clear" w:color="auto" w:fill="FFC000"/>
              </w:rPr>
              <w:t>□</w:t>
            </w:r>
            <w:r w:rsidRPr="00444D8F">
              <w:rPr>
                <w:b/>
                <w:noProof/>
              </w:rPr>
              <w:t xml:space="preserve">de la şomaj spre şomaj    </w:t>
            </w:r>
            <w:r w:rsidRPr="00444D8F">
              <w:rPr>
                <w:b/>
                <w:noProof/>
                <w:shd w:val="clear" w:color="auto" w:fill="92D050"/>
              </w:rPr>
              <w:t>□</w:t>
            </w:r>
            <w:r w:rsidRPr="00444D8F">
              <w:rPr>
                <w:b/>
                <w:noProof/>
              </w:rPr>
              <w:t>de la şomaj la inactivitate</w:t>
            </w:r>
          </w:p>
          <w:p w:rsidR="00B75E19" w:rsidRPr="00444D8F" w:rsidRDefault="00B75E19" w:rsidP="008C7F75">
            <w:pPr>
              <w:jc w:val="both"/>
              <w:rPr>
                <w:i/>
              </w:rPr>
            </w:pPr>
            <w:r w:rsidRPr="00444D8F">
              <w:rPr>
                <w:i/>
              </w:rPr>
              <w:t>a) Această cifră indică rata tranziţiei între situaţia existent</w:t>
            </w:r>
            <w:r w:rsidR="001F4C26" w:rsidRPr="00444D8F">
              <w:rPr>
                <w:i/>
                <w:lang w:val="ro-RO"/>
              </w:rPr>
              <w:t>ă</w:t>
            </w:r>
            <w:r w:rsidRPr="00444D8F">
              <w:rPr>
                <w:i/>
              </w:rPr>
              <w:t xml:space="preserve"> pe piaţa forţei de muncă trimestru de trimestru, aici de la şomaj la ocupare, la şomaj sau inactivitate pentru primele două trimestre ale anului 2015. Datele nu sunt adaptate periodic.</w:t>
            </w:r>
          </w:p>
          <w:p w:rsidR="00B75E19" w:rsidRPr="00444D8F" w:rsidRDefault="00B75E19" w:rsidP="008C7F75">
            <w:pPr>
              <w:jc w:val="both"/>
            </w:pPr>
            <w:r w:rsidRPr="00444D8F">
              <w:rPr>
                <w:i/>
              </w:rPr>
              <w:t>Sursa: Calcule Eurostat şi EEAG.</w:t>
            </w:r>
          </w:p>
        </w:tc>
      </w:tr>
    </w:tbl>
    <w:p w:rsidR="00B75E19" w:rsidRPr="00444D8F" w:rsidRDefault="00B75E19" w:rsidP="009D1756">
      <w:pPr>
        <w:jc w:val="both"/>
      </w:pPr>
    </w:p>
    <w:p w:rsidR="00B75E19" w:rsidRPr="00444D8F" w:rsidRDefault="00B75E19" w:rsidP="009D1756">
      <w:pPr>
        <w:jc w:val="both"/>
      </w:pPr>
    </w:p>
    <w:p w:rsidR="00B75E19" w:rsidRPr="00444D8F" w:rsidRDefault="00B75E19" w:rsidP="009D1756">
      <w:pPr>
        <w:jc w:val="both"/>
      </w:pPr>
    </w:p>
    <w:p w:rsidR="00B75E19" w:rsidRPr="00444D8F" w:rsidRDefault="00B75E19" w:rsidP="009D1756">
      <w:pPr>
        <w:jc w:val="both"/>
      </w:pPr>
    </w:p>
    <w:p w:rsidR="00B75E19" w:rsidRPr="00444D8F" w:rsidRDefault="00B75E19" w:rsidP="009D1756">
      <w:pPr>
        <w:jc w:val="both"/>
      </w:pPr>
    </w:p>
    <w:p w:rsidR="00B75E19" w:rsidRPr="00444D8F" w:rsidRDefault="00B75E19" w:rsidP="009D1756">
      <w:pPr>
        <w:jc w:val="both"/>
      </w:pPr>
    </w:p>
    <w:p w:rsidR="00B75E19" w:rsidRPr="00444D8F" w:rsidRDefault="00B75E19" w:rsidP="009D1756">
      <w:pPr>
        <w:jc w:val="both"/>
      </w:pPr>
    </w:p>
    <w:p w:rsidR="00B75E19" w:rsidRPr="00444D8F" w:rsidRDefault="00B75E19" w:rsidP="009D1756">
      <w:pPr>
        <w:jc w:val="both"/>
      </w:pPr>
    </w:p>
    <w:p w:rsidR="00FF774A" w:rsidRPr="00444D8F" w:rsidRDefault="00FF774A" w:rsidP="009D1756">
      <w:pPr>
        <w:jc w:val="both"/>
      </w:pPr>
    </w:p>
    <w:p w:rsidR="009D1756" w:rsidRPr="00444D8F" w:rsidRDefault="009F488A" w:rsidP="009D1756">
      <w:pPr>
        <w:jc w:val="both"/>
        <w:rPr>
          <w:rFonts w:cstheme="minorHAnsi"/>
          <w:vertAlign w:val="superscript"/>
        </w:rPr>
      </w:pPr>
      <w:r w:rsidRPr="00444D8F">
        <w:t xml:space="preserve">Punctul </w:t>
      </w:r>
      <w:r w:rsidR="00B55BAB" w:rsidRPr="00444D8F">
        <w:t xml:space="preserve">de vedere </w:t>
      </w:r>
      <w:r w:rsidR="003C5F7D" w:rsidRPr="00444D8F">
        <w:t>exprim</w:t>
      </w:r>
      <w:r w:rsidRPr="00444D8F">
        <w:t xml:space="preserve">at aici </w:t>
      </w:r>
      <w:r w:rsidR="003C5F7D" w:rsidRPr="00444D8F">
        <w:t>indic</w:t>
      </w:r>
      <w:r w:rsidR="003C5F7D" w:rsidRPr="00444D8F">
        <w:rPr>
          <w:lang w:val="ro-RO"/>
        </w:rPr>
        <w:t>ă</w:t>
      </w:r>
      <w:r w:rsidR="003C5F7D" w:rsidRPr="00444D8F">
        <w:t xml:space="preserve"> faptul </w:t>
      </w:r>
      <w:r w:rsidRPr="00444D8F">
        <w:t>că, de</w:t>
      </w:r>
      <w:r w:rsidR="000F093A" w:rsidRPr="00444D8F">
        <w:t>ş</w:t>
      </w:r>
      <w:r w:rsidRPr="00444D8F">
        <w:t xml:space="preserve">i </w:t>
      </w:r>
      <w:r w:rsidR="000F093A" w:rsidRPr="00444D8F">
        <w:t>ş</w:t>
      </w:r>
      <w:r w:rsidRPr="00444D8F">
        <w:t xml:space="preserve">omajul </w:t>
      </w:r>
      <w:r w:rsidRPr="00444D8F">
        <w:lastRenderedPageBreak/>
        <w:t xml:space="preserve">a crescut, majoritatea perioadelor de </w:t>
      </w:r>
      <w:r w:rsidR="000F093A" w:rsidRPr="00444D8F">
        <w:t>ş</w:t>
      </w:r>
      <w:r w:rsidRPr="00444D8F">
        <w:t>omaj sunt scurte (aproape 50</w:t>
      </w:r>
      <w:r w:rsidR="00B55BAB" w:rsidRPr="00444D8F">
        <w:t xml:space="preserve"> %</w:t>
      </w:r>
      <w:r w:rsidRPr="00444D8F">
        <w:t xml:space="preserve"> din total</w:t>
      </w:r>
      <w:r w:rsidR="00B55BAB" w:rsidRPr="00444D8F">
        <w:t xml:space="preserve">ul şomajului </w:t>
      </w:r>
      <w:r w:rsidRPr="00444D8F">
        <w:t xml:space="preserve">este format din </w:t>
      </w:r>
      <w:r w:rsidR="00B55BAB" w:rsidRPr="00444D8F">
        <w:t xml:space="preserve">perioade mai mici </w:t>
      </w:r>
      <w:r w:rsidRPr="00444D8F">
        <w:t xml:space="preserve">de trei luni în 2013). </w:t>
      </w:r>
      <w:r w:rsidR="00A77498" w:rsidRPr="00444D8F">
        <w:rPr>
          <w:rStyle w:val="FootnoteReference"/>
        </w:rPr>
        <w:footnoteReference w:id="18"/>
      </w:r>
      <w:r w:rsidR="00FB5D9A" w:rsidRPr="00444D8F">
        <w:t xml:space="preserve"> </w:t>
      </w:r>
      <w:r w:rsidRPr="00444D8F">
        <w:t xml:space="preserve">Ca urmare a nivelului ridicat al cifrei de </w:t>
      </w:r>
      <w:r w:rsidR="00FB5D9A" w:rsidRPr="00444D8F">
        <w:t>înlocuire/</w:t>
      </w:r>
      <w:r w:rsidR="00F93D89" w:rsidRPr="00444D8F">
        <w:t xml:space="preserve">rotaţie </w:t>
      </w:r>
      <w:r w:rsidRPr="00444D8F">
        <w:t>pe pia</w:t>
      </w:r>
      <w:r w:rsidR="000F093A" w:rsidRPr="00444D8F">
        <w:t>ţ</w:t>
      </w:r>
      <w:r w:rsidRPr="00444D8F">
        <w:t>a for</w:t>
      </w:r>
      <w:r w:rsidR="000F093A" w:rsidRPr="00444D8F">
        <w:t>ţ</w:t>
      </w:r>
      <w:r w:rsidRPr="00444D8F">
        <w:t xml:space="preserve">ei de muncă, </w:t>
      </w:r>
      <w:r w:rsidR="000F093A" w:rsidRPr="00444D8F">
        <w:t>ş</w:t>
      </w:r>
      <w:r w:rsidRPr="00444D8F">
        <w:t xml:space="preserve">omajul în rândul tinerilor </w:t>
      </w:r>
      <w:r w:rsidR="000F093A" w:rsidRPr="00444D8F">
        <w:t>ş</w:t>
      </w:r>
      <w:r w:rsidRPr="00444D8F">
        <w:t xml:space="preserve">i </w:t>
      </w:r>
      <w:r w:rsidR="00B55BAB" w:rsidRPr="00444D8F">
        <w:t xml:space="preserve">cel </w:t>
      </w:r>
      <w:r w:rsidRPr="00444D8F">
        <w:t>pe termen lung sunt reduse</w:t>
      </w:r>
      <w:r w:rsidR="00C6499F" w:rsidRPr="00444D8F">
        <w:t>,</w:t>
      </w:r>
      <w:r w:rsidRPr="00444D8F">
        <w:t xml:space="preserve"> </w:t>
      </w:r>
      <w:r w:rsidR="00B55BAB" w:rsidRPr="00444D8F">
        <w:t xml:space="preserve">comparativ cu nivelul </w:t>
      </w:r>
      <w:r w:rsidRPr="00444D8F">
        <w:t>interna</w:t>
      </w:r>
      <w:r w:rsidR="000F093A" w:rsidRPr="00444D8F">
        <w:t>ţ</w:t>
      </w:r>
      <w:r w:rsidRPr="00444D8F">
        <w:t xml:space="preserve">ional. Ratele ridicate </w:t>
      </w:r>
      <w:r w:rsidR="00B55BAB" w:rsidRPr="00444D8F">
        <w:t xml:space="preserve">ale </w:t>
      </w:r>
      <w:r w:rsidRPr="00444D8F">
        <w:t>cifr</w:t>
      </w:r>
      <w:r w:rsidR="00B55BAB" w:rsidRPr="00444D8F">
        <w:t>ei</w:t>
      </w:r>
      <w:r w:rsidRPr="00444D8F">
        <w:t xml:space="preserve"> de</w:t>
      </w:r>
      <w:r w:rsidR="00F93D89" w:rsidRPr="00444D8F">
        <w:t xml:space="preserve"> </w:t>
      </w:r>
      <w:r w:rsidR="0088639B" w:rsidRPr="00444D8F">
        <w:t>înlocuir</w:t>
      </w:r>
      <w:r w:rsidR="00F93D89" w:rsidRPr="00444D8F">
        <w:t>e</w:t>
      </w:r>
      <w:r w:rsidRPr="00444D8F">
        <w:t xml:space="preserve">, </w:t>
      </w:r>
      <w:r w:rsidR="00B55BAB" w:rsidRPr="00444D8F">
        <w:t xml:space="preserve">acţionează, astfel, ca un mechanism implicit </w:t>
      </w:r>
      <w:r w:rsidRPr="00444D8F">
        <w:t xml:space="preserve">de repartizare a sarcinilor. </w:t>
      </w:r>
      <w:r w:rsidR="00B55BAB" w:rsidRPr="00444D8F">
        <w:t>Repartizare</w:t>
      </w:r>
      <w:r w:rsidRPr="00444D8F">
        <w:t xml:space="preserve">a </w:t>
      </w:r>
      <w:r w:rsidR="00B55BAB" w:rsidRPr="00444D8F">
        <w:t xml:space="preserve">egală a </w:t>
      </w:r>
      <w:r w:rsidRPr="00444D8F">
        <w:t>sarcinilor este importantă dintr-o perspectivă distribu</w:t>
      </w:r>
      <w:r w:rsidR="000F093A" w:rsidRPr="00444D8F">
        <w:t>ţ</w:t>
      </w:r>
      <w:r w:rsidRPr="00444D8F">
        <w:t xml:space="preserve">ională, dar </w:t>
      </w:r>
      <w:r w:rsidR="00B55BAB" w:rsidRPr="00444D8F">
        <w:t xml:space="preserve">are şi o </w:t>
      </w:r>
      <w:r w:rsidRPr="00444D8F">
        <w:t>importan</w:t>
      </w:r>
      <w:r w:rsidR="000F093A" w:rsidRPr="00444D8F">
        <w:t>ţ</w:t>
      </w:r>
      <w:r w:rsidRPr="00444D8F">
        <w:t xml:space="preserve">ă structurală. Alternativa ar fi perioade de </w:t>
      </w:r>
      <w:r w:rsidR="000F093A" w:rsidRPr="00444D8F">
        <w:t>ş</w:t>
      </w:r>
      <w:r w:rsidRPr="00444D8F">
        <w:t xml:space="preserve">omaj mai </w:t>
      </w:r>
      <w:r w:rsidR="00B55BAB" w:rsidRPr="00444D8F">
        <w:t xml:space="preserve">lungi </w:t>
      </w:r>
      <w:r w:rsidRPr="00444D8F">
        <w:t>concentrat</w:t>
      </w:r>
      <w:r w:rsidR="00B55BAB" w:rsidRPr="00444D8F">
        <w:t>e</w:t>
      </w:r>
      <w:r w:rsidRPr="00444D8F">
        <w:t xml:space="preserve"> pe un grup mai mic de persoane, </w:t>
      </w:r>
      <w:r w:rsidR="00B55BAB" w:rsidRPr="00444D8F">
        <w:t xml:space="preserve">mai mulţi şomeri pe termen lung </w:t>
      </w:r>
      <w:r w:rsidR="000F093A" w:rsidRPr="00444D8F">
        <w:t>ş</w:t>
      </w:r>
      <w:r w:rsidRPr="00444D8F">
        <w:t xml:space="preserve">i </w:t>
      </w:r>
      <w:r w:rsidR="0088639B" w:rsidRPr="00444D8F">
        <w:t xml:space="preserve">în consecinţă </w:t>
      </w:r>
      <w:r w:rsidRPr="00444D8F">
        <w:t xml:space="preserve">o depreciere a capitalului uman </w:t>
      </w:r>
      <w:r w:rsidR="000F093A" w:rsidRPr="00444D8F">
        <w:t>ş</w:t>
      </w:r>
      <w:r w:rsidRPr="00444D8F">
        <w:t xml:space="preserve">i social. Pe scurt, ratele ridicate </w:t>
      </w:r>
      <w:r w:rsidR="00B55BAB" w:rsidRPr="00444D8F">
        <w:t xml:space="preserve">ale </w:t>
      </w:r>
      <w:r w:rsidR="00F93D89" w:rsidRPr="00444D8F">
        <w:t xml:space="preserve">rotaţiei </w:t>
      </w:r>
      <w:r w:rsidRPr="00444D8F">
        <w:t>reduc implica</w:t>
      </w:r>
      <w:r w:rsidR="000F093A" w:rsidRPr="00444D8F">
        <w:t>ţ</w:t>
      </w:r>
      <w:r w:rsidRPr="00444D8F">
        <w:t xml:space="preserve">iile structurale negative ale </w:t>
      </w:r>
      <w:r w:rsidR="000F093A" w:rsidRPr="00444D8F">
        <w:t>ş</w:t>
      </w:r>
      <w:r w:rsidRPr="00444D8F">
        <w:t>omajului ridicat.</w:t>
      </w:r>
      <w:r w:rsidR="009D1756" w:rsidRPr="00444D8F">
        <w:rPr>
          <w:rFonts w:cstheme="minorHAnsi"/>
          <w:vertAlign w:val="superscript"/>
        </w:rPr>
        <w:t xml:space="preserve"> </w:t>
      </w:r>
    </w:p>
    <w:p w:rsidR="00541289" w:rsidRPr="00444D8F" w:rsidRDefault="009F488A" w:rsidP="009D1756">
      <w:pPr>
        <w:jc w:val="both"/>
      </w:pPr>
      <w:r w:rsidRPr="00444D8F">
        <w:t xml:space="preserve">O întrebare </w:t>
      </w:r>
      <w:r w:rsidR="003C5F7D" w:rsidRPr="00444D8F">
        <w:t>cheie privind</w:t>
      </w:r>
      <w:r w:rsidR="00F93D89" w:rsidRPr="00444D8F">
        <w:t xml:space="preserve"> </w:t>
      </w:r>
      <w:r w:rsidRPr="00444D8F">
        <w:t xml:space="preserve">modelul de flexicuritate este dacă </w:t>
      </w:r>
      <w:r w:rsidR="0088639B" w:rsidRPr="00444D8F">
        <w:t xml:space="preserve">înlocuirea </w:t>
      </w:r>
      <w:r w:rsidRPr="00444D8F">
        <w:t>for</w:t>
      </w:r>
      <w:r w:rsidR="000F093A" w:rsidRPr="00444D8F">
        <w:t>ţ</w:t>
      </w:r>
      <w:r w:rsidRPr="00444D8F">
        <w:t xml:space="preserve">ei de muncă este excesivă. </w:t>
      </w:r>
      <w:r w:rsidR="004E1903" w:rsidRPr="00444D8F">
        <w:t>Ocuparea</w:t>
      </w:r>
      <w:r w:rsidRPr="00444D8F">
        <w:t xml:space="preserve"> scurt</w:t>
      </w:r>
      <w:r w:rsidR="00F93D89" w:rsidRPr="00444D8F">
        <w:t>ă</w:t>
      </w:r>
      <w:r w:rsidRPr="00444D8F">
        <w:t xml:space="preserve"> poate reduce motiva</w:t>
      </w:r>
      <w:r w:rsidR="000F093A" w:rsidRPr="00444D8F">
        <w:t>ţ</w:t>
      </w:r>
      <w:r w:rsidRPr="00444D8F">
        <w:t xml:space="preserve">ia atât </w:t>
      </w:r>
      <w:r w:rsidR="00F93D89" w:rsidRPr="00444D8F">
        <w:t xml:space="preserve">a </w:t>
      </w:r>
      <w:r w:rsidRPr="00444D8F">
        <w:t xml:space="preserve">firmelor </w:t>
      </w:r>
      <w:r w:rsidR="00F93D89" w:rsidRPr="00444D8F">
        <w:t xml:space="preserve">cât </w:t>
      </w:r>
      <w:r w:rsidR="000F093A" w:rsidRPr="00444D8F">
        <w:t>ş</w:t>
      </w:r>
      <w:r w:rsidRPr="00444D8F">
        <w:t xml:space="preserve">i </w:t>
      </w:r>
      <w:r w:rsidR="00F93D89" w:rsidRPr="00444D8F">
        <w:t xml:space="preserve">a </w:t>
      </w:r>
      <w:r w:rsidRPr="00444D8F">
        <w:t xml:space="preserve">lucrătorilor </w:t>
      </w:r>
      <w:r w:rsidR="00F93D89" w:rsidRPr="00444D8F">
        <w:t xml:space="preserve">de a investi </w:t>
      </w:r>
      <w:r w:rsidRPr="00444D8F">
        <w:t xml:space="preserve">în capital uman specific firmei în cauză, </w:t>
      </w:r>
      <w:r w:rsidR="004E1903" w:rsidRPr="00444D8F">
        <w:t>determin</w:t>
      </w:r>
      <w:r w:rsidRPr="00444D8F">
        <w:t xml:space="preserve">ând </w:t>
      </w:r>
      <w:r w:rsidR="00F93D89" w:rsidRPr="00444D8F">
        <w:t xml:space="preserve">un nivel </w:t>
      </w:r>
      <w:r w:rsidR="004E1903" w:rsidRPr="00444D8F">
        <w:t xml:space="preserve">mai scăzut </w:t>
      </w:r>
      <w:r w:rsidR="00F93D89" w:rsidRPr="00444D8F">
        <w:t xml:space="preserve">de </w:t>
      </w:r>
      <w:r w:rsidRPr="00444D8F">
        <w:t>cre</w:t>
      </w:r>
      <w:r w:rsidR="000F093A" w:rsidRPr="00444D8F">
        <w:t>ş</w:t>
      </w:r>
      <w:r w:rsidRPr="00444D8F">
        <w:t>tere a productivită</w:t>
      </w:r>
      <w:r w:rsidR="000F093A" w:rsidRPr="00444D8F">
        <w:t>ţ</w:t>
      </w:r>
      <w:r w:rsidRPr="00444D8F">
        <w:t xml:space="preserve">ii. Nu este clar </w:t>
      </w:r>
      <w:r w:rsidR="004E1903" w:rsidRPr="00444D8F">
        <w:t xml:space="preserve">dacă </w:t>
      </w:r>
      <w:r w:rsidRPr="00444D8F">
        <w:t xml:space="preserve">aceasta este o problemă majoră. </w:t>
      </w:r>
      <w:r w:rsidR="00F93D89" w:rsidRPr="00444D8F">
        <w:t>C</w:t>
      </w:r>
      <w:r w:rsidRPr="00444D8F">
        <w:t>ompara</w:t>
      </w:r>
      <w:r w:rsidR="000F093A" w:rsidRPr="00444D8F">
        <w:t>ţ</w:t>
      </w:r>
      <w:r w:rsidRPr="00444D8F">
        <w:t>ii</w:t>
      </w:r>
      <w:r w:rsidR="00F93D89" w:rsidRPr="00444D8F">
        <w:t>le</w:t>
      </w:r>
      <w:r w:rsidRPr="00444D8F">
        <w:t xml:space="preserve"> interna</w:t>
      </w:r>
      <w:r w:rsidR="000F093A" w:rsidRPr="00444D8F">
        <w:t>ţ</w:t>
      </w:r>
      <w:r w:rsidRPr="00444D8F">
        <w:t>ionale indică faptul că achizi</w:t>
      </w:r>
      <w:r w:rsidR="000F093A" w:rsidRPr="00444D8F">
        <w:t>ţ</w:t>
      </w:r>
      <w:r w:rsidRPr="00444D8F">
        <w:t xml:space="preserve">ia </w:t>
      </w:r>
      <w:r w:rsidR="00F93D89" w:rsidRPr="00444D8F">
        <w:t xml:space="preserve">de </w:t>
      </w:r>
      <w:r w:rsidRPr="00444D8F">
        <w:t>capital uman al angaja</w:t>
      </w:r>
      <w:r w:rsidR="000F093A" w:rsidRPr="00444D8F">
        <w:t>ţ</w:t>
      </w:r>
      <w:r w:rsidRPr="00444D8F">
        <w:t xml:space="preserve">ilor este destul de </w:t>
      </w:r>
      <w:r w:rsidR="0088639B" w:rsidRPr="00444D8F">
        <w:t>ridicată.</w:t>
      </w:r>
      <w:r w:rsidR="00A77498" w:rsidRPr="00444D8F">
        <w:rPr>
          <w:rStyle w:val="FootnoteReference"/>
        </w:rPr>
        <w:footnoteReference w:id="19"/>
      </w:r>
      <w:r w:rsidR="00FB5D9A" w:rsidRPr="00444D8F">
        <w:t xml:space="preserve"> </w:t>
      </w:r>
      <w:r w:rsidR="00F93D89" w:rsidRPr="00444D8F">
        <w:t>S</w:t>
      </w:r>
      <w:r w:rsidR="00541289" w:rsidRPr="00444D8F">
        <w:t>tudii</w:t>
      </w:r>
      <w:r w:rsidR="00FB5D9A" w:rsidRPr="00444D8F">
        <w:t>le</w:t>
      </w:r>
      <w:r w:rsidR="00541289" w:rsidRPr="00444D8F">
        <w:t xml:space="preserve"> empirice indică tot</w:t>
      </w:r>
      <w:r w:rsidR="00FB5D9A" w:rsidRPr="00444D8F">
        <w:t>o</w:t>
      </w:r>
      <w:r w:rsidR="00541289" w:rsidRPr="00444D8F">
        <w:t xml:space="preserve">dată </w:t>
      </w:r>
      <w:r w:rsidR="00F93D89" w:rsidRPr="00444D8F">
        <w:t xml:space="preserve">şi faptul că </w:t>
      </w:r>
      <w:r w:rsidRPr="00444D8F">
        <w:t xml:space="preserve">cifra de </w:t>
      </w:r>
      <w:r w:rsidR="00D8596D" w:rsidRPr="00444D8F">
        <w:t xml:space="preserve">înlocuire </w:t>
      </w:r>
      <w:r w:rsidRPr="00444D8F">
        <w:t xml:space="preserve">este </w:t>
      </w:r>
      <w:r w:rsidR="00F93D89" w:rsidRPr="00444D8F">
        <w:t>favorabil</w:t>
      </w:r>
      <w:r w:rsidR="00967125" w:rsidRPr="00444D8F">
        <w:t>ă</w:t>
      </w:r>
      <w:r w:rsidRPr="00444D8F">
        <w:t xml:space="preserve"> ajustări</w:t>
      </w:r>
      <w:r w:rsidR="00F93D89" w:rsidRPr="00444D8F">
        <w:t>lor</w:t>
      </w:r>
      <w:r w:rsidRPr="00444D8F">
        <w:t xml:space="preserve"> structurale, care, la rândul</w:t>
      </w:r>
      <w:r w:rsidR="00967125" w:rsidRPr="00444D8F">
        <w:t xml:space="preserve"> lor</w:t>
      </w:r>
      <w:r w:rsidRPr="00444D8F">
        <w:t xml:space="preserve">, </w:t>
      </w:r>
      <w:r w:rsidR="00967125" w:rsidRPr="00444D8F">
        <w:t xml:space="preserve">conduc la </w:t>
      </w:r>
      <w:r w:rsidRPr="00444D8F">
        <w:t>cre</w:t>
      </w:r>
      <w:r w:rsidR="000F093A" w:rsidRPr="00444D8F">
        <w:t>ş</w:t>
      </w:r>
      <w:r w:rsidRPr="00444D8F">
        <w:t>terea productivită</w:t>
      </w:r>
      <w:r w:rsidR="000F093A" w:rsidRPr="00444D8F">
        <w:t>ţ</w:t>
      </w:r>
      <w:r w:rsidRPr="00444D8F">
        <w:t xml:space="preserve">ii; a se vedea Parrotta </w:t>
      </w:r>
      <w:r w:rsidR="00967125" w:rsidRPr="00444D8F">
        <w:t xml:space="preserve">şi </w:t>
      </w:r>
      <w:r w:rsidRPr="00444D8F">
        <w:t>Pozzoli (2012).</w:t>
      </w:r>
    </w:p>
    <w:p w:rsidR="00FF774A" w:rsidRPr="00444D8F" w:rsidRDefault="00967125" w:rsidP="009D1756">
      <w:pPr>
        <w:jc w:val="both"/>
      </w:pPr>
      <w:r w:rsidRPr="00444D8F">
        <w:t xml:space="preserve">Pot urma şi concedieri </w:t>
      </w:r>
      <w:r w:rsidR="009F488A" w:rsidRPr="00444D8F">
        <w:t xml:space="preserve">temporare </w:t>
      </w:r>
      <w:r w:rsidRPr="00444D8F">
        <w:t>excesive</w:t>
      </w:r>
      <w:r w:rsidR="009F488A" w:rsidRPr="00444D8F">
        <w:t xml:space="preserve">, </w:t>
      </w:r>
      <w:r w:rsidR="00541289" w:rsidRPr="00444D8F">
        <w:t xml:space="preserve">deoarece </w:t>
      </w:r>
      <w:r w:rsidR="009F488A" w:rsidRPr="00444D8F">
        <w:t>angajatorii ob</w:t>
      </w:r>
      <w:r w:rsidR="000F093A" w:rsidRPr="00444D8F">
        <w:t>ţ</w:t>
      </w:r>
      <w:r w:rsidR="009F488A" w:rsidRPr="00444D8F">
        <w:t>in</w:t>
      </w:r>
      <w:r w:rsidRPr="00444D8F">
        <w:t xml:space="preserve"> </w:t>
      </w:r>
      <w:r w:rsidR="009F488A" w:rsidRPr="00444D8F">
        <w:t>în mod indirect o subven</w:t>
      </w:r>
      <w:r w:rsidR="000F093A" w:rsidRPr="00444D8F">
        <w:t>ţ</w:t>
      </w:r>
      <w:r w:rsidR="009F488A" w:rsidRPr="00444D8F">
        <w:t>ie atunci când lucrătorii sunt compensa</w:t>
      </w:r>
      <w:r w:rsidRPr="00444D8F">
        <w:t xml:space="preserve">ţi </w:t>
      </w:r>
      <w:r w:rsidR="009F488A" w:rsidRPr="00444D8F">
        <w:t xml:space="preserve">prin asigurare de </w:t>
      </w:r>
      <w:r w:rsidR="000F093A" w:rsidRPr="00444D8F">
        <w:t>ş</w:t>
      </w:r>
      <w:r w:rsidR="009F488A" w:rsidRPr="00444D8F">
        <w:t>omaj în cazul unor varia</w:t>
      </w:r>
      <w:r w:rsidR="000F093A" w:rsidRPr="00444D8F">
        <w:t>ţ</w:t>
      </w:r>
      <w:r w:rsidR="009F488A" w:rsidRPr="00444D8F">
        <w:t xml:space="preserve">ii temporare </w:t>
      </w:r>
      <w:r w:rsidR="00541289" w:rsidRPr="00444D8F">
        <w:t xml:space="preserve">ale cererii </w:t>
      </w:r>
      <w:r w:rsidR="00FB5D9A" w:rsidRPr="00444D8F">
        <w:t>de forţă</w:t>
      </w:r>
      <w:r w:rsidR="009F488A" w:rsidRPr="00444D8F">
        <w:t xml:space="preserve"> de muncă. Angajatorii contribuie la finan</w:t>
      </w:r>
      <w:r w:rsidR="000F093A" w:rsidRPr="00444D8F">
        <w:t>ţ</w:t>
      </w:r>
      <w:r w:rsidR="009F488A" w:rsidRPr="00444D8F">
        <w:t xml:space="preserve">area asigurărilor de </w:t>
      </w:r>
      <w:r w:rsidR="000F093A" w:rsidRPr="00444D8F">
        <w:t>ş</w:t>
      </w:r>
      <w:r w:rsidR="009F488A" w:rsidRPr="00444D8F">
        <w:t xml:space="preserve">omaj prin acoperirea primelor trei zile ale unei </w:t>
      </w:r>
      <w:r w:rsidRPr="00444D8F">
        <w:t xml:space="preserve">perioade </w:t>
      </w:r>
      <w:r w:rsidR="009F488A" w:rsidRPr="00444D8F">
        <w:t xml:space="preserve">de </w:t>
      </w:r>
      <w:r w:rsidR="000F093A" w:rsidRPr="00444D8F">
        <w:t>ş</w:t>
      </w:r>
      <w:r w:rsidR="009F488A" w:rsidRPr="00444D8F">
        <w:t>omaj (în cazul în care rela</w:t>
      </w:r>
      <w:r w:rsidR="000F093A" w:rsidRPr="00444D8F">
        <w:t>ţ</w:t>
      </w:r>
      <w:r w:rsidR="009F488A" w:rsidRPr="00444D8F">
        <w:t>ia de muncă a</w:t>
      </w:r>
      <w:r w:rsidR="00D8596D" w:rsidRPr="00444D8F">
        <w:t>re</w:t>
      </w:r>
      <w:r w:rsidR="009F488A" w:rsidRPr="00444D8F">
        <w:t xml:space="preserve"> o durată de cel pu</w:t>
      </w:r>
      <w:r w:rsidR="000F093A" w:rsidRPr="00444D8F">
        <w:t>ţ</w:t>
      </w:r>
      <w:r w:rsidR="009F488A" w:rsidRPr="00444D8F">
        <w:t>in trei luni), iar ace</w:t>
      </w:r>
      <w:r w:rsidRPr="00444D8F">
        <w:t>asta poate fi insuficient</w:t>
      </w:r>
      <w:r w:rsidR="00D8596D" w:rsidRPr="00444D8F">
        <w:t>ă</w:t>
      </w:r>
      <w:r w:rsidRPr="00444D8F">
        <w:t xml:space="preserve"> pentru </w:t>
      </w:r>
      <w:r w:rsidR="009F488A" w:rsidRPr="00444D8F">
        <w:t xml:space="preserve">costurile sociale ale concedierilor; vezi Blanchard </w:t>
      </w:r>
      <w:r w:rsidR="000F093A" w:rsidRPr="00444D8F">
        <w:t>ş</w:t>
      </w:r>
      <w:r w:rsidR="009F488A" w:rsidRPr="00444D8F">
        <w:t>i Tirole (2003).</w:t>
      </w:r>
    </w:p>
    <w:p w:rsidR="00FF774A" w:rsidRPr="00444D8F" w:rsidRDefault="0040203F" w:rsidP="009D1756">
      <w:pPr>
        <w:jc w:val="both"/>
        <w:rPr>
          <w:b/>
        </w:rPr>
      </w:pPr>
      <w:r w:rsidRPr="00444D8F">
        <w:rPr>
          <w:b/>
        </w:rPr>
        <w:t xml:space="preserve">4.4.2 Politicile privind piaţa muncii  </w:t>
      </w:r>
    </w:p>
    <w:p w:rsidR="009F488A" w:rsidRPr="00444D8F" w:rsidRDefault="009F488A" w:rsidP="009D1756">
      <w:pPr>
        <w:jc w:val="both"/>
      </w:pPr>
      <w:r w:rsidRPr="00444D8F">
        <w:t xml:space="preserve">Politicile de activare sunt parte integrantă a modelului </w:t>
      </w:r>
      <w:r w:rsidR="00967125" w:rsidRPr="00444D8F">
        <w:t xml:space="preserve">pieţei de </w:t>
      </w:r>
      <w:r w:rsidRPr="00444D8F">
        <w:t>for</w:t>
      </w:r>
      <w:r w:rsidR="000F093A" w:rsidRPr="00444D8F">
        <w:t>ţ</w:t>
      </w:r>
      <w:r w:rsidR="00967125" w:rsidRPr="00444D8F">
        <w:t>ă</w:t>
      </w:r>
      <w:r w:rsidRPr="00444D8F">
        <w:t xml:space="preserve"> de muncă</w:t>
      </w:r>
      <w:r w:rsidR="00534B5B" w:rsidRPr="00444D8F">
        <w:t xml:space="preserve"> daneze</w:t>
      </w:r>
      <w:r w:rsidRPr="00444D8F">
        <w:t>. Politicile în acest domeniu au fost revizuite continuu, în lumina experien</w:t>
      </w:r>
      <w:r w:rsidR="000F093A" w:rsidRPr="00444D8F">
        <w:t>ţ</w:t>
      </w:r>
      <w:r w:rsidR="00967125" w:rsidRPr="00444D8F">
        <w:t>ei</w:t>
      </w:r>
      <w:r w:rsidRPr="00444D8F">
        <w:t>, cercet</w:t>
      </w:r>
      <w:r w:rsidR="00967125" w:rsidRPr="00444D8F">
        <w:t>ării şi dezbaterilor</w:t>
      </w:r>
      <w:r w:rsidR="0040203F" w:rsidRPr="00444D8F">
        <w:t xml:space="preserve"> pe </w:t>
      </w:r>
      <w:r w:rsidR="00534B5B" w:rsidRPr="00444D8F">
        <w:t>tema politicilor</w:t>
      </w:r>
      <w:r w:rsidR="00967125" w:rsidRPr="00444D8F">
        <w:t xml:space="preserve">. </w:t>
      </w:r>
      <w:r w:rsidRPr="00444D8F">
        <w:t>Cel mai recent, accentul a fost</w:t>
      </w:r>
      <w:r w:rsidR="00967125" w:rsidRPr="00444D8F">
        <w:t xml:space="preserve"> </w:t>
      </w:r>
      <w:r w:rsidR="00534B5B" w:rsidRPr="00444D8F">
        <w:t xml:space="preserve">plasat </w:t>
      </w:r>
      <w:r w:rsidR="00967125" w:rsidRPr="00444D8F">
        <w:t>în două direcţii</w:t>
      </w:r>
      <w:r w:rsidRPr="00444D8F">
        <w:t>. În primul rând, există o cre</w:t>
      </w:r>
      <w:r w:rsidR="000F093A" w:rsidRPr="00444D8F">
        <w:t>ş</w:t>
      </w:r>
      <w:r w:rsidRPr="00444D8F">
        <w:t xml:space="preserve">tere a presiunii asupra tinerilor </w:t>
      </w:r>
      <w:r w:rsidR="00541289" w:rsidRPr="00444D8F">
        <w:t xml:space="preserve">pentru </w:t>
      </w:r>
      <w:r w:rsidRPr="00444D8F">
        <w:t>a ob</w:t>
      </w:r>
      <w:r w:rsidR="000F093A" w:rsidRPr="00444D8F">
        <w:t>ţ</w:t>
      </w:r>
      <w:r w:rsidRPr="00444D8F">
        <w:t>ine o educa</w:t>
      </w:r>
      <w:r w:rsidR="000F093A" w:rsidRPr="00444D8F">
        <w:t>ţ</w:t>
      </w:r>
      <w:r w:rsidRPr="00444D8F">
        <w:t xml:space="preserve">ie. Acest lucru se reflectă </w:t>
      </w:r>
      <w:r w:rsidR="00D8596D" w:rsidRPr="00444D8F">
        <w:t>pri</w:t>
      </w:r>
      <w:r w:rsidRPr="00444D8F">
        <w:t>ntr-o reformă recentă a sistemului de asisten</w:t>
      </w:r>
      <w:r w:rsidR="000F093A" w:rsidRPr="00444D8F">
        <w:t>ţ</w:t>
      </w:r>
      <w:r w:rsidRPr="00444D8F">
        <w:t>ă socială. Pentru persoanele cu vârsta sub 30</w:t>
      </w:r>
      <w:r w:rsidR="00534B5B" w:rsidRPr="00444D8F">
        <w:t xml:space="preserve"> de ani</w:t>
      </w:r>
      <w:r w:rsidRPr="00444D8F">
        <w:t xml:space="preserve"> (anterior, vârsta </w:t>
      </w:r>
      <w:r w:rsidR="00541289" w:rsidRPr="00444D8F">
        <w:t>stabilită era</w:t>
      </w:r>
      <w:r w:rsidRPr="00444D8F">
        <w:t xml:space="preserve"> de 25</w:t>
      </w:r>
      <w:r w:rsidR="00534B5B" w:rsidRPr="00444D8F">
        <w:t xml:space="preserve"> ani</w:t>
      </w:r>
      <w:r w:rsidRPr="00444D8F">
        <w:t>), fără educa</w:t>
      </w:r>
      <w:r w:rsidR="000F093A" w:rsidRPr="00444D8F">
        <w:t>ţ</w:t>
      </w:r>
      <w:r w:rsidRPr="00444D8F">
        <w:t>ie</w:t>
      </w:r>
      <w:r w:rsidR="00541289" w:rsidRPr="00444D8F">
        <w:t>/</w:t>
      </w:r>
      <w:r w:rsidRPr="00444D8F">
        <w:t>calificare, nivelul de asisten</w:t>
      </w:r>
      <w:r w:rsidR="000F093A" w:rsidRPr="00444D8F">
        <w:t>ţ</w:t>
      </w:r>
      <w:r w:rsidRPr="00444D8F">
        <w:t xml:space="preserve">ă socială a fost redus, astfel încât aceasta </w:t>
      </w:r>
      <w:r w:rsidR="00541289" w:rsidRPr="00444D8F">
        <w:t xml:space="preserve">să </w:t>
      </w:r>
      <w:r w:rsidR="0040203F" w:rsidRPr="00444D8F">
        <w:t>nu asigur</w:t>
      </w:r>
      <w:r w:rsidR="00541289" w:rsidRPr="00444D8F">
        <w:t>e</w:t>
      </w:r>
      <w:r w:rsidR="0040203F" w:rsidRPr="00444D8F">
        <w:t xml:space="preserve"> </w:t>
      </w:r>
      <w:r w:rsidRPr="00444D8F">
        <w:t>compensa</w:t>
      </w:r>
      <w:r w:rsidR="000F093A" w:rsidRPr="00444D8F">
        <w:t>ţ</w:t>
      </w:r>
      <w:r w:rsidRPr="00444D8F">
        <w:t>ii mai bune decât granturile</w:t>
      </w:r>
      <w:r w:rsidR="0040203F" w:rsidRPr="00444D8F">
        <w:t>/bursele</w:t>
      </w:r>
      <w:r w:rsidRPr="00444D8F">
        <w:t xml:space="preserve"> de studiu. Pentru a fi eligibil pentru </w:t>
      </w:r>
      <w:r w:rsidR="0040203F" w:rsidRPr="00444D8F">
        <w:t>asistenţă</w:t>
      </w:r>
      <w:r w:rsidRPr="00444D8F">
        <w:t>, este obligatoriu ca persoanele fizice să înceapă educa</w:t>
      </w:r>
      <w:r w:rsidR="000F093A" w:rsidRPr="00444D8F">
        <w:t>ţ</w:t>
      </w:r>
      <w:r w:rsidRPr="00444D8F">
        <w:t>ia, sau să participe la programe de activare.</w:t>
      </w:r>
    </w:p>
    <w:p w:rsidR="00FF774A" w:rsidRPr="00444D8F" w:rsidRDefault="009F488A" w:rsidP="009D1756">
      <w:pPr>
        <w:jc w:val="both"/>
      </w:pPr>
      <w:r w:rsidRPr="00444D8F">
        <w:t xml:space="preserve">În al doilea rând, politicile de activare au fost modificate dintr-un sistem mai degrabă rigid </w:t>
      </w:r>
      <w:r w:rsidR="0040203F" w:rsidRPr="00444D8F">
        <w:t>într-</w:t>
      </w:r>
      <w:r w:rsidRPr="00444D8F">
        <w:t>un sistem mai flexibil</w:t>
      </w:r>
      <w:r w:rsidR="00D8596D" w:rsidRPr="00444D8F">
        <w:t>,</w:t>
      </w:r>
      <w:r w:rsidRPr="00444D8F">
        <w:t xml:space="preserve"> direc</w:t>
      </w:r>
      <w:r w:rsidR="000F093A" w:rsidRPr="00444D8F">
        <w:t>ţ</w:t>
      </w:r>
      <w:r w:rsidRPr="00444D8F">
        <w:t>ionat către nevoile pie</w:t>
      </w:r>
      <w:r w:rsidR="000F093A" w:rsidRPr="00444D8F">
        <w:t>ţ</w:t>
      </w:r>
      <w:r w:rsidRPr="00444D8F">
        <w:t>ei for</w:t>
      </w:r>
      <w:r w:rsidR="000F093A" w:rsidRPr="00444D8F">
        <w:t>ţ</w:t>
      </w:r>
      <w:r w:rsidRPr="00444D8F">
        <w:t xml:space="preserve">ei de muncă </w:t>
      </w:r>
      <w:r w:rsidR="000F093A" w:rsidRPr="00444D8F">
        <w:t>ş</w:t>
      </w:r>
      <w:r w:rsidRPr="00444D8F">
        <w:t xml:space="preserve">i </w:t>
      </w:r>
      <w:r w:rsidR="0040203F" w:rsidRPr="00444D8F">
        <w:t xml:space="preserve">un interes </w:t>
      </w:r>
      <w:r w:rsidRPr="00444D8F">
        <w:t xml:space="preserve">individual </w:t>
      </w:r>
      <w:r w:rsidR="00541289" w:rsidRPr="00444D8F">
        <w:t xml:space="preserve">pentru </w:t>
      </w:r>
      <w:r w:rsidR="003532F0" w:rsidRPr="00444D8F">
        <w:t>găsire</w:t>
      </w:r>
      <w:r w:rsidR="00541289" w:rsidRPr="00444D8F">
        <w:t xml:space="preserve">a unui </w:t>
      </w:r>
      <w:r w:rsidR="003532F0" w:rsidRPr="00444D8F">
        <w:t xml:space="preserve"> loc de muncă </w:t>
      </w:r>
      <w:r w:rsidR="00534B5B" w:rsidRPr="00444D8F">
        <w:t xml:space="preserve">faţă de </w:t>
      </w:r>
      <w:r w:rsidRPr="00444D8F">
        <w:t>participare</w:t>
      </w:r>
      <w:r w:rsidR="00534B5B" w:rsidRPr="00444D8F">
        <w:t>a</w:t>
      </w:r>
      <w:r w:rsidR="003532F0" w:rsidRPr="00444D8F">
        <w:t xml:space="preserve"> l</w:t>
      </w:r>
      <w:r w:rsidRPr="00444D8F">
        <w:t>a program</w:t>
      </w:r>
      <w:r w:rsidR="003532F0" w:rsidRPr="00444D8F">
        <w:t>e</w:t>
      </w:r>
      <w:r w:rsidRPr="00444D8F">
        <w:t xml:space="preserve">, precum </w:t>
      </w:r>
      <w:r w:rsidR="000F093A" w:rsidRPr="00444D8F">
        <w:t>ş</w:t>
      </w:r>
      <w:r w:rsidRPr="00444D8F">
        <w:t>i stimulente</w:t>
      </w:r>
      <w:r w:rsidR="00534B5B" w:rsidRPr="00444D8F">
        <w:t xml:space="preserve">le acordate </w:t>
      </w:r>
      <w:r w:rsidRPr="00444D8F">
        <w:t xml:space="preserve">pentru a asigura o revenire mai rapidă </w:t>
      </w:r>
      <w:r w:rsidR="003532F0" w:rsidRPr="00444D8F">
        <w:t xml:space="preserve">la </w:t>
      </w:r>
      <w:r w:rsidRPr="00444D8F">
        <w:t xml:space="preserve">muncă. În prima parte a unei </w:t>
      </w:r>
      <w:r w:rsidR="003532F0" w:rsidRPr="00444D8F">
        <w:t xml:space="preserve">perioade de </w:t>
      </w:r>
      <w:r w:rsidR="000F093A" w:rsidRPr="00444D8F">
        <w:t>ş</w:t>
      </w:r>
      <w:r w:rsidRPr="00444D8F">
        <w:t xml:space="preserve">omaj (3 luni pentru persoanele sub 30 </w:t>
      </w:r>
      <w:r w:rsidRPr="00444D8F">
        <w:lastRenderedPageBreak/>
        <w:t xml:space="preserve">de ani, 6 luni, pentru persoanele cu vârsta între 30 </w:t>
      </w:r>
      <w:r w:rsidR="003532F0" w:rsidRPr="00444D8F">
        <w:t xml:space="preserve">şi </w:t>
      </w:r>
      <w:r w:rsidRPr="00444D8F">
        <w:t xml:space="preserve">49, precum </w:t>
      </w:r>
      <w:r w:rsidR="000F093A" w:rsidRPr="00444D8F">
        <w:t>ş</w:t>
      </w:r>
      <w:r w:rsidRPr="00444D8F">
        <w:t>i 3 luni pentru persoanele peste 50 de ani), interven</w:t>
      </w:r>
      <w:r w:rsidR="000F093A" w:rsidRPr="00444D8F">
        <w:t>ţ</w:t>
      </w:r>
      <w:r w:rsidRPr="00444D8F">
        <w:t xml:space="preserve">ia principală constă în </w:t>
      </w:r>
      <w:r w:rsidR="00534B5B" w:rsidRPr="00444D8F">
        <w:t xml:space="preserve">organizarea de </w:t>
      </w:r>
      <w:r w:rsidRPr="00444D8F">
        <w:t xml:space="preserve">întâlniri </w:t>
      </w:r>
      <w:r w:rsidR="000F093A" w:rsidRPr="00444D8F">
        <w:t>ş</w:t>
      </w:r>
      <w:r w:rsidRPr="00444D8F">
        <w:t xml:space="preserve">i consiliere în vederea consolidării </w:t>
      </w:r>
      <w:r w:rsidR="003532F0" w:rsidRPr="00444D8F">
        <w:t xml:space="preserve">şi direcţionării către </w:t>
      </w:r>
      <w:r w:rsidR="00541289" w:rsidRPr="00444D8F">
        <w:t>un loc</w:t>
      </w:r>
      <w:r w:rsidRPr="00444D8F">
        <w:t xml:space="preserve"> de muncă, </w:t>
      </w:r>
      <w:r w:rsidR="003532F0" w:rsidRPr="00444D8F">
        <w:t xml:space="preserve">iar </w:t>
      </w:r>
      <w:r w:rsidR="00CB1AA1" w:rsidRPr="00444D8F">
        <w:t>apoi</w:t>
      </w:r>
      <w:r w:rsidR="00534B5B" w:rsidRPr="00444D8F">
        <w:t>,</w:t>
      </w:r>
      <w:r w:rsidR="00CB1AA1" w:rsidRPr="00444D8F">
        <w:t xml:space="preserve"> în peri</w:t>
      </w:r>
      <w:r w:rsidR="00541289" w:rsidRPr="00444D8F">
        <w:t>o</w:t>
      </w:r>
      <w:r w:rsidR="00CB1AA1" w:rsidRPr="00444D8F">
        <w:t xml:space="preserve">ada </w:t>
      </w:r>
      <w:r w:rsidR="003532F0" w:rsidRPr="00444D8F">
        <w:t>de şomaj</w:t>
      </w:r>
      <w:r w:rsidR="00534B5B" w:rsidRPr="00444D8F">
        <w:t>,</w:t>
      </w:r>
      <w:r w:rsidR="003532F0" w:rsidRPr="00444D8F">
        <w:t xml:space="preserve"> </w:t>
      </w:r>
      <w:r w:rsidR="00CB1AA1" w:rsidRPr="00444D8F">
        <w:t xml:space="preserve">aceasta este urmată de </w:t>
      </w:r>
      <w:r w:rsidRPr="00444D8F">
        <w:t>participare</w:t>
      </w:r>
      <w:r w:rsidR="003532F0" w:rsidRPr="00444D8F">
        <w:t>a la un</w:t>
      </w:r>
      <w:r w:rsidRPr="00444D8F">
        <w:t xml:space="preserve"> program (un drept </w:t>
      </w:r>
      <w:r w:rsidR="000F093A" w:rsidRPr="00444D8F">
        <w:t>ş</w:t>
      </w:r>
      <w:r w:rsidRPr="00444D8F">
        <w:t>i o datorie). To</w:t>
      </w:r>
      <w:r w:rsidR="000F093A" w:rsidRPr="00444D8F">
        <w:t>ţ</w:t>
      </w:r>
      <w:r w:rsidRPr="00444D8F">
        <w:t xml:space="preserve">i </w:t>
      </w:r>
      <w:r w:rsidR="000F093A" w:rsidRPr="00444D8F">
        <w:t>ş</w:t>
      </w:r>
      <w:r w:rsidRPr="00444D8F">
        <w:t>omerii au dreptul de a participa la un program de educa</w:t>
      </w:r>
      <w:r w:rsidR="000F093A" w:rsidRPr="00444D8F">
        <w:t>ţ</w:t>
      </w:r>
      <w:r w:rsidRPr="00444D8F">
        <w:t xml:space="preserve">ie </w:t>
      </w:r>
      <w:r w:rsidR="00541289" w:rsidRPr="00444D8F">
        <w:t xml:space="preserve">cu </w:t>
      </w:r>
      <w:r w:rsidRPr="00444D8F">
        <w:t>durat</w:t>
      </w:r>
      <w:r w:rsidR="00541289" w:rsidRPr="00444D8F">
        <w:t>a</w:t>
      </w:r>
      <w:r w:rsidRPr="00444D8F">
        <w:t xml:space="preserve"> de până la </w:t>
      </w:r>
      <w:r w:rsidR="000F093A" w:rsidRPr="00444D8F">
        <w:t>ş</w:t>
      </w:r>
      <w:r w:rsidRPr="00444D8F">
        <w:t>ase săptămâni (</w:t>
      </w:r>
      <w:r w:rsidR="00CB1AA1" w:rsidRPr="00444D8F">
        <w:t xml:space="preserve">program </w:t>
      </w:r>
      <w:r w:rsidRPr="00444D8F">
        <w:t xml:space="preserve">ales individual </w:t>
      </w:r>
      <w:r w:rsidR="00534B5B" w:rsidRPr="00444D8F">
        <w:t>prin selecţie</w:t>
      </w:r>
      <w:r w:rsidR="00CB1AA1" w:rsidRPr="00444D8F">
        <w:t xml:space="preserve">/dintr-o </w:t>
      </w:r>
      <w:r w:rsidRPr="00444D8F">
        <w:t xml:space="preserve">listă). </w:t>
      </w:r>
      <w:r w:rsidR="003532F0" w:rsidRPr="00444D8F">
        <w:t>A</w:t>
      </w:r>
      <w:r w:rsidRPr="00444D8F">
        <w:t xml:space="preserve">stfel, pendula </w:t>
      </w:r>
      <w:r w:rsidR="003532F0" w:rsidRPr="00444D8F">
        <w:t xml:space="preserve">se balansează dinspre </w:t>
      </w:r>
      <w:r w:rsidRPr="00444D8F">
        <w:t xml:space="preserve">politicile de activare foarte rigide </w:t>
      </w:r>
      <w:r w:rsidR="003532F0" w:rsidRPr="00444D8F">
        <w:t xml:space="preserve">către </w:t>
      </w:r>
      <w:r w:rsidRPr="00444D8F">
        <w:t>politici mai flexibile</w:t>
      </w:r>
      <w:r w:rsidR="00534B5B" w:rsidRPr="00444D8F">
        <w:t xml:space="preserve">; acest proces de </w:t>
      </w:r>
      <w:r w:rsidR="003532F0" w:rsidRPr="00444D8F">
        <w:t xml:space="preserve"> </w:t>
      </w:r>
      <w:r w:rsidRPr="00444D8F">
        <w:t>schimbare</w:t>
      </w:r>
      <w:r w:rsidR="00534B5B" w:rsidRPr="00444D8F">
        <w:t xml:space="preserve"> </w:t>
      </w:r>
      <w:r w:rsidRPr="00444D8F">
        <w:t>a politic</w:t>
      </w:r>
      <w:r w:rsidR="003532F0" w:rsidRPr="00444D8F">
        <w:t>ilor</w:t>
      </w:r>
      <w:r w:rsidRPr="00444D8F">
        <w:t xml:space="preserve"> este </w:t>
      </w:r>
      <w:r w:rsidR="00534B5B" w:rsidRPr="00444D8F">
        <w:t xml:space="preserve">deocamdată </w:t>
      </w:r>
      <w:r w:rsidRPr="00444D8F">
        <w:t>în curs de implementare</w:t>
      </w:r>
      <w:r w:rsidR="00534B5B" w:rsidRPr="00444D8F">
        <w:t xml:space="preserve"> </w:t>
      </w:r>
      <w:r w:rsidR="00534B5B" w:rsidRPr="00444D8F">
        <w:rPr>
          <w:lang w:val="ro-RO"/>
        </w:rPr>
        <w:t>şi</w:t>
      </w:r>
      <w:r w:rsidRPr="00444D8F">
        <w:t xml:space="preserve"> este prea devreme pentru a evalua cât de </w:t>
      </w:r>
      <w:r w:rsidR="003532F0" w:rsidRPr="00444D8F">
        <w:t xml:space="preserve">eficient va </w:t>
      </w:r>
      <w:r w:rsidR="00CB1AA1" w:rsidRPr="00444D8F">
        <w:t>fun</w:t>
      </w:r>
      <w:r w:rsidR="003532F0" w:rsidRPr="00444D8F">
        <w:t>cţiona</w:t>
      </w:r>
      <w:r w:rsidRPr="00444D8F">
        <w:t>.</w:t>
      </w:r>
    </w:p>
    <w:p w:rsidR="009B23D9" w:rsidRPr="00444D8F" w:rsidRDefault="009B23D9" w:rsidP="009D1756">
      <w:pPr>
        <w:jc w:val="both"/>
      </w:pPr>
      <w:r w:rsidRPr="00444D8F">
        <w:rPr>
          <w:b/>
        </w:rPr>
        <w:t xml:space="preserve">4.5 </w:t>
      </w:r>
      <w:r w:rsidR="00CB1AA1" w:rsidRPr="00444D8F">
        <w:rPr>
          <w:b/>
        </w:rPr>
        <w:t>Provocări viitoare</w:t>
      </w:r>
    </w:p>
    <w:p w:rsidR="009B23D9" w:rsidRPr="00444D8F" w:rsidRDefault="003532F0" w:rsidP="009D1756">
      <w:pPr>
        <w:jc w:val="both"/>
      </w:pPr>
      <w:r w:rsidRPr="00444D8F">
        <w:t xml:space="preserve">Automulţumirea privind </w:t>
      </w:r>
      <w:r w:rsidR="009B23D9" w:rsidRPr="00444D8F">
        <w:t>performan</w:t>
      </w:r>
      <w:r w:rsidR="000F093A" w:rsidRPr="00444D8F">
        <w:t>ţ</w:t>
      </w:r>
      <w:r w:rsidR="009B23D9" w:rsidRPr="00444D8F">
        <w:t>ele anterioare po</w:t>
      </w:r>
      <w:r w:rsidR="00CB1AA1" w:rsidRPr="00444D8F">
        <w:t>ate</w:t>
      </w:r>
      <w:r w:rsidR="00BA0059" w:rsidRPr="00444D8F">
        <w:t xml:space="preserve"> fi </w:t>
      </w:r>
      <w:r w:rsidR="00534B5B" w:rsidRPr="00444D8F">
        <w:t>iluzorie</w:t>
      </w:r>
      <w:r w:rsidR="009B23D9" w:rsidRPr="00444D8F">
        <w:t>, este</w:t>
      </w:r>
      <w:r w:rsidR="00796FF1" w:rsidRPr="00444D8F">
        <w:t xml:space="preserve">, deci, </w:t>
      </w:r>
      <w:r w:rsidR="009B23D9" w:rsidRPr="00444D8F">
        <w:t>esen</w:t>
      </w:r>
      <w:r w:rsidR="000F093A" w:rsidRPr="00444D8F">
        <w:t>ţ</w:t>
      </w:r>
      <w:r w:rsidR="009B23D9" w:rsidRPr="00444D8F">
        <w:t xml:space="preserve">ial să se ia în considerare cât de bine </w:t>
      </w:r>
      <w:r w:rsidRPr="00444D8F">
        <w:t xml:space="preserve">este pregătită </w:t>
      </w:r>
      <w:r w:rsidR="009B23D9" w:rsidRPr="00444D8F">
        <w:t xml:space="preserve">Danemarca </w:t>
      </w:r>
      <w:r w:rsidRPr="00444D8F">
        <w:t xml:space="preserve">pentru </w:t>
      </w:r>
      <w:r w:rsidR="009B23D9" w:rsidRPr="00444D8F">
        <w:t>provocările viitoare</w:t>
      </w:r>
      <w:r w:rsidR="00796FF1" w:rsidRPr="00444D8F">
        <w:t>,</w:t>
      </w:r>
      <w:r w:rsidR="009B23D9" w:rsidRPr="00444D8F">
        <w:t xml:space="preserve"> inclusiv îmbătrânirea </w:t>
      </w:r>
      <w:r w:rsidR="000F093A" w:rsidRPr="00444D8F">
        <w:t>ş</w:t>
      </w:r>
      <w:r w:rsidR="009B23D9" w:rsidRPr="00444D8F">
        <w:t>i migra</w:t>
      </w:r>
      <w:r w:rsidR="000F093A" w:rsidRPr="00444D8F">
        <w:t>ţ</w:t>
      </w:r>
      <w:r w:rsidR="009B23D9" w:rsidRPr="00444D8F">
        <w:t xml:space="preserve">ia. Cum vor afecta </w:t>
      </w:r>
      <w:r w:rsidRPr="00444D8F">
        <w:t xml:space="preserve">acestea </w:t>
      </w:r>
      <w:r w:rsidR="009B23D9" w:rsidRPr="00444D8F">
        <w:t>modelul?</w:t>
      </w:r>
    </w:p>
    <w:p w:rsidR="009B23D9" w:rsidRPr="00444D8F" w:rsidRDefault="009B23D9" w:rsidP="009D1756">
      <w:pPr>
        <w:jc w:val="both"/>
        <w:rPr>
          <w:b/>
        </w:rPr>
      </w:pPr>
      <w:r w:rsidRPr="00444D8F">
        <w:rPr>
          <w:b/>
        </w:rPr>
        <w:t xml:space="preserve">4.5.1 </w:t>
      </w:r>
      <w:r w:rsidR="00242A26" w:rsidRPr="00444D8F">
        <w:rPr>
          <w:b/>
        </w:rPr>
        <w:t>Î</w:t>
      </w:r>
      <w:r w:rsidRPr="00444D8F">
        <w:rPr>
          <w:b/>
        </w:rPr>
        <w:t>mbătrânirea popula</w:t>
      </w:r>
      <w:r w:rsidR="000F093A" w:rsidRPr="00444D8F">
        <w:rPr>
          <w:b/>
        </w:rPr>
        <w:t>ţ</w:t>
      </w:r>
      <w:r w:rsidRPr="00444D8F">
        <w:rPr>
          <w:b/>
        </w:rPr>
        <w:t xml:space="preserve">iei </w:t>
      </w:r>
      <w:r w:rsidR="000F093A" w:rsidRPr="00444D8F">
        <w:rPr>
          <w:b/>
        </w:rPr>
        <w:t>ş</w:t>
      </w:r>
      <w:r w:rsidRPr="00444D8F">
        <w:rPr>
          <w:b/>
        </w:rPr>
        <w:t>i durabilitatea fiscală</w:t>
      </w:r>
    </w:p>
    <w:p w:rsidR="00534B5B" w:rsidRPr="00444D8F" w:rsidRDefault="009B23D9" w:rsidP="009D1756">
      <w:pPr>
        <w:jc w:val="both"/>
      </w:pPr>
      <w:r w:rsidRPr="00444D8F">
        <w:t>Tendin</w:t>
      </w:r>
      <w:r w:rsidR="000F093A" w:rsidRPr="00444D8F">
        <w:t>ţ</w:t>
      </w:r>
      <w:r w:rsidRPr="00444D8F">
        <w:t>a d</w:t>
      </w:r>
      <w:r w:rsidR="00242A26" w:rsidRPr="00444D8F">
        <w:t>e îmbătrânire globală afectează</w:t>
      </w:r>
      <w:r w:rsidRPr="00444D8F">
        <w:t xml:space="preserve"> </w:t>
      </w:r>
      <w:r w:rsidR="00242A26" w:rsidRPr="00444D8F">
        <w:t xml:space="preserve">şi </w:t>
      </w:r>
      <w:r w:rsidRPr="00444D8F">
        <w:t>Danemarca, de</w:t>
      </w:r>
      <w:r w:rsidR="000F093A" w:rsidRPr="00444D8F">
        <w:t>ş</w:t>
      </w:r>
      <w:r w:rsidRPr="00444D8F">
        <w:t>i cre</w:t>
      </w:r>
      <w:r w:rsidR="000F093A" w:rsidRPr="00444D8F">
        <w:t>ş</w:t>
      </w:r>
      <w:r w:rsidRPr="00444D8F">
        <w:t>terea raportului de dependen</w:t>
      </w:r>
      <w:r w:rsidR="000F093A" w:rsidRPr="00444D8F">
        <w:t>ţ</w:t>
      </w:r>
      <w:r w:rsidRPr="00444D8F">
        <w:t xml:space="preserve">ă </w:t>
      </w:r>
      <w:r w:rsidR="00242A26" w:rsidRPr="00444D8F">
        <w:t>se situează în partea inferioară</w:t>
      </w:r>
      <w:r w:rsidR="00796FF1" w:rsidRPr="00444D8F">
        <w:t>,</w:t>
      </w:r>
      <w:r w:rsidR="00242A26" w:rsidRPr="00444D8F">
        <w:t xml:space="preserve"> coeficienţii privind </w:t>
      </w:r>
      <w:r w:rsidRPr="00444D8F">
        <w:t>fertilitate</w:t>
      </w:r>
      <w:r w:rsidR="00242A26" w:rsidRPr="00444D8F">
        <w:t>a</w:t>
      </w:r>
      <w:r w:rsidRPr="00444D8F">
        <w:t xml:space="preserve"> </w:t>
      </w:r>
      <w:r w:rsidR="00242A26" w:rsidRPr="00444D8F">
        <w:t xml:space="preserve">fiind </w:t>
      </w:r>
      <w:r w:rsidRPr="00444D8F">
        <w:t>relativ ridica</w:t>
      </w:r>
      <w:r w:rsidR="00242A26" w:rsidRPr="00444D8F">
        <w:t>ţi</w:t>
      </w:r>
      <w:r w:rsidRPr="00444D8F">
        <w:t xml:space="preserve">. </w:t>
      </w:r>
      <w:r w:rsidR="00242A26" w:rsidRPr="00444D8F">
        <w:t xml:space="preserve">Motorul </w:t>
      </w:r>
      <w:r w:rsidRPr="00444D8F">
        <w:t>cheie din spatele îmbătrânirii este tendin</w:t>
      </w:r>
      <w:r w:rsidR="000F093A" w:rsidRPr="00444D8F">
        <w:t>ţ</w:t>
      </w:r>
      <w:r w:rsidR="00242A26" w:rsidRPr="00444D8F">
        <w:t>a</w:t>
      </w:r>
      <w:r w:rsidRPr="00444D8F">
        <w:t xml:space="preserve"> </w:t>
      </w:r>
      <w:r w:rsidR="00242A26" w:rsidRPr="00444D8F">
        <w:t xml:space="preserve">de creştere a </w:t>
      </w:r>
      <w:r w:rsidRPr="00444D8F">
        <w:t>longevit</w:t>
      </w:r>
      <w:r w:rsidR="00242A26" w:rsidRPr="00444D8F">
        <w:t>ăţii</w:t>
      </w:r>
      <w:r w:rsidRPr="00444D8F">
        <w:t>.</w:t>
      </w:r>
      <w:r w:rsidR="00242A26" w:rsidRPr="00444D8F">
        <w:t xml:space="preserve"> </w:t>
      </w:r>
    </w:p>
    <w:p w:rsidR="00483C45" w:rsidRPr="00444D8F" w:rsidRDefault="00483C45" w:rsidP="009D1756">
      <w:pPr>
        <w:jc w:val="both"/>
        <w:rPr>
          <w:b/>
        </w:rPr>
      </w:pPr>
      <w:r w:rsidRPr="00444D8F">
        <w:rPr>
          <w:b/>
        </w:rPr>
        <w:t>Figura 4.9 Profilul finanţelor publice</w:t>
      </w:r>
    </w:p>
    <w:p w:rsidR="005837C9" w:rsidRPr="00444D8F" w:rsidRDefault="005837C9" w:rsidP="009D1756">
      <w:pPr>
        <w:jc w:val="both"/>
      </w:pPr>
      <w:r w:rsidRPr="00444D8F">
        <w:rPr>
          <w:noProof/>
        </w:rPr>
        <w:drawing>
          <wp:inline distT="0" distB="0" distL="0" distR="0" wp14:anchorId="1CE228E5" wp14:editId="2B478BFF">
            <wp:extent cx="3987530" cy="2834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7530" cy="2834640"/>
                    </a:xfrm>
                    <a:prstGeom prst="rect">
                      <a:avLst/>
                    </a:prstGeom>
                    <a:noFill/>
                  </pic:spPr>
                </pic:pic>
              </a:graphicData>
            </a:graphic>
          </wp:inline>
        </w:drawing>
      </w:r>
    </w:p>
    <w:p w:rsidR="00FF774A" w:rsidRPr="00444D8F" w:rsidRDefault="009B23D9" w:rsidP="009D1756">
      <w:pPr>
        <w:jc w:val="both"/>
      </w:pPr>
      <w:r w:rsidRPr="00444D8F">
        <w:t>O compozi</w:t>
      </w:r>
      <w:r w:rsidR="000F093A" w:rsidRPr="00444D8F">
        <w:t>ţ</w:t>
      </w:r>
      <w:r w:rsidRPr="00444D8F">
        <w:t xml:space="preserve">ie modificată </w:t>
      </w:r>
      <w:r w:rsidR="00242A26" w:rsidRPr="00444D8F">
        <w:t xml:space="preserve">a vârstelor </w:t>
      </w:r>
      <w:r w:rsidRPr="00444D8F">
        <w:t>poate pune finan</w:t>
      </w:r>
      <w:r w:rsidR="000F093A" w:rsidRPr="00444D8F">
        <w:t>ţ</w:t>
      </w:r>
      <w:r w:rsidRPr="00444D8F">
        <w:t xml:space="preserve">ele publice pe o traiectorie nesustenabilă, această preocupare </w:t>
      </w:r>
      <w:r w:rsidR="00242A26" w:rsidRPr="00444D8F">
        <w:t xml:space="preserve">fiind </w:t>
      </w:r>
      <w:r w:rsidR="00C3729E" w:rsidRPr="00444D8F">
        <w:t xml:space="preserve">deja </w:t>
      </w:r>
      <w:r w:rsidR="00242A26" w:rsidRPr="00444D8F">
        <w:t xml:space="preserve">înscrisă </w:t>
      </w:r>
      <w:r w:rsidRPr="00444D8F">
        <w:t>pe agenda politică de câ</w:t>
      </w:r>
      <w:r w:rsidR="000F093A" w:rsidRPr="00444D8F">
        <w:t>ţ</w:t>
      </w:r>
      <w:r w:rsidR="00B75E19" w:rsidRPr="00444D8F">
        <w:t>iva ani.</w:t>
      </w:r>
      <w:r w:rsidR="00A77498" w:rsidRPr="00444D8F">
        <w:rPr>
          <w:rStyle w:val="FootnoteReference"/>
        </w:rPr>
        <w:footnoteReference w:id="20"/>
      </w:r>
      <w:r w:rsidR="00B75E19" w:rsidRPr="00444D8F">
        <w:t xml:space="preserve"> </w:t>
      </w:r>
      <w:r w:rsidR="00242A26" w:rsidRPr="00444D8F">
        <w:t>A</w:t>
      </w:r>
      <w:r w:rsidRPr="00444D8F">
        <w:t xml:space="preserve">u fost adoptate </w:t>
      </w:r>
      <w:r w:rsidR="00242A26" w:rsidRPr="00444D8F">
        <w:t>o serie de reforme</w:t>
      </w:r>
      <w:r w:rsidR="00C3729E" w:rsidRPr="00444D8F">
        <w:t xml:space="preserve"> -</w:t>
      </w:r>
      <w:r w:rsidR="00242A26" w:rsidRPr="00444D8F">
        <w:t xml:space="preserve"> ele </w:t>
      </w:r>
      <w:r w:rsidR="00242A26" w:rsidRPr="00444D8F">
        <w:lastRenderedPageBreak/>
        <w:t xml:space="preserve">având un </w:t>
      </w:r>
      <w:r w:rsidRPr="00444D8F">
        <w:t xml:space="preserve">obiectiv strategic comun </w:t>
      </w:r>
      <w:r w:rsidR="00FE6C22" w:rsidRPr="00444D8F">
        <w:t xml:space="preserve">- </w:t>
      </w:r>
      <w:r w:rsidRPr="00444D8F">
        <w:t>cre</w:t>
      </w:r>
      <w:r w:rsidR="000F093A" w:rsidRPr="00444D8F">
        <w:t>ş</w:t>
      </w:r>
      <w:r w:rsidR="00BA0059" w:rsidRPr="00444D8F">
        <w:t>tere</w:t>
      </w:r>
      <w:r w:rsidRPr="00444D8F">
        <w:t xml:space="preserve">a ofertei de muncă </w:t>
      </w:r>
      <w:r w:rsidR="000F093A" w:rsidRPr="00444D8F">
        <w:t>ş</w:t>
      </w:r>
      <w:r w:rsidRPr="00444D8F">
        <w:t>i a ocupării, care, la rândul</w:t>
      </w:r>
      <w:r w:rsidR="00FE6C22" w:rsidRPr="00444D8F">
        <w:t xml:space="preserve"> lor</w:t>
      </w:r>
      <w:r w:rsidRPr="00444D8F">
        <w:t xml:space="preserve"> </w:t>
      </w:r>
      <w:r w:rsidR="00FE6C22" w:rsidRPr="00444D8F">
        <w:t xml:space="preserve">să </w:t>
      </w:r>
      <w:r w:rsidRPr="00444D8F">
        <w:t>îmbunătă</w:t>
      </w:r>
      <w:r w:rsidR="000F093A" w:rsidRPr="00444D8F">
        <w:t>ţ</w:t>
      </w:r>
      <w:r w:rsidRPr="00444D8F">
        <w:t>e</w:t>
      </w:r>
      <w:r w:rsidR="00FE6C22" w:rsidRPr="00444D8F">
        <w:t>ască</w:t>
      </w:r>
      <w:r w:rsidRPr="00444D8F">
        <w:t xml:space="preserve"> finan</w:t>
      </w:r>
      <w:r w:rsidR="000F093A" w:rsidRPr="00444D8F">
        <w:t>ţ</w:t>
      </w:r>
      <w:r w:rsidRPr="00444D8F">
        <w:t>ele publice, prin intermediul reducer</w:t>
      </w:r>
      <w:r w:rsidR="00FE6C22" w:rsidRPr="00444D8F">
        <w:t>ii</w:t>
      </w:r>
      <w:r w:rsidRPr="00444D8F">
        <w:t xml:space="preserve"> cheltuielilor </w:t>
      </w:r>
      <w:r w:rsidR="00FE6C22" w:rsidRPr="00444D8F">
        <w:t xml:space="preserve">pentru </w:t>
      </w:r>
      <w:r w:rsidRPr="00444D8F">
        <w:t>presta</w:t>
      </w:r>
      <w:r w:rsidR="000F093A" w:rsidRPr="00444D8F">
        <w:t>ţ</w:t>
      </w:r>
      <w:r w:rsidRPr="00444D8F">
        <w:t xml:space="preserve">iile sociale </w:t>
      </w:r>
      <w:r w:rsidR="000F093A" w:rsidRPr="00444D8F">
        <w:t>ş</w:t>
      </w:r>
      <w:r w:rsidRPr="00444D8F">
        <w:t xml:space="preserve">i </w:t>
      </w:r>
      <w:r w:rsidR="00FE6C22" w:rsidRPr="00444D8F">
        <w:t xml:space="preserve">asigurarea </w:t>
      </w:r>
      <w:r w:rsidR="00BA0059" w:rsidRPr="00444D8F">
        <w:t xml:space="preserve">unor </w:t>
      </w:r>
      <w:r w:rsidRPr="00444D8F">
        <w:t>venituri fiscale mai mari.</w:t>
      </w:r>
    </w:p>
    <w:p w:rsidR="00FF774A" w:rsidRPr="00444D8F" w:rsidRDefault="009B23D9" w:rsidP="009D1756">
      <w:pPr>
        <w:jc w:val="both"/>
      </w:pPr>
      <w:r w:rsidRPr="00444D8F">
        <w:t>Un element esen</w:t>
      </w:r>
      <w:r w:rsidR="000F093A" w:rsidRPr="00444D8F">
        <w:t>ţ</w:t>
      </w:r>
      <w:r w:rsidRPr="00444D8F">
        <w:t>ial în cadrul acestor reforme a</w:t>
      </w:r>
      <w:r w:rsidR="00FE6C22" w:rsidRPr="00444D8F">
        <w:t>u</w:t>
      </w:r>
      <w:r w:rsidRPr="00444D8F">
        <w:t xml:space="preserve"> fost cre</w:t>
      </w:r>
      <w:r w:rsidR="000F093A" w:rsidRPr="00444D8F">
        <w:t>ş</w:t>
      </w:r>
      <w:r w:rsidRPr="00444D8F">
        <w:t>teri</w:t>
      </w:r>
      <w:r w:rsidR="00FE6C22" w:rsidRPr="00444D8F">
        <w:t>le</w:t>
      </w:r>
      <w:r w:rsidRPr="00444D8F">
        <w:t xml:space="preserve"> vârste</w:t>
      </w:r>
      <w:r w:rsidR="00BA0059" w:rsidRPr="00444D8F">
        <w:t>l</w:t>
      </w:r>
      <w:r w:rsidR="00FE6C22" w:rsidRPr="00444D8F">
        <w:t>or</w:t>
      </w:r>
      <w:r w:rsidRPr="00444D8F">
        <w:t xml:space="preserve"> </w:t>
      </w:r>
      <w:r w:rsidR="00BA0059" w:rsidRPr="00444D8F">
        <w:t>legal</w:t>
      </w:r>
      <w:r w:rsidR="00FE6C22" w:rsidRPr="00444D8F">
        <w:t xml:space="preserve">e de pensionare </w:t>
      </w:r>
      <w:r w:rsidRPr="00444D8F">
        <w:t>prin reforme</w:t>
      </w:r>
      <w:r w:rsidR="00FE6C22" w:rsidRPr="00444D8F">
        <w:t>le</w:t>
      </w:r>
      <w:r w:rsidRPr="00444D8F">
        <w:t xml:space="preserve"> </w:t>
      </w:r>
      <w:r w:rsidR="00C3729E" w:rsidRPr="00444D8F">
        <w:t>adoptate</w:t>
      </w:r>
      <w:r w:rsidRPr="00444D8F">
        <w:t xml:space="preserve"> în 2006 (reforma</w:t>
      </w:r>
      <w:r w:rsidR="00FE6C22" w:rsidRPr="00444D8F">
        <w:t xml:space="preserve"> socială</w:t>
      </w:r>
      <w:r w:rsidRPr="00444D8F">
        <w:t xml:space="preserve">) </w:t>
      </w:r>
      <w:r w:rsidR="000F093A" w:rsidRPr="00444D8F">
        <w:t>ş</w:t>
      </w:r>
      <w:r w:rsidRPr="00444D8F">
        <w:t>i 2011 (reforma pensi</w:t>
      </w:r>
      <w:r w:rsidR="00FE6C22" w:rsidRPr="00444D8F">
        <w:t>onării</w:t>
      </w:r>
      <w:r w:rsidRPr="00444D8F">
        <w:t xml:space="preserve">). Atât vârsta de pensionare anticipată </w:t>
      </w:r>
      <w:r w:rsidR="00FE6C22" w:rsidRPr="00444D8F">
        <w:t xml:space="preserve">cât </w:t>
      </w:r>
      <w:r w:rsidR="000F093A" w:rsidRPr="00444D8F">
        <w:t>ş</w:t>
      </w:r>
      <w:r w:rsidRPr="00444D8F">
        <w:t>i vârsta legală de pensi</w:t>
      </w:r>
      <w:r w:rsidR="00FE6C22" w:rsidRPr="00444D8F">
        <w:t>onare</w:t>
      </w:r>
      <w:r w:rsidRPr="00444D8F">
        <w:t xml:space="preserve"> va cre</w:t>
      </w:r>
      <w:r w:rsidR="000F093A" w:rsidRPr="00444D8F">
        <w:t>ş</w:t>
      </w:r>
      <w:r w:rsidRPr="00444D8F">
        <w:t xml:space="preserve">te în trepte de la 60 </w:t>
      </w:r>
      <w:r w:rsidR="000F093A" w:rsidRPr="00444D8F">
        <w:t>ş</w:t>
      </w:r>
      <w:r w:rsidRPr="00444D8F">
        <w:t>i 65 de ani,</w:t>
      </w:r>
      <w:r w:rsidR="00FE6C22" w:rsidRPr="00444D8F">
        <w:t xml:space="preserve"> </w:t>
      </w:r>
      <w:r w:rsidR="00796FF1" w:rsidRPr="00444D8F">
        <w:t xml:space="preserve">cât este </w:t>
      </w:r>
      <w:r w:rsidR="00FE6C22" w:rsidRPr="00444D8F">
        <w:t>în prezent,</w:t>
      </w:r>
      <w:r w:rsidRPr="00444D8F">
        <w:t xml:space="preserve"> la 62 </w:t>
      </w:r>
      <w:r w:rsidR="000F093A" w:rsidRPr="00444D8F">
        <w:t>ş</w:t>
      </w:r>
      <w:r w:rsidRPr="00444D8F">
        <w:t xml:space="preserve">i </w:t>
      </w:r>
      <w:r w:rsidR="00FE6C22" w:rsidRPr="00444D8F">
        <w:t>respectiv 67 de ani</w:t>
      </w:r>
      <w:r w:rsidR="00A77498" w:rsidRPr="00444D8F">
        <w:t>.</w:t>
      </w:r>
      <w:r w:rsidR="00C3729E" w:rsidRPr="00444D8F">
        <w:t xml:space="preserve"> </w:t>
      </w:r>
      <w:r w:rsidR="00A77498" w:rsidRPr="00444D8F">
        <w:rPr>
          <w:rStyle w:val="FootnoteReference"/>
        </w:rPr>
        <w:footnoteReference w:id="21"/>
      </w:r>
      <w:r w:rsidR="00C3729E" w:rsidRPr="00444D8F">
        <w:t xml:space="preserve"> </w:t>
      </w:r>
      <w:r w:rsidR="00796FF1" w:rsidRPr="00444D8F">
        <w:t>În urma parcurgerii treptate a acestor modificări</w:t>
      </w:r>
      <w:r w:rsidRPr="00444D8F">
        <w:t>, vârste</w:t>
      </w:r>
      <w:r w:rsidR="00FE6C22" w:rsidRPr="00444D8F">
        <w:t>le</w:t>
      </w:r>
      <w:r w:rsidRPr="00444D8F">
        <w:t xml:space="preserve"> legale de pensionare vor fi indexate în func</w:t>
      </w:r>
      <w:r w:rsidR="000F093A" w:rsidRPr="00444D8F">
        <w:t>ţ</w:t>
      </w:r>
      <w:r w:rsidRPr="00444D8F">
        <w:t>ie de speran</w:t>
      </w:r>
      <w:r w:rsidR="000F093A" w:rsidRPr="00444D8F">
        <w:t>ţ</w:t>
      </w:r>
      <w:r w:rsidRPr="00444D8F">
        <w:t>a de via</w:t>
      </w:r>
      <w:r w:rsidR="000F093A" w:rsidRPr="00444D8F">
        <w:t>ţ</w:t>
      </w:r>
      <w:r w:rsidRPr="00444D8F">
        <w:t xml:space="preserve">ă la vârsta de 60 de ani, </w:t>
      </w:r>
      <w:r w:rsidR="00FE6C22" w:rsidRPr="00444D8F">
        <w:t xml:space="preserve">vizând </w:t>
      </w:r>
      <w:r w:rsidRPr="00444D8F">
        <w:t xml:space="preserve">o perioadă de pensie </w:t>
      </w:r>
      <w:r w:rsidR="00BA0059" w:rsidRPr="00444D8F">
        <w:t xml:space="preserve">estimată </w:t>
      </w:r>
      <w:r w:rsidRPr="00444D8F">
        <w:t xml:space="preserve">de 14,5 ani (17,5 </w:t>
      </w:r>
      <w:r w:rsidR="00C3729E" w:rsidRPr="00444D8F">
        <w:t xml:space="preserve">ani </w:t>
      </w:r>
      <w:r w:rsidRPr="00444D8F">
        <w:t xml:space="preserve">inclusiv pensionarea anticipată). În prezent, perioadele </w:t>
      </w:r>
      <w:r w:rsidR="00C3729E" w:rsidRPr="00444D8F">
        <w:t>estim</w:t>
      </w:r>
      <w:r w:rsidRPr="00444D8F">
        <w:t xml:space="preserve">ate </w:t>
      </w:r>
      <w:r w:rsidR="00FE6C22" w:rsidRPr="00444D8F">
        <w:t>de pensie su</w:t>
      </w:r>
      <w:r w:rsidR="00796FF1" w:rsidRPr="00444D8F">
        <w:t>n</w:t>
      </w:r>
      <w:r w:rsidR="00FE6C22" w:rsidRPr="00444D8F">
        <w:t xml:space="preserve">t de </w:t>
      </w:r>
      <w:r w:rsidRPr="00444D8F">
        <w:t>18,</w:t>
      </w:r>
      <w:r w:rsidR="00FE6C22" w:rsidRPr="00444D8F">
        <w:t xml:space="preserve"> 5 / 23, </w:t>
      </w:r>
      <w:r w:rsidRPr="00444D8F">
        <w:t>5 ani, astfel încât reformele sunt destul de ambi</w:t>
      </w:r>
      <w:r w:rsidR="000F093A" w:rsidRPr="00444D8F">
        <w:t>ţ</w:t>
      </w:r>
      <w:r w:rsidRPr="00444D8F">
        <w:t>ioase din acest punct de vedere.</w:t>
      </w:r>
    </w:p>
    <w:p w:rsidR="009B23D9" w:rsidRPr="00444D8F" w:rsidRDefault="009B23D9" w:rsidP="009D1756">
      <w:pPr>
        <w:jc w:val="both"/>
      </w:pPr>
      <w:r w:rsidRPr="00444D8F">
        <w:t>Mai mult decât atât, toate transferurile sociale cheie care constituie plasa de siguran</w:t>
      </w:r>
      <w:r w:rsidR="000F093A" w:rsidRPr="00444D8F">
        <w:t>ţ</w:t>
      </w:r>
      <w:r w:rsidRPr="00444D8F">
        <w:t>ă socială (pensii de invaliditate, asisten</w:t>
      </w:r>
      <w:r w:rsidR="000F093A" w:rsidRPr="00444D8F">
        <w:t>ţ</w:t>
      </w:r>
      <w:r w:rsidRPr="00444D8F">
        <w:t xml:space="preserve">ă socială, asigurări de </w:t>
      </w:r>
      <w:r w:rsidR="000F093A" w:rsidRPr="00444D8F">
        <w:t>ş</w:t>
      </w:r>
      <w:r w:rsidRPr="00444D8F">
        <w:t xml:space="preserve">omaj etc.) au fost reformate pentru a spori </w:t>
      </w:r>
      <w:r w:rsidR="000F093A" w:rsidRPr="00444D8F">
        <w:t>ş</w:t>
      </w:r>
      <w:r w:rsidRPr="00444D8F">
        <w:t xml:space="preserve">i mai mult oferta de muncă </w:t>
      </w:r>
      <w:r w:rsidR="000F093A" w:rsidRPr="00444D8F">
        <w:t>ş</w:t>
      </w:r>
      <w:r w:rsidRPr="00444D8F">
        <w:t>i ocuparea for</w:t>
      </w:r>
      <w:r w:rsidR="000F093A" w:rsidRPr="00444D8F">
        <w:t>ţ</w:t>
      </w:r>
      <w:r w:rsidRPr="00444D8F">
        <w:t>ei de muncă.</w:t>
      </w:r>
    </w:p>
    <w:p w:rsidR="00FF774A" w:rsidRPr="00444D8F" w:rsidRDefault="009B23D9" w:rsidP="009D1756">
      <w:pPr>
        <w:jc w:val="both"/>
      </w:pPr>
      <w:r w:rsidRPr="00444D8F">
        <w:t>Implica</w:t>
      </w:r>
      <w:r w:rsidR="000F093A" w:rsidRPr="00444D8F">
        <w:t>ţ</w:t>
      </w:r>
      <w:r w:rsidRPr="00444D8F">
        <w:t xml:space="preserve">iile </w:t>
      </w:r>
      <w:r w:rsidR="00B20370" w:rsidRPr="00444D8F">
        <w:t xml:space="preserve">reformelor </w:t>
      </w:r>
      <w:r w:rsidRPr="00444D8F">
        <w:t>pe pia</w:t>
      </w:r>
      <w:r w:rsidR="000F093A" w:rsidRPr="00444D8F">
        <w:t>ţ</w:t>
      </w:r>
      <w:r w:rsidRPr="00444D8F">
        <w:t>a for</w:t>
      </w:r>
      <w:r w:rsidR="000F093A" w:rsidRPr="00444D8F">
        <w:t>ţ</w:t>
      </w:r>
      <w:r w:rsidRPr="00444D8F">
        <w:t xml:space="preserve">ei de muncă sunt destul de mari, </w:t>
      </w:r>
      <w:r w:rsidR="00B20370" w:rsidRPr="00444D8F">
        <w:t xml:space="preserve">conducând la </w:t>
      </w:r>
      <w:r w:rsidR="00BA0059" w:rsidRPr="00444D8F">
        <w:t xml:space="preserve">prefigurarea unei </w:t>
      </w:r>
      <w:r w:rsidRPr="00444D8F">
        <w:t xml:space="preserve"> cre</w:t>
      </w:r>
      <w:r w:rsidR="000F093A" w:rsidRPr="00444D8F">
        <w:t>ş</w:t>
      </w:r>
      <w:r w:rsidRPr="00444D8F">
        <w:t>ter</w:t>
      </w:r>
      <w:r w:rsidR="00BA0059" w:rsidRPr="00444D8F">
        <w:t xml:space="preserve">i </w:t>
      </w:r>
      <w:r w:rsidRPr="00444D8F">
        <w:t xml:space="preserve">de cinci puncte procentuale </w:t>
      </w:r>
      <w:r w:rsidR="00B20370" w:rsidRPr="00444D8F">
        <w:t xml:space="preserve">la </w:t>
      </w:r>
      <w:r w:rsidRPr="00444D8F">
        <w:t>rata de participare a for</w:t>
      </w:r>
      <w:r w:rsidR="000F093A" w:rsidRPr="00444D8F">
        <w:t>ţ</w:t>
      </w:r>
      <w:r w:rsidRPr="00444D8F">
        <w:t>ei de muncă din Danemarca, care era deja una dintre cele mai mari din OCDE de la bun început. Provocarea pe pia</w:t>
      </w:r>
      <w:r w:rsidR="000F093A" w:rsidRPr="00444D8F">
        <w:t>ţ</w:t>
      </w:r>
      <w:r w:rsidRPr="00444D8F">
        <w:t>a for</w:t>
      </w:r>
      <w:r w:rsidR="000F093A" w:rsidRPr="00444D8F">
        <w:t>ţ</w:t>
      </w:r>
      <w:r w:rsidRPr="00444D8F">
        <w:t xml:space="preserve">ei de muncă </w:t>
      </w:r>
      <w:r w:rsidR="00B20370" w:rsidRPr="00444D8F">
        <w:t xml:space="preserve">constă în </w:t>
      </w:r>
      <w:r w:rsidRPr="00444D8F">
        <w:t>asigura</w:t>
      </w:r>
      <w:r w:rsidR="00B20370" w:rsidRPr="00444D8F">
        <w:t>rea</w:t>
      </w:r>
      <w:r w:rsidRPr="00444D8F">
        <w:t xml:space="preserve"> că aceste cre</w:t>
      </w:r>
      <w:r w:rsidR="000F093A" w:rsidRPr="00444D8F">
        <w:t>ş</w:t>
      </w:r>
      <w:r w:rsidRPr="00444D8F">
        <w:t xml:space="preserve">teri ale ofertei de muncă </w:t>
      </w:r>
      <w:r w:rsidR="00B20370" w:rsidRPr="00444D8F">
        <w:t>se vor transfera în angajări</w:t>
      </w:r>
      <w:r w:rsidRPr="00444D8F">
        <w:t>.</w:t>
      </w:r>
      <w:r w:rsidR="00FF774A" w:rsidRPr="00444D8F">
        <w:t xml:space="preserve"> </w:t>
      </w:r>
    </w:p>
    <w:p w:rsidR="0083308D" w:rsidRPr="00444D8F" w:rsidRDefault="00257626" w:rsidP="009D1756">
      <w:pPr>
        <w:jc w:val="both"/>
      </w:pPr>
      <w:r w:rsidRPr="00444D8F">
        <w:t xml:space="preserve">Demersurile reformatoare </w:t>
      </w:r>
      <w:r w:rsidR="00C3729E" w:rsidRPr="00444D8F">
        <w:t xml:space="preserve">sunt garanţia </w:t>
      </w:r>
      <w:r w:rsidR="0083308D" w:rsidRPr="00444D8F">
        <w:t xml:space="preserve">faptului că </w:t>
      </w:r>
      <w:r w:rsidR="009B23D9" w:rsidRPr="00444D8F">
        <w:t>finan</w:t>
      </w:r>
      <w:r w:rsidR="000F093A" w:rsidRPr="00444D8F">
        <w:t>ţ</w:t>
      </w:r>
      <w:r w:rsidR="009B23D9" w:rsidRPr="00444D8F">
        <w:t>el</w:t>
      </w:r>
      <w:r w:rsidR="0083308D" w:rsidRPr="00444D8F">
        <w:t>e</w:t>
      </w:r>
      <w:r w:rsidR="009B23D9" w:rsidRPr="00444D8F">
        <w:t xml:space="preserve"> publice daneze îndeplinesc criteriile de durabilitate fiscală (a se vedea Ministerul Finan</w:t>
      </w:r>
      <w:r w:rsidR="000F093A" w:rsidRPr="00444D8F">
        <w:t>ţ</w:t>
      </w:r>
      <w:r w:rsidR="009B23D9" w:rsidRPr="00444D8F">
        <w:t>elor</w:t>
      </w:r>
      <w:r w:rsidRPr="00444D8F">
        <w:t xml:space="preserve"> </w:t>
      </w:r>
      <w:r w:rsidR="009B23D9" w:rsidRPr="00444D8F">
        <w:t xml:space="preserve">2015 </w:t>
      </w:r>
      <w:r w:rsidR="000F093A" w:rsidRPr="00444D8F">
        <w:t>ş</w:t>
      </w:r>
      <w:r w:rsidR="009B23D9" w:rsidRPr="00444D8F">
        <w:t xml:space="preserve">i Consiliul Economic </w:t>
      </w:r>
      <w:r w:rsidRPr="00444D8F">
        <w:t>din Danemarca 2015)</w:t>
      </w:r>
      <w:r w:rsidR="009B23D9" w:rsidRPr="00444D8F">
        <w:t>.</w:t>
      </w:r>
      <w:r w:rsidR="00A77498" w:rsidRPr="00444D8F">
        <w:rPr>
          <w:rStyle w:val="FootnoteReference"/>
        </w:rPr>
        <w:footnoteReference w:id="22"/>
      </w:r>
      <w:r w:rsidR="009B23D9" w:rsidRPr="00444D8F">
        <w:rPr>
          <w:vertAlign w:val="superscript"/>
        </w:rPr>
        <w:t xml:space="preserve"> </w:t>
      </w:r>
      <w:r w:rsidR="00C3729E" w:rsidRPr="00444D8F">
        <w:rPr>
          <w:vertAlign w:val="superscript"/>
        </w:rPr>
        <w:t xml:space="preserve"> </w:t>
      </w:r>
      <w:r w:rsidR="009B23D9" w:rsidRPr="00444D8F">
        <w:t xml:space="preserve">În acest sens, </w:t>
      </w:r>
      <w:r w:rsidRPr="00444D8F">
        <w:t>exist</w:t>
      </w:r>
      <w:r w:rsidRPr="00444D8F">
        <w:rPr>
          <w:lang w:val="ro-RO"/>
        </w:rPr>
        <w:t>ă</w:t>
      </w:r>
      <w:r w:rsidRPr="00444D8F">
        <w:t xml:space="preserve"> un mecanism robust de finan</w:t>
      </w:r>
      <w:r w:rsidR="00C3729E" w:rsidRPr="00444D8F">
        <w:t>ţ</w:t>
      </w:r>
      <w:r w:rsidRPr="00444D8F">
        <w:t xml:space="preserve">are a </w:t>
      </w:r>
      <w:r w:rsidR="009B23D9" w:rsidRPr="00444D8F">
        <w:t>sistemul</w:t>
      </w:r>
      <w:r w:rsidRPr="00444D8F">
        <w:t>ui</w:t>
      </w:r>
      <w:r w:rsidR="009B23D9" w:rsidRPr="00444D8F">
        <w:t xml:space="preserve"> de protec</w:t>
      </w:r>
      <w:r w:rsidR="000F093A" w:rsidRPr="00444D8F">
        <w:t>ţ</w:t>
      </w:r>
      <w:r w:rsidR="009B23D9" w:rsidRPr="00444D8F">
        <w:t>ie socială. Pro</w:t>
      </w:r>
      <w:r w:rsidRPr="00444D8F">
        <w:t xml:space="preserve">iecţia profilului </w:t>
      </w:r>
      <w:r w:rsidR="009B23D9" w:rsidRPr="00444D8F">
        <w:t>pentru finan</w:t>
      </w:r>
      <w:r w:rsidR="000F093A" w:rsidRPr="00444D8F">
        <w:t>ţ</w:t>
      </w:r>
      <w:r w:rsidR="009B23D9" w:rsidRPr="00444D8F">
        <w:t xml:space="preserve">ele publice, luând în considerare atât îmbătrânirea </w:t>
      </w:r>
      <w:r w:rsidRPr="00444D8F">
        <w:t xml:space="preserve">cât </w:t>
      </w:r>
      <w:r w:rsidR="000F093A" w:rsidRPr="00444D8F">
        <w:t>ş</w:t>
      </w:r>
      <w:r w:rsidR="009B23D9" w:rsidRPr="00444D8F">
        <w:t xml:space="preserve">i reformele descrise mai sus, este prezentată în figura 4.9. </w:t>
      </w:r>
      <w:r w:rsidRPr="00444D8F">
        <w:t xml:space="preserve">Deşi </w:t>
      </w:r>
      <w:r w:rsidR="009B23D9" w:rsidRPr="00444D8F">
        <w:t>cerin</w:t>
      </w:r>
      <w:r w:rsidR="000F093A" w:rsidRPr="00444D8F">
        <w:t>ţ</w:t>
      </w:r>
      <w:r w:rsidR="009B23D9" w:rsidRPr="00444D8F">
        <w:t xml:space="preserve">a tehnică </w:t>
      </w:r>
      <w:r w:rsidR="00C3729E" w:rsidRPr="00444D8F">
        <w:t xml:space="preserve">de </w:t>
      </w:r>
      <w:r w:rsidR="009B23D9" w:rsidRPr="00444D8F">
        <w:t>sustenabilitate fiscală este satisfăcută, profilul finan</w:t>
      </w:r>
      <w:r w:rsidR="000F093A" w:rsidRPr="00444D8F">
        <w:t>ţ</w:t>
      </w:r>
      <w:r w:rsidR="009B23D9" w:rsidRPr="00444D8F">
        <w:t xml:space="preserve">elor publice este problematic, deoarece implică un </w:t>
      </w:r>
      <w:r w:rsidR="000F093A" w:rsidRPr="00444D8F">
        <w:t>ş</w:t>
      </w:r>
      <w:r w:rsidR="009B23D9" w:rsidRPr="00444D8F">
        <w:t xml:space="preserve">ir </w:t>
      </w:r>
      <w:r w:rsidRPr="00444D8F">
        <w:t xml:space="preserve">lung </w:t>
      </w:r>
      <w:r w:rsidR="009B23D9" w:rsidRPr="00444D8F">
        <w:t>de ani cu deficite urmat de surplusuri în viitorul îndepărtat. Acest lucru implică faptul că echilibrul public va fi în conflict cu norma bugetului fiscal, care prevede că deficitul bugetar structural nu trebuie să depă</w:t>
      </w:r>
      <w:r w:rsidR="000F093A" w:rsidRPr="00444D8F">
        <w:t>ş</w:t>
      </w:r>
      <w:r w:rsidR="009B23D9" w:rsidRPr="00444D8F">
        <w:t>ească 0,</w:t>
      </w:r>
      <w:r w:rsidR="00C3729E" w:rsidRPr="00444D8F">
        <w:t xml:space="preserve"> </w:t>
      </w:r>
      <w:r w:rsidR="009B23D9" w:rsidRPr="00444D8F">
        <w:t>5 la sută din PIB. Mai mult decât atât, marja pentru a face fa</w:t>
      </w:r>
      <w:r w:rsidR="000F093A" w:rsidRPr="00444D8F">
        <w:t>ţ</w:t>
      </w:r>
      <w:r w:rsidR="009B23D9" w:rsidRPr="00444D8F">
        <w:t>ă fluctua</w:t>
      </w:r>
      <w:r w:rsidR="000F093A" w:rsidRPr="00444D8F">
        <w:t>ţ</w:t>
      </w:r>
      <w:r w:rsidR="009B23D9" w:rsidRPr="00444D8F">
        <w:t>iilor ciclului de afaceri în limita de deficit de 3</w:t>
      </w:r>
      <w:r w:rsidR="00125EE4" w:rsidRPr="00444D8F">
        <w:t>%</w:t>
      </w:r>
      <w:r w:rsidR="009B23D9" w:rsidRPr="00444D8F">
        <w:t xml:space="preserve"> va fi mic</w:t>
      </w:r>
      <w:r w:rsidR="00125EE4" w:rsidRPr="00444D8F">
        <w:t>ă</w:t>
      </w:r>
      <w:r w:rsidR="009B23D9" w:rsidRPr="00444D8F">
        <w:t xml:space="preserve">. Profilul bugetar </w:t>
      </w:r>
      <w:r w:rsidR="00125EE4" w:rsidRPr="00444D8F">
        <w:t>speci</w:t>
      </w:r>
      <w:r w:rsidR="00C1179A" w:rsidRPr="00444D8F">
        <w:t>fic</w:t>
      </w:r>
      <w:r w:rsidR="00125EE4" w:rsidRPr="00444D8F">
        <w:t xml:space="preserve"> </w:t>
      </w:r>
      <w:r w:rsidR="009B23D9" w:rsidRPr="00444D8F">
        <w:t>apare în principal pentru că speran</w:t>
      </w:r>
      <w:r w:rsidR="000F093A" w:rsidRPr="00444D8F">
        <w:t>ţ</w:t>
      </w:r>
      <w:r w:rsidR="009B23D9" w:rsidRPr="00444D8F">
        <w:t>a de via</w:t>
      </w:r>
      <w:r w:rsidR="000F093A" w:rsidRPr="00444D8F">
        <w:t>ţ</w:t>
      </w:r>
      <w:r w:rsidR="009B23D9" w:rsidRPr="00444D8F">
        <w:t>ă a crescut în mod substan</w:t>
      </w:r>
      <w:r w:rsidR="000F093A" w:rsidRPr="00444D8F">
        <w:t>ţ</w:t>
      </w:r>
      <w:r w:rsidR="009B23D9" w:rsidRPr="00444D8F">
        <w:t xml:space="preserve">ial, </w:t>
      </w:r>
      <w:r w:rsidR="00125EE4" w:rsidRPr="00444D8F">
        <w:t>de când au fost adoptate reformele, în anul 2011</w:t>
      </w:r>
      <w:r w:rsidR="009B23D9" w:rsidRPr="00444D8F">
        <w:t xml:space="preserve"> (cu aproximativ 1½ an, pentru o persoană la vârsta de 60 de ani). Având în vedere că mecanismul de indexare care leagă vârst</w:t>
      </w:r>
      <w:r w:rsidR="00125EE4" w:rsidRPr="00444D8F">
        <w:t xml:space="preserve">ele </w:t>
      </w:r>
      <w:r w:rsidR="009B23D9" w:rsidRPr="00444D8F">
        <w:t xml:space="preserve">de pensionare </w:t>
      </w:r>
      <w:r w:rsidR="00125EE4" w:rsidRPr="00444D8F">
        <w:t xml:space="preserve">de </w:t>
      </w:r>
      <w:r w:rsidR="009B23D9" w:rsidRPr="00444D8F">
        <w:t>longevitate nu va fi opera</w:t>
      </w:r>
      <w:r w:rsidR="00125EE4" w:rsidRPr="00444D8F">
        <w:t>ţional</w:t>
      </w:r>
      <w:r w:rsidR="009B23D9" w:rsidRPr="00444D8F">
        <w:t xml:space="preserve"> </w:t>
      </w:r>
      <w:r w:rsidR="00125EE4" w:rsidRPr="00444D8F">
        <w:t xml:space="preserve">decât </w:t>
      </w:r>
      <w:r w:rsidR="009B23D9" w:rsidRPr="00444D8F">
        <w:t xml:space="preserve">mai târziu, unele </w:t>
      </w:r>
      <w:r w:rsidR="00125EE4" w:rsidRPr="00444D8F">
        <w:t>categorii/</w:t>
      </w:r>
      <w:r w:rsidR="009B23D9" w:rsidRPr="00444D8F">
        <w:t>cohorte ob</w:t>
      </w:r>
      <w:r w:rsidR="000F093A" w:rsidRPr="00444D8F">
        <w:t>ţ</w:t>
      </w:r>
      <w:r w:rsidR="009B23D9" w:rsidRPr="00444D8F">
        <w:t>in o perioadă de pensie mai lungă decât a fost planificat</w:t>
      </w:r>
      <w:r w:rsidR="00125EE4" w:rsidRPr="00444D8F">
        <w:t>ă</w:t>
      </w:r>
      <w:r w:rsidR="009B23D9" w:rsidRPr="00444D8F">
        <w:t xml:space="preserve"> ini</w:t>
      </w:r>
      <w:r w:rsidR="000F093A" w:rsidRPr="00444D8F">
        <w:t>ţ</w:t>
      </w:r>
      <w:r w:rsidR="009B23D9" w:rsidRPr="00444D8F">
        <w:t>ial. Pe termen lung, chiar formula de indexare pentru vârstele legale de pensi</w:t>
      </w:r>
      <w:r w:rsidR="00C3729E" w:rsidRPr="00444D8F">
        <w:t>e</w:t>
      </w:r>
      <w:r w:rsidR="009B23D9" w:rsidRPr="00444D8F">
        <w:t xml:space="preserve"> este destul de</w:t>
      </w:r>
      <w:r w:rsidR="003775CF" w:rsidRPr="00444D8F">
        <w:t xml:space="preserve"> </w:t>
      </w:r>
      <w:r w:rsidR="00125EE4" w:rsidRPr="00444D8F">
        <w:t>dură</w:t>
      </w:r>
      <w:r w:rsidR="009B23D9" w:rsidRPr="00444D8F">
        <w:t xml:space="preserve">, </w:t>
      </w:r>
      <w:r w:rsidR="00125EE4" w:rsidRPr="00444D8F">
        <w:t xml:space="preserve">întrucât </w:t>
      </w:r>
      <w:r w:rsidR="009B23D9" w:rsidRPr="00444D8F">
        <w:t>o perioadă de pensie a</w:t>
      </w:r>
      <w:r w:rsidR="000F093A" w:rsidRPr="00444D8F">
        <w:t>ş</w:t>
      </w:r>
      <w:r w:rsidR="009B23D9" w:rsidRPr="00444D8F">
        <w:t>teptat</w:t>
      </w:r>
      <w:r w:rsidR="003775CF" w:rsidRPr="00444D8F">
        <w:t>ă/anticipată</w:t>
      </w:r>
      <w:r w:rsidR="009B23D9" w:rsidRPr="00444D8F">
        <w:t>, de 14</w:t>
      </w:r>
      <w:r w:rsidR="003775CF" w:rsidRPr="00444D8F">
        <w:t>, 5</w:t>
      </w:r>
      <w:r w:rsidR="009B23D9" w:rsidRPr="00444D8F">
        <w:t xml:space="preserve"> ani, implică faptul că ponderea vie</w:t>
      </w:r>
      <w:r w:rsidR="000F093A" w:rsidRPr="00444D8F">
        <w:t>ţ</w:t>
      </w:r>
      <w:r w:rsidR="009B23D9" w:rsidRPr="00444D8F">
        <w:t xml:space="preserve">ii </w:t>
      </w:r>
      <w:r w:rsidR="003775CF" w:rsidRPr="00444D8F">
        <w:t xml:space="preserve">pe </w:t>
      </w:r>
      <w:r w:rsidR="009B23D9" w:rsidRPr="00444D8F">
        <w:t>pia</w:t>
      </w:r>
      <w:r w:rsidR="000F093A" w:rsidRPr="00444D8F">
        <w:t>ţ</w:t>
      </w:r>
      <w:r w:rsidR="009B23D9" w:rsidRPr="00444D8F">
        <w:t xml:space="preserve">a muncii </w:t>
      </w:r>
      <w:r w:rsidR="003775CF" w:rsidRPr="00444D8F">
        <w:t xml:space="preserve">creşte </w:t>
      </w:r>
      <w:r w:rsidR="009B23D9" w:rsidRPr="00444D8F">
        <w:t>atunci când longevitatea</w:t>
      </w:r>
      <w:r w:rsidR="003775CF" w:rsidRPr="00444D8F">
        <w:t xml:space="preserve"> urcă</w:t>
      </w:r>
      <w:r w:rsidR="009B23D9" w:rsidRPr="00444D8F">
        <w:t>;</w:t>
      </w:r>
      <w:r w:rsidR="003775CF" w:rsidRPr="00444D8F">
        <w:t xml:space="preserve"> de aici</w:t>
      </w:r>
      <w:r w:rsidR="009B23D9" w:rsidRPr="00444D8F">
        <w:t>, îmbunătă</w:t>
      </w:r>
      <w:r w:rsidR="000F093A" w:rsidRPr="00444D8F">
        <w:t>ţ</w:t>
      </w:r>
      <w:r w:rsidR="009B23D9" w:rsidRPr="00444D8F">
        <w:t xml:space="preserve">irea pe termen </w:t>
      </w:r>
      <w:r w:rsidR="009B23D9" w:rsidRPr="00444D8F">
        <w:lastRenderedPageBreak/>
        <w:t xml:space="preserve">lung </w:t>
      </w:r>
      <w:r w:rsidR="003775CF" w:rsidRPr="00444D8F">
        <w:t xml:space="preserve">a </w:t>
      </w:r>
      <w:r w:rsidR="009B23D9" w:rsidRPr="00444D8F">
        <w:t>buget</w:t>
      </w:r>
      <w:r w:rsidR="003775CF" w:rsidRPr="00444D8F">
        <w:t>ului</w:t>
      </w:r>
      <w:r w:rsidR="009B23D9" w:rsidRPr="00444D8F">
        <w:t xml:space="preserve">. Această </w:t>
      </w:r>
      <w:r w:rsidR="00C3729E" w:rsidRPr="00444D8F">
        <w:t xml:space="preserve">caracteristică din urmă </w:t>
      </w:r>
      <w:r w:rsidR="009B23D9" w:rsidRPr="00444D8F">
        <w:t xml:space="preserve">poate pune sub semnul întrebării viabilitatea politică </w:t>
      </w:r>
      <w:r w:rsidR="003775CF" w:rsidRPr="00444D8F">
        <w:t xml:space="preserve">pe termen </w:t>
      </w:r>
      <w:r w:rsidR="009B23D9" w:rsidRPr="00444D8F">
        <w:t>mediu a mecanismului de indexare.</w:t>
      </w:r>
    </w:p>
    <w:p w:rsidR="00FF774A" w:rsidRPr="00444D8F" w:rsidRDefault="0083308D" w:rsidP="009D1756">
      <w:pPr>
        <w:jc w:val="both"/>
        <w:rPr>
          <w:b/>
        </w:rPr>
      </w:pPr>
      <w:r w:rsidRPr="00444D8F">
        <w:rPr>
          <w:b/>
        </w:rPr>
        <w:t xml:space="preserve"> </w:t>
      </w:r>
      <w:r w:rsidR="00FF774A" w:rsidRPr="00444D8F">
        <w:rPr>
          <w:b/>
        </w:rPr>
        <w:t>4.5.2 Migra</w:t>
      </w:r>
      <w:r w:rsidR="003775CF" w:rsidRPr="00444D8F">
        <w:rPr>
          <w:b/>
        </w:rPr>
        <w:t>ţia</w:t>
      </w:r>
    </w:p>
    <w:p w:rsidR="00C554CD" w:rsidRPr="00444D8F" w:rsidRDefault="009B23D9" w:rsidP="009D1756">
      <w:pPr>
        <w:jc w:val="both"/>
      </w:pPr>
      <w:r w:rsidRPr="00444D8F">
        <w:t>Migra</w:t>
      </w:r>
      <w:r w:rsidR="000F093A" w:rsidRPr="00444D8F">
        <w:t>ţ</w:t>
      </w:r>
      <w:r w:rsidRPr="00444D8F">
        <w:t xml:space="preserve">ia este o problemă deosebit de sensibilă în Danemarca. Este o temă predominantă în dezbaterile publice, </w:t>
      </w:r>
      <w:r w:rsidR="000F093A" w:rsidRPr="00444D8F">
        <w:t>ş</w:t>
      </w:r>
      <w:r w:rsidRPr="00444D8F">
        <w:t>i a fost o problemă majoră în alegerile parlamentare</w:t>
      </w:r>
      <w:r w:rsidR="003775CF" w:rsidRPr="00444D8F">
        <w:t xml:space="preserve"> ani la rând</w:t>
      </w:r>
      <w:r w:rsidRPr="00444D8F">
        <w:t>. Danemarca a fost în mod tradi</w:t>
      </w:r>
      <w:r w:rsidR="000F093A" w:rsidRPr="00444D8F">
        <w:t>ţ</w:t>
      </w:r>
      <w:r w:rsidRPr="00444D8F">
        <w:t>ional, foarte deschis</w:t>
      </w:r>
      <w:r w:rsidR="003775CF" w:rsidRPr="00444D8F">
        <w:t>ă</w:t>
      </w:r>
      <w:r w:rsidRPr="00444D8F">
        <w:t>, cunoscut</w:t>
      </w:r>
      <w:r w:rsidR="003775CF" w:rsidRPr="00444D8F">
        <w:t>ă</w:t>
      </w:r>
      <w:r w:rsidRPr="00444D8F">
        <w:t xml:space="preserve"> </w:t>
      </w:r>
      <w:r w:rsidR="003775CF" w:rsidRPr="00444D8F">
        <w:t xml:space="preserve">şi în alte privinţe ca având </w:t>
      </w:r>
      <w:r w:rsidR="00C1179A" w:rsidRPr="00444D8F">
        <w:t>concepţii</w:t>
      </w:r>
      <w:r w:rsidRPr="00444D8F">
        <w:t xml:space="preserve"> mai degrabă liberale </w:t>
      </w:r>
      <w:r w:rsidR="003775CF" w:rsidRPr="00444D8F">
        <w:t xml:space="preserve">privind </w:t>
      </w:r>
      <w:r w:rsidRPr="00444D8F">
        <w:t xml:space="preserve">modul în care oamenii </w:t>
      </w:r>
      <w:r w:rsidR="00C1179A" w:rsidRPr="00444D8F">
        <w:t xml:space="preserve">doresc să-şi </w:t>
      </w:r>
      <w:r w:rsidRPr="00444D8F">
        <w:t>trăi</w:t>
      </w:r>
      <w:r w:rsidR="00C1179A" w:rsidRPr="00444D8F">
        <w:t>a</w:t>
      </w:r>
      <w:r w:rsidRPr="00444D8F">
        <w:t>sc</w:t>
      </w:r>
      <w:r w:rsidR="00C1179A" w:rsidRPr="00444D8F">
        <w:t>ă</w:t>
      </w:r>
      <w:r w:rsidRPr="00444D8F">
        <w:t xml:space="preserve"> via</w:t>
      </w:r>
      <w:r w:rsidR="000F093A" w:rsidRPr="00444D8F">
        <w:t>ţ</w:t>
      </w:r>
      <w:r w:rsidRPr="00444D8F">
        <w:t xml:space="preserve">a. Recenta criză </w:t>
      </w:r>
      <w:r w:rsidR="003775CF" w:rsidRPr="00444D8F">
        <w:t xml:space="preserve">a </w:t>
      </w:r>
      <w:r w:rsidR="003775CF" w:rsidRPr="00444D8F">
        <w:rPr>
          <w:lang w:val="ro-RO"/>
        </w:rPr>
        <w:t>solicitării de azil</w:t>
      </w:r>
      <w:r w:rsidR="003775CF" w:rsidRPr="00444D8F">
        <w:t xml:space="preserve"> </w:t>
      </w:r>
      <w:r w:rsidRPr="00444D8F">
        <w:t xml:space="preserve">a </w:t>
      </w:r>
      <w:r w:rsidR="000730BA" w:rsidRPr="00444D8F">
        <w:t>a</w:t>
      </w:r>
      <w:r w:rsidR="00C1179A" w:rsidRPr="00444D8F">
        <w:t>fectat</w:t>
      </w:r>
      <w:r w:rsidR="000730BA" w:rsidRPr="00444D8F">
        <w:t xml:space="preserve"> şi mai mult </w:t>
      </w:r>
      <w:r w:rsidRPr="00444D8F">
        <w:t>problema migra</w:t>
      </w:r>
      <w:r w:rsidR="000F093A" w:rsidRPr="00444D8F">
        <w:t>ţ</w:t>
      </w:r>
      <w:r w:rsidRPr="00444D8F">
        <w:t>iei, Danemarca renun</w:t>
      </w:r>
      <w:r w:rsidR="000F093A" w:rsidRPr="00444D8F">
        <w:t>ţ</w:t>
      </w:r>
      <w:r w:rsidR="000730BA" w:rsidRPr="00444D8F">
        <w:t>ând</w:t>
      </w:r>
      <w:r w:rsidRPr="00444D8F">
        <w:t xml:space="preserve"> la participarea </w:t>
      </w:r>
      <w:r w:rsidR="00C3729E" w:rsidRPr="00444D8F">
        <w:t xml:space="preserve">soluţiei comune </w:t>
      </w:r>
      <w:r w:rsidR="000730BA" w:rsidRPr="00444D8F">
        <w:t xml:space="preserve">în cadrul </w:t>
      </w:r>
      <w:r w:rsidRPr="00444D8F">
        <w:t xml:space="preserve">UE </w:t>
      </w:r>
      <w:r w:rsidR="00C3729E" w:rsidRPr="00444D8F">
        <w:t xml:space="preserve">vizând </w:t>
      </w:r>
      <w:r w:rsidRPr="00444D8F">
        <w:t>această problemă.</w:t>
      </w:r>
      <w:r w:rsidR="00A77498" w:rsidRPr="00444D8F">
        <w:rPr>
          <w:rStyle w:val="FootnoteReference"/>
        </w:rPr>
        <w:footnoteReference w:id="23"/>
      </w:r>
    </w:p>
    <w:p w:rsidR="00C554CD" w:rsidRPr="00444D8F" w:rsidRDefault="00C554CD" w:rsidP="009D1756">
      <w:pPr>
        <w:jc w:val="both"/>
      </w:pPr>
    </w:p>
    <w:p w:rsidR="00C554CD" w:rsidRPr="00444D8F" w:rsidRDefault="00C554CD" w:rsidP="009D1756">
      <w:pPr>
        <w:jc w:val="both"/>
      </w:pPr>
    </w:p>
    <w:p w:rsidR="00C554CD" w:rsidRPr="00444D8F" w:rsidRDefault="00C554CD" w:rsidP="009D1756">
      <w:pPr>
        <w:jc w:val="both"/>
      </w:pPr>
    </w:p>
    <w:p w:rsidR="00C554CD" w:rsidRPr="00444D8F" w:rsidRDefault="00C554CD" w:rsidP="009D1756">
      <w:pPr>
        <w:jc w:val="both"/>
      </w:pPr>
    </w:p>
    <w:p w:rsidR="00095DE7" w:rsidRPr="00444D8F" w:rsidRDefault="00FF774A" w:rsidP="009D1756">
      <w:pPr>
        <w:jc w:val="both"/>
        <w:rPr>
          <w:vertAlign w:val="superscript"/>
        </w:rPr>
      </w:pPr>
      <w:r w:rsidRPr="00444D8F">
        <w:rPr>
          <w:b/>
        </w:rPr>
        <w:t>Figur</w:t>
      </w:r>
      <w:r w:rsidR="009B23D9" w:rsidRPr="00444D8F">
        <w:rPr>
          <w:b/>
        </w:rPr>
        <w:t>a</w:t>
      </w:r>
      <w:r w:rsidRPr="00444D8F">
        <w:rPr>
          <w:b/>
        </w:rPr>
        <w:t xml:space="preserve"> 4.10</w:t>
      </w:r>
      <w:r w:rsidR="00585419" w:rsidRPr="00444D8F">
        <w:rPr>
          <w:b/>
          <w:noProof/>
        </w:rPr>
        <w:drawing>
          <wp:inline distT="0" distB="0" distL="0" distR="0" wp14:anchorId="72D26EF4" wp14:editId="0DF7851F">
            <wp:extent cx="4578119" cy="2560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8119" cy="2560320"/>
                    </a:xfrm>
                    <a:prstGeom prst="rect">
                      <a:avLst/>
                    </a:prstGeom>
                    <a:noFill/>
                  </pic:spPr>
                </pic:pic>
              </a:graphicData>
            </a:graphic>
          </wp:inline>
        </w:drawing>
      </w:r>
    </w:p>
    <w:p w:rsidR="00095DE7" w:rsidRPr="00444D8F" w:rsidRDefault="00095DE7" w:rsidP="009D1756">
      <w:pPr>
        <w:jc w:val="both"/>
      </w:pPr>
    </w:p>
    <w:p w:rsidR="00FF774A" w:rsidRPr="00444D8F" w:rsidRDefault="00585419" w:rsidP="009D1756">
      <w:pPr>
        <w:jc w:val="both"/>
        <w:rPr>
          <w:b/>
        </w:rPr>
      </w:pPr>
      <w:r w:rsidRPr="00444D8F">
        <w:t xml:space="preserve">Este </w:t>
      </w:r>
      <w:r w:rsidR="00483C45" w:rsidRPr="00444D8F">
        <w:t>de neconte</w:t>
      </w:r>
      <w:r w:rsidR="00B75E19" w:rsidRPr="00444D8F">
        <w:t>s</w:t>
      </w:r>
      <w:r w:rsidR="00483C45" w:rsidRPr="00444D8F">
        <w:t xml:space="preserve">tat </w:t>
      </w:r>
      <w:r w:rsidR="00C1179A" w:rsidRPr="00444D8F">
        <w:t xml:space="preserve">faptul </w:t>
      </w:r>
      <w:r w:rsidR="009B23D9" w:rsidRPr="00444D8F">
        <w:t>că implica</w:t>
      </w:r>
      <w:r w:rsidR="000F093A" w:rsidRPr="00444D8F">
        <w:t>ţ</w:t>
      </w:r>
      <w:r w:rsidR="009B23D9" w:rsidRPr="00444D8F">
        <w:t>iile imigra</w:t>
      </w:r>
      <w:r w:rsidR="000F093A" w:rsidRPr="00444D8F">
        <w:t>ţ</w:t>
      </w:r>
      <w:r w:rsidR="009B23D9" w:rsidRPr="00444D8F">
        <w:t xml:space="preserve">iei </w:t>
      </w:r>
      <w:r w:rsidR="000730BA" w:rsidRPr="00444D8F">
        <w:t xml:space="preserve">asupra </w:t>
      </w:r>
      <w:r w:rsidR="009B23D9" w:rsidRPr="00444D8F">
        <w:t>finan</w:t>
      </w:r>
      <w:r w:rsidR="000F093A" w:rsidRPr="00444D8F">
        <w:t>ţ</w:t>
      </w:r>
      <w:r w:rsidR="009B23D9" w:rsidRPr="00444D8F">
        <w:t>el</w:t>
      </w:r>
      <w:r w:rsidR="000730BA" w:rsidRPr="00444D8F">
        <w:t>or</w:t>
      </w:r>
      <w:r w:rsidR="009B23D9" w:rsidRPr="00444D8F">
        <w:t xml:space="preserve"> publice </w:t>
      </w:r>
      <w:r w:rsidR="00E01C2D" w:rsidRPr="00444D8F">
        <w:t xml:space="preserve">depind în mare măsură de </w:t>
      </w:r>
      <w:r w:rsidR="009B23D9" w:rsidRPr="00444D8F">
        <w:t>rat</w:t>
      </w:r>
      <w:r w:rsidR="00E01C2D" w:rsidRPr="00444D8F">
        <w:t>a</w:t>
      </w:r>
      <w:r w:rsidR="009B23D9" w:rsidRPr="00444D8F">
        <w:t xml:space="preserve"> de ocupare a imigran</w:t>
      </w:r>
      <w:r w:rsidR="000F093A" w:rsidRPr="00444D8F">
        <w:t>ţ</w:t>
      </w:r>
      <w:r w:rsidR="009B23D9" w:rsidRPr="00444D8F">
        <w:t xml:space="preserve">ilor; a se vedea OCDE (2013) </w:t>
      </w:r>
      <w:r w:rsidR="000F093A" w:rsidRPr="00444D8F">
        <w:t>ş</w:t>
      </w:r>
      <w:r w:rsidR="009B23D9" w:rsidRPr="00444D8F">
        <w:t xml:space="preserve">i Hansen </w:t>
      </w:r>
      <w:r w:rsidR="000F093A" w:rsidRPr="00444D8F">
        <w:t>ş</w:t>
      </w:r>
      <w:r w:rsidR="009B23D9" w:rsidRPr="00444D8F">
        <w:t>i colab. (2015)</w:t>
      </w:r>
      <w:r w:rsidR="000730BA" w:rsidRPr="00444D8F">
        <w:t>. Cu</w:t>
      </w:r>
      <w:r w:rsidR="009B23D9" w:rsidRPr="00444D8F">
        <w:t xml:space="preserve"> cât rata de ocupare</w:t>
      </w:r>
      <w:r w:rsidR="000730BA" w:rsidRPr="00444D8F">
        <w:t xml:space="preserve"> este mai mare</w:t>
      </w:r>
      <w:r w:rsidR="009B23D9" w:rsidRPr="00444D8F">
        <w:t>, cu atât contribu</w:t>
      </w:r>
      <w:r w:rsidR="000F093A" w:rsidRPr="00444D8F">
        <w:t>ţ</w:t>
      </w:r>
      <w:r w:rsidR="009B23D9" w:rsidRPr="00444D8F">
        <w:t>ia netă la finan</w:t>
      </w:r>
      <w:r w:rsidR="000F093A" w:rsidRPr="00444D8F">
        <w:t>ţ</w:t>
      </w:r>
      <w:r w:rsidR="009B23D9" w:rsidRPr="00444D8F">
        <w:t>ele publice</w:t>
      </w:r>
      <w:r w:rsidR="000730BA" w:rsidRPr="00444D8F">
        <w:t xml:space="preserve"> </w:t>
      </w:r>
      <w:r w:rsidR="00C1179A" w:rsidRPr="00444D8F">
        <w:t xml:space="preserve">este </w:t>
      </w:r>
      <w:r w:rsidR="000730BA" w:rsidRPr="00444D8F">
        <w:t>mai mare</w:t>
      </w:r>
      <w:r w:rsidR="009B23D9" w:rsidRPr="00444D8F">
        <w:t xml:space="preserve"> </w:t>
      </w:r>
      <w:r w:rsidR="000F093A" w:rsidRPr="00444D8F">
        <w:t>ş</w:t>
      </w:r>
      <w:r w:rsidR="009B23D9" w:rsidRPr="00444D8F">
        <w:t>i vice-versa. Aceasta nu este o surpriză</w:t>
      </w:r>
      <w:r w:rsidR="000730BA" w:rsidRPr="00444D8F">
        <w:t xml:space="preserve"> din moment ce</w:t>
      </w:r>
      <w:r w:rsidR="009B23D9" w:rsidRPr="00444D8F">
        <w:t xml:space="preserve"> majoritatea </w:t>
      </w:r>
      <w:r w:rsidR="000F093A" w:rsidRPr="00444D8F">
        <w:t>ş</w:t>
      </w:r>
      <w:r w:rsidR="009B23D9" w:rsidRPr="00444D8F">
        <w:t xml:space="preserve">omerilor au dreptul la o anumită formă de transfer social </w:t>
      </w:r>
      <w:r w:rsidR="000730BA" w:rsidRPr="00444D8F">
        <w:t xml:space="preserve">iar </w:t>
      </w:r>
      <w:r w:rsidR="009B23D9" w:rsidRPr="00444D8F">
        <w:t xml:space="preserve">povara </w:t>
      </w:r>
      <w:r w:rsidR="009B23D9" w:rsidRPr="00444D8F">
        <w:lastRenderedPageBreak/>
        <w:t>fiscală pe venituri este mare. Într-un stat social extins, finan</w:t>
      </w:r>
      <w:r w:rsidR="000F093A" w:rsidRPr="00444D8F">
        <w:t>ţ</w:t>
      </w:r>
      <w:r w:rsidR="009B23D9" w:rsidRPr="00444D8F">
        <w:t>ele publice sunt extrem de sensibile la rata de ocupare; vezi Andersen (2015a).</w:t>
      </w:r>
    </w:p>
    <w:p w:rsidR="00FF774A" w:rsidRPr="00444D8F" w:rsidRDefault="009B23D9" w:rsidP="009D1756">
      <w:pPr>
        <w:jc w:val="both"/>
      </w:pPr>
      <w:r w:rsidRPr="00444D8F">
        <w:t xml:space="preserve">Prin urmare, </w:t>
      </w:r>
      <w:r w:rsidR="000730BA" w:rsidRPr="00444D8F">
        <w:t xml:space="preserve">nu se poate generaliza în privinţa modului </w:t>
      </w:r>
      <w:r w:rsidRPr="00444D8F">
        <w:t>în care imigra</w:t>
      </w:r>
      <w:r w:rsidR="000F093A" w:rsidRPr="00444D8F">
        <w:t>ţ</w:t>
      </w:r>
      <w:r w:rsidRPr="00444D8F">
        <w:t>ia afectează finan</w:t>
      </w:r>
      <w:r w:rsidR="000F093A" w:rsidRPr="00444D8F">
        <w:t>ţ</w:t>
      </w:r>
      <w:r w:rsidRPr="00444D8F">
        <w:t xml:space="preserve">ele publice </w:t>
      </w:r>
      <w:r w:rsidR="000F093A" w:rsidRPr="00444D8F">
        <w:t>ş</w:t>
      </w:r>
      <w:r w:rsidRPr="00444D8F">
        <w:t xml:space="preserve">i, </w:t>
      </w:r>
      <w:r w:rsidR="000730BA" w:rsidRPr="00444D8F">
        <w:t xml:space="preserve">deci, </w:t>
      </w:r>
      <w:r w:rsidR="00C1179A" w:rsidRPr="00444D8F">
        <w:t xml:space="preserve">a </w:t>
      </w:r>
      <w:r w:rsidRPr="00444D8F">
        <w:t>viabilit</w:t>
      </w:r>
      <w:r w:rsidR="00C1179A" w:rsidRPr="00444D8F">
        <w:t>ăţii</w:t>
      </w:r>
      <w:r w:rsidRPr="00444D8F">
        <w:t xml:space="preserve"> financiar</w:t>
      </w:r>
      <w:r w:rsidR="00C1179A" w:rsidRPr="00444D8F">
        <w:t>e</w:t>
      </w:r>
      <w:r w:rsidRPr="00444D8F">
        <w:t xml:space="preserve"> a modelului social, dat fiind că acest lucru depinde de </w:t>
      </w:r>
      <w:r w:rsidR="000730BA" w:rsidRPr="00444D8F">
        <w:t xml:space="preserve">evidenţa ocupării </w:t>
      </w:r>
      <w:r w:rsidRPr="00444D8F">
        <w:t>grupului în cauză, cf. Figur</w:t>
      </w:r>
      <w:r w:rsidR="000730BA" w:rsidRPr="00444D8F">
        <w:t>ii</w:t>
      </w:r>
      <w:r w:rsidRPr="00444D8F">
        <w:t xml:space="preserve"> 4.10. Performan</w:t>
      </w:r>
      <w:r w:rsidR="000F093A" w:rsidRPr="00444D8F">
        <w:t>ţ</w:t>
      </w:r>
      <w:r w:rsidRPr="00444D8F">
        <w:t xml:space="preserve">a </w:t>
      </w:r>
      <w:r w:rsidR="008277A7" w:rsidRPr="00444D8F">
        <w:t xml:space="preserve">imigranţilor </w:t>
      </w:r>
      <w:r w:rsidRPr="00444D8F">
        <w:t>pe pia</w:t>
      </w:r>
      <w:r w:rsidR="000F093A" w:rsidRPr="00444D8F">
        <w:t>ţ</w:t>
      </w:r>
      <w:r w:rsidRPr="00444D8F">
        <w:t>a muncii variază în mod semnificativ, ceea ce face dificil</w:t>
      </w:r>
      <w:r w:rsidR="008277A7" w:rsidRPr="00444D8F">
        <w:t>ă</w:t>
      </w:r>
      <w:r w:rsidRPr="00444D8F">
        <w:t xml:space="preserve"> generaliza</w:t>
      </w:r>
      <w:r w:rsidR="008277A7" w:rsidRPr="00444D8F">
        <w:t>rea</w:t>
      </w:r>
      <w:r w:rsidRPr="00444D8F">
        <w:t>. Dar, la nivel agregat, imigra</w:t>
      </w:r>
      <w:r w:rsidR="000F093A" w:rsidRPr="00444D8F">
        <w:t>ţ</w:t>
      </w:r>
      <w:r w:rsidRPr="00444D8F">
        <w:t xml:space="preserve">ia din </w:t>
      </w:r>
      <w:r w:rsidR="000F093A" w:rsidRPr="00444D8F">
        <w:t>ţ</w:t>
      </w:r>
      <w:r w:rsidRPr="00444D8F">
        <w:t>ările cu venituri ridicate (</w:t>
      </w:r>
      <w:r w:rsidR="008277A7" w:rsidRPr="00444D8F">
        <w:t xml:space="preserve">cu </w:t>
      </w:r>
      <w:r w:rsidRPr="00444D8F">
        <w:t xml:space="preserve">pondere mai mare </w:t>
      </w:r>
      <w:r w:rsidR="008277A7" w:rsidRPr="00444D8F">
        <w:t xml:space="preserve">de </w:t>
      </w:r>
      <w:r w:rsidRPr="00444D8F">
        <w:t>lucrători, studen</w:t>
      </w:r>
      <w:r w:rsidR="000F093A" w:rsidRPr="00444D8F">
        <w:t>ţ</w:t>
      </w:r>
      <w:r w:rsidRPr="00444D8F">
        <w:t xml:space="preserve">i, </w:t>
      </w:r>
      <w:r w:rsidR="008277A7" w:rsidRPr="00444D8F">
        <w:t xml:space="preserve">migranţi </w:t>
      </w:r>
      <w:r w:rsidRPr="00444D8F">
        <w:t>bine educa</w:t>
      </w:r>
      <w:r w:rsidR="008277A7" w:rsidRPr="00444D8F">
        <w:t>ţi</w:t>
      </w:r>
      <w:r w:rsidRPr="00444D8F">
        <w:t xml:space="preserve"> etc.) po</w:t>
      </w:r>
      <w:r w:rsidR="00C1179A" w:rsidRPr="00444D8F">
        <w:t>a</w:t>
      </w:r>
      <w:r w:rsidRPr="00444D8F">
        <w:t>t</w:t>
      </w:r>
      <w:r w:rsidR="00C1179A" w:rsidRPr="00444D8F">
        <w:t>e</w:t>
      </w:r>
      <w:r w:rsidRPr="00444D8F">
        <w:t xml:space="preserve"> îmbunătă</w:t>
      </w:r>
      <w:r w:rsidR="000F093A" w:rsidRPr="00444D8F">
        <w:t>ţ</w:t>
      </w:r>
      <w:r w:rsidRPr="00444D8F">
        <w:t>i finan</w:t>
      </w:r>
      <w:r w:rsidR="000F093A" w:rsidRPr="00444D8F">
        <w:t>ţ</w:t>
      </w:r>
      <w:r w:rsidRPr="00444D8F">
        <w:t>ele publice (</w:t>
      </w:r>
      <w:r w:rsidR="008277A7" w:rsidRPr="00444D8F">
        <w:t>poate fi neutră</w:t>
      </w:r>
      <w:r w:rsidRPr="00444D8F">
        <w:t>), în timp ce imigra</w:t>
      </w:r>
      <w:r w:rsidR="000F093A" w:rsidRPr="00444D8F">
        <w:t>ţ</w:t>
      </w:r>
      <w:r w:rsidRPr="00444D8F">
        <w:t xml:space="preserve">ia din </w:t>
      </w:r>
      <w:r w:rsidR="000F093A" w:rsidRPr="00444D8F">
        <w:t>ţ</w:t>
      </w:r>
      <w:r w:rsidRPr="00444D8F">
        <w:t>ările cu venituri mici (mai mul</w:t>
      </w:r>
      <w:r w:rsidR="000F093A" w:rsidRPr="00444D8F">
        <w:t>ţ</w:t>
      </w:r>
      <w:r w:rsidRPr="00444D8F">
        <w:t>i solicitan</w:t>
      </w:r>
      <w:r w:rsidR="000F093A" w:rsidRPr="00444D8F">
        <w:t>ţ</w:t>
      </w:r>
      <w:r w:rsidRPr="00444D8F">
        <w:t xml:space="preserve">i de azil, reîntregirea </w:t>
      </w:r>
      <w:r w:rsidR="00585419" w:rsidRPr="00444D8F">
        <w:t>familiei,</w:t>
      </w:r>
      <w:r w:rsidRPr="00444D8F">
        <w:t xml:space="preserve"> calificări inferioare etc.) tinde să aibă un impact negativ asupra finan</w:t>
      </w:r>
      <w:r w:rsidR="000F093A" w:rsidRPr="00444D8F">
        <w:t>ţ</w:t>
      </w:r>
      <w:r w:rsidRPr="00444D8F">
        <w:t>elor publice.</w:t>
      </w:r>
    </w:p>
    <w:p w:rsidR="009B23D9" w:rsidRPr="00444D8F" w:rsidRDefault="009B23D9" w:rsidP="009D1756">
      <w:pPr>
        <w:jc w:val="both"/>
      </w:pPr>
      <w:r w:rsidRPr="00444D8F">
        <w:t xml:space="preserve">Design-ul modelului de bunăstare în general, </w:t>
      </w:r>
      <w:r w:rsidR="008277A7" w:rsidRPr="00444D8F">
        <w:t xml:space="preserve">poate fi </w:t>
      </w:r>
      <w:r w:rsidRPr="00444D8F">
        <w:t>în sine un obstacol în calea intrării pe pia</w:t>
      </w:r>
      <w:r w:rsidR="000F093A" w:rsidRPr="00444D8F">
        <w:t>ţ</w:t>
      </w:r>
      <w:r w:rsidRPr="00444D8F">
        <w:t>a for</w:t>
      </w:r>
      <w:r w:rsidR="000F093A" w:rsidRPr="00444D8F">
        <w:t>ţ</w:t>
      </w:r>
      <w:r w:rsidRPr="00444D8F">
        <w:t>ei de muncă pentru unii imigran</w:t>
      </w:r>
      <w:r w:rsidR="000F093A" w:rsidRPr="00444D8F">
        <w:t>ţ</w:t>
      </w:r>
      <w:r w:rsidRPr="00444D8F">
        <w:t>i.</w:t>
      </w:r>
      <w:r w:rsidR="00A77498" w:rsidRPr="00444D8F">
        <w:rPr>
          <w:rStyle w:val="FootnoteReference"/>
        </w:rPr>
        <w:footnoteReference w:id="24"/>
      </w:r>
      <w:r w:rsidRPr="00444D8F">
        <w:t xml:space="preserve"> Pia</w:t>
      </w:r>
      <w:r w:rsidR="000F093A" w:rsidRPr="00444D8F">
        <w:t>ţ</w:t>
      </w:r>
      <w:r w:rsidRPr="00444D8F">
        <w:t>a for</w:t>
      </w:r>
      <w:r w:rsidR="000F093A" w:rsidRPr="00444D8F">
        <w:t>ţ</w:t>
      </w:r>
      <w:r w:rsidRPr="00444D8F">
        <w:t xml:space="preserve">ei de muncă din Danemarca este caracterizată prin salarii minime relativ ridicate </w:t>
      </w:r>
      <w:r w:rsidR="000F093A" w:rsidRPr="00444D8F">
        <w:t>ş</w:t>
      </w:r>
      <w:r w:rsidRPr="00444D8F">
        <w:t>i o structură salarială</w:t>
      </w:r>
      <w:r w:rsidR="008277A7" w:rsidRPr="00444D8F">
        <w:t xml:space="preserve"> (clase salariale) </w:t>
      </w:r>
      <w:r w:rsidRPr="00444D8F">
        <w:t>comprimat</w:t>
      </w:r>
      <w:r w:rsidR="008277A7" w:rsidRPr="00444D8F">
        <w:t>ă</w:t>
      </w:r>
      <w:r w:rsidRPr="00444D8F">
        <w:t xml:space="preserve">. </w:t>
      </w:r>
      <w:r w:rsidR="008277A7" w:rsidRPr="00444D8F">
        <w:t xml:space="preserve">Să lucrezi </w:t>
      </w:r>
      <w:r w:rsidRPr="00444D8F">
        <w:t>într-</w:t>
      </w:r>
      <w:r w:rsidR="008277A7" w:rsidRPr="00444D8F">
        <w:t xml:space="preserve">un loc de muncă </w:t>
      </w:r>
      <w:r w:rsidRPr="00444D8F">
        <w:t>prost plătit nu este o op</w:t>
      </w:r>
      <w:r w:rsidR="000F093A" w:rsidRPr="00444D8F">
        <w:t>ţ</w:t>
      </w:r>
      <w:r w:rsidRPr="00444D8F">
        <w:t xml:space="preserve">iune. </w:t>
      </w:r>
      <w:r w:rsidR="008277A7" w:rsidRPr="00444D8F">
        <w:t>C</w:t>
      </w:r>
      <w:r w:rsidRPr="00444D8F">
        <w:t>onsecin</w:t>
      </w:r>
      <w:r w:rsidR="000F093A" w:rsidRPr="00444D8F">
        <w:t>ţ</w:t>
      </w:r>
      <w:r w:rsidR="008277A7" w:rsidRPr="00444D8F">
        <w:t>a este c</w:t>
      </w:r>
      <w:r w:rsidR="008277A7" w:rsidRPr="00444D8F">
        <w:rPr>
          <w:lang w:val="ro-RO"/>
        </w:rPr>
        <w:t xml:space="preserve">ă </w:t>
      </w:r>
      <w:r w:rsidRPr="00444D8F">
        <w:t>cerin</w:t>
      </w:r>
      <w:r w:rsidR="000F093A" w:rsidRPr="00444D8F">
        <w:t>ţ</w:t>
      </w:r>
      <w:r w:rsidRPr="00444D8F">
        <w:t>e</w:t>
      </w:r>
      <w:r w:rsidR="008277A7" w:rsidRPr="00444D8F">
        <w:t>le</w:t>
      </w:r>
      <w:r w:rsidRPr="00444D8F">
        <w:t xml:space="preserve"> de calificare pentru găsirea unui loc de muncă</w:t>
      </w:r>
      <w:r w:rsidR="008277A7" w:rsidRPr="00444D8F">
        <w:t xml:space="preserve"> sunt relativ ridicate iar locurile de muncă cu calificare redusă sunt puţine. </w:t>
      </w:r>
    </w:p>
    <w:p w:rsidR="0083308D" w:rsidRPr="00444D8F" w:rsidRDefault="009B23D9" w:rsidP="009D1756">
      <w:pPr>
        <w:jc w:val="both"/>
      </w:pPr>
      <w:r w:rsidRPr="00444D8F">
        <w:t>În plus, punctul de referin</w:t>
      </w:r>
      <w:r w:rsidR="000F093A" w:rsidRPr="00444D8F">
        <w:t>ţ</w:t>
      </w:r>
      <w:r w:rsidRPr="00444D8F">
        <w:t>ă pentru participarea pe pia</w:t>
      </w:r>
      <w:r w:rsidR="000F093A" w:rsidRPr="00444D8F">
        <w:t>ţ</w:t>
      </w:r>
      <w:r w:rsidRPr="00444D8F">
        <w:t>a for</w:t>
      </w:r>
      <w:r w:rsidR="000F093A" w:rsidRPr="00444D8F">
        <w:t>ţ</w:t>
      </w:r>
      <w:r w:rsidRPr="00444D8F">
        <w:t>ei de muncă este mare atât pentru bărba</w:t>
      </w:r>
      <w:r w:rsidR="000F093A" w:rsidRPr="00444D8F">
        <w:t>ţ</w:t>
      </w:r>
      <w:r w:rsidRPr="00444D8F">
        <w:t xml:space="preserve">i </w:t>
      </w:r>
      <w:r w:rsidR="008277A7" w:rsidRPr="00444D8F">
        <w:t xml:space="preserve">cât </w:t>
      </w:r>
      <w:r w:rsidR="000F093A" w:rsidRPr="00444D8F">
        <w:t>ş</w:t>
      </w:r>
      <w:r w:rsidRPr="00444D8F">
        <w:t xml:space="preserve">i </w:t>
      </w:r>
      <w:r w:rsidR="00F764D6" w:rsidRPr="00444D8F">
        <w:t xml:space="preserve">pentru </w:t>
      </w:r>
      <w:r w:rsidRPr="00444D8F">
        <w:t>femei. Prin compara</w:t>
      </w:r>
      <w:r w:rsidR="000F093A" w:rsidRPr="00444D8F">
        <w:t>ţ</w:t>
      </w:r>
      <w:r w:rsidRPr="00444D8F">
        <w:t>ie interna</w:t>
      </w:r>
      <w:r w:rsidR="000F093A" w:rsidRPr="00444D8F">
        <w:t>ţ</w:t>
      </w:r>
      <w:r w:rsidRPr="00444D8F">
        <w:t>ională, rata de ocupare pentru diferite grupuri de imigran</w:t>
      </w:r>
      <w:r w:rsidR="000F093A" w:rsidRPr="00444D8F">
        <w:t>ţ</w:t>
      </w:r>
      <w:r w:rsidRPr="00444D8F">
        <w:t>i nu este deosebit de scăzut</w:t>
      </w:r>
      <w:r w:rsidR="00990D25" w:rsidRPr="00444D8F">
        <w:t>ă</w:t>
      </w:r>
      <w:r w:rsidRPr="00444D8F">
        <w:t xml:space="preserve"> în Danemarca. Cu toate acestea, diferen</w:t>
      </w:r>
      <w:r w:rsidR="000F093A" w:rsidRPr="00444D8F">
        <w:t>ţ</w:t>
      </w:r>
      <w:r w:rsidRPr="00444D8F">
        <w:t xml:space="preserve">ele de </w:t>
      </w:r>
      <w:r w:rsidR="00F764D6" w:rsidRPr="00444D8F">
        <w:t xml:space="preserve">ocupare </w:t>
      </w:r>
      <w:r w:rsidRPr="00444D8F">
        <w:t>sunt mari, reflectând</w:t>
      </w:r>
      <w:r w:rsidR="00990D25" w:rsidRPr="00444D8F">
        <w:t>,</w:t>
      </w:r>
      <w:r w:rsidRPr="00444D8F">
        <w:t xml:space="preserve"> </w:t>
      </w:r>
      <w:r w:rsidR="00990D25" w:rsidRPr="00444D8F">
        <w:t xml:space="preserve">în general, </w:t>
      </w:r>
      <w:r w:rsidRPr="00444D8F">
        <w:t xml:space="preserve">rate ridicate de ocupare pentru nativi (modelul de bunăstare este un "model de </w:t>
      </w:r>
      <w:r w:rsidR="00F764D6" w:rsidRPr="00444D8F">
        <w:t>ocup</w:t>
      </w:r>
      <w:r w:rsidRPr="00444D8F">
        <w:t>are"), în special pentru femei. Ratele scăzute de participare pe pia</w:t>
      </w:r>
      <w:r w:rsidR="000F093A" w:rsidRPr="00444D8F">
        <w:t>ţ</w:t>
      </w:r>
      <w:r w:rsidRPr="00444D8F">
        <w:t>a for</w:t>
      </w:r>
      <w:r w:rsidR="000F093A" w:rsidRPr="00444D8F">
        <w:t>ţ</w:t>
      </w:r>
      <w:r w:rsidRPr="00444D8F">
        <w:t xml:space="preserve">ei de muncă </w:t>
      </w:r>
      <w:r w:rsidR="006170D5" w:rsidRPr="00444D8F">
        <w:t>reflectă</w:t>
      </w:r>
      <w:r w:rsidR="00990D25" w:rsidRPr="00444D8F">
        <w:t xml:space="preserve"> şi </w:t>
      </w:r>
      <w:r w:rsidRPr="00444D8F">
        <w:t>culturi</w:t>
      </w:r>
      <w:r w:rsidR="00990D25" w:rsidRPr="00444D8F">
        <w:t>le</w:t>
      </w:r>
      <w:r w:rsidRPr="00444D8F">
        <w:t xml:space="preserve"> </w:t>
      </w:r>
      <w:r w:rsidR="000F093A" w:rsidRPr="00444D8F">
        <w:t>ş</w:t>
      </w:r>
      <w:r w:rsidRPr="00444D8F">
        <w:t>i norme</w:t>
      </w:r>
      <w:r w:rsidR="00990D25" w:rsidRPr="00444D8F">
        <w:t>le</w:t>
      </w:r>
      <w:r w:rsidRPr="00444D8F">
        <w:t xml:space="preserve"> </w:t>
      </w:r>
      <w:r w:rsidR="00990D25" w:rsidRPr="00444D8F">
        <w:t xml:space="preserve">diferite </w:t>
      </w:r>
      <w:r w:rsidR="006170D5" w:rsidRPr="00444D8F">
        <w:t xml:space="preserve">ale unor </w:t>
      </w:r>
      <w:r w:rsidRPr="00444D8F">
        <w:t>imigran</w:t>
      </w:r>
      <w:r w:rsidR="000F093A" w:rsidRPr="00444D8F">
        <w:t>ţ</w:t>
      </w:r>
      <w:r w:rsidRPr="00444D8F">
        <w:t xml:space="preserve">i </w:t>
      </w:r>
      <w:r w:rsidR="006170D5" w:rsidRPr="00444D8F">
        <w:t xml:space="preserve">în funcţie de </w:t>
      </w:r>
      <w:r w:rsidR="00990D25" w:rsidRPr="00444D8F">
        <w:t>rolul genurilor</w:t>
      </w:r>
      <w:r w:rsidRPr="00444D8F">
        <w:t>, de exemplu. Acest efect poate fi a</w:t>
      </w:r>
      <w:r w:rsidR="006170D5" w:rsidRPr="00444D8F">
        <w:t>ccentuat</w:t>
      </w:r>
      <w:r w:rsidRPr="00444D8F">
        <w:t xml:space="preserve"> de bariere</w:t>
      </w:r>
      <w:r w:rsidR="00990D25" w:rsidRPr="00444D8F">
        <w:t>le</w:t>
      </w:r>
      <w:r w:rsidRPr="00444D8F">
        <w:t xml:space="preserve"> lingvistice, </w:t>
      </w:r>
      <w:r w:rsidR="006170D5" w:rsidRPr="00444D8F">
        <w:t>de probleme</w:t>
      </w:r>
      <w:r w:rsidR="00990D25" w:rsidRPr="00444D8F">
        <w:t>le</w:t>
      </w:r>
      <w:r w:rsidRPr="00444D8F">
        <w:t xml:space="preserve"> recunoa</w:t>
      </w:r>
      <w:r w:rsidR="000F093A" w:rsidRPr="00444D8F">
        <w:t>ş</w:t>
      </w:r>
      <w:r w:rsidRPr="00444D8F">
        <w:t>ter</w:t>
      </w:r>
      <w:r w:rsidR="006170D5" w:rsidRPr="00444D8F">
        <w:t>ii</w:t>
      </w:r>
      <w:r w:rsidRPr="00444D8F">
        <w:t xml:space="preserve"> calificărilor educa</w:t>
      </w:r>
      <w:r w:rsidR="000F093A" w:rsidRPr="00444D8F">
        <w:t>ţ</w:t>
      </w:r>
      <w:r w:rsidRPr="00444D8F">
        <w:t xml:space="preserve">ionale străine </w:t>
      </w:r>
      <w:r w:rsidR="000F093A" w:rsidRPr="00444D8F">
        <w:t>ş</w:t>
      </w:r>
      <w:r w:rsidRPr="00444D8F">
        <w:t>i o posibilă discriminare pe pia</w:t>
      </w:r>
      <w:r w:rsidR="000F093A" w:rsidRPr="00444D8F">
        <w:t>ţ</w:t>
      </w:r>
      <w:r w:rsidRPr="00444D8F">
        <w:t>a muncii.</w:t>
      </w:r>
      <w:r w:rsidR="00990D25" w:rsidRPr="00444D8F">
        <w:t xml:space="preserve"> </w:t>
      </w:r>
    </w:p>
    <w:p w:rsidR="007C1678" w:rsidRPr="00444D8F" w:rsidRDefault="007C1678" w:rsidP="009D1756">
      <w:pPr>
        <w:jc w:val="both"/>
      </w:pPr>
      <w:r w:rsidRPr="00444D8F">
        <w:t>Dezbater</w:t>
      </w:r>
      <w:r w:rsidR="008A2591" w:rsidRPr="00444D8F">
        <w:t xml:space="preserve">ile politice privind </w:t>
      </w:r>
      <w:r w:rsidRPr="00444D8F">
        <w:t>migra</w:t>
      </w:r>
      <w:r w:rsidR="000F093A" w:rsidRPr="00444D8F">
        <w:t>ţ</w:t>
      </w:r>
      <w:r w:rsidRPr="00444D8F">
        <w:t>ia a</w:t>
      </w:r>
      <w:r w:rsidR="008A2591" w:rsidRPr="00444D8F">
        <w:t xml:space="preserve">u fost aprinse </w:t>
      </w:r>
      <w:r w:rsidRPr="00444D8F">
        <w:t xml:space="preserve">în Danemarca </w:t>
      </w:r>
      <w:r w:rsidR="006170D5" w:rsidRPr="00444D8F">
        <w:t xml:space="preserve">sens în care au fost </w:t>
      </w:r>
      <w:r w:rsidR="008A2591" w:rsidRPr="00444D8F">
        <w:t>implementate o</w:t>
      </w:r>
      <w:r w:rsidR="00990D25" w:rsidRPr="00444D8F">
        <w:t xml:space="preserve"> seri</w:t>
      </w:r>
      <w:r w:rsidRPr="00444D8F">
        <w:t xml:space="preserve">e </w:t>
      </w:r>
      <w:r w:rsidR="00990D25" w:rsidRPr="00444D8F">
        <w:t xml:space="preserve">de </w:t>
      </w:r>
      <w:r w:rsidRPr="00444D8F">
        <w:t>ini</w:t>
      </w:r>
      <w:r w:rsidR="000F093A" w:rsidRPr="00444D8F">
        <w:t>ţ</w:t>
      </w:r>
      <w:r w:rsidRPr="00444D8F">
        <w:t>iative politice.</w:t>
      </w:r>
    </w:p>
    <w:p w:rsidR="007C1678" w:rsidRPr="00444D8F" w:rsidRDefault="007C1678" w:rsidP="009D1756">
      <w:pPr>
        <w:jc w:val="both"/>
      </w:pPr>
      <w:r w:rsidRPr="00444D8F">
        <w:t xml:space="preserve">În primul rând, s-au înăsprit regulile </w:t>
      </w:r>
      <w:r w:rsidR="008A2591" w:rsidRPr="00444D8F">
        <w:t>privind imigraţia. C</w:t>
      </w:r>
      <w:r w:rsidRPr="00444D8F">
        <w:t>onven</w:t>
      </w:r>
      <w:r w:rsidR="000F093A" w:rsidRPr="00444D8F">
        <w:t>ţ</w:t>
      </w:r>
      <w:r w:rsidRPr="00444D8F">
        <w:t>iile interna</w:t>
      </w:r>
      <w:r w:rsidR="000F093A" w:rsidRPr="00444D8F">
        <w:t>ţ</w:t>
      </w:r>
      <w:r w:rsidRPr="00444D8F">
        <w:t xml:space="preserve">ionale </w:t>
      </w:r>
      <w:r w:rsidR="000F093A" w:rsidRPr="00444D8F">
        <w:t>ş</w:t>
      </w:r>
      <w:r w:rsidRPr="00444D8F">
        <w:t>i normele UE limitează spa</w:t>
      </w:r>
      <w:r w:rsidR="000F093A" w:rsidRPr="00444D8F">
        <w:t>ţ</w:t>
      </w:r>
      <w:r w:rsidRPr="00444D8F">
        <w:t>iul de manevră în acest sens, dar Danemarca a introdus criterii mai stricte p</w:t>
      </w:r>
      <w:r w:rsidR="008A2591" w:rsidRPr="00444D8F">
        <w:t>rivind</w:t>
      </w:r>
      <w:r w:rsidRPr="00444D8F">
        <w:t xml:space="preserve"> unificarea familiei.</w:t>
      </w:r>
      <w:r w:rsidR="00A77498" w:rsidRPr="00444D8F">
        <w:rPr>
          <w:rStyle w:val="FootnoteReference"/>
        </w:rPr>
        <w:footnoteReference w:id="25"/>
      </w:r>
      <w:r w:rsidR="006170D5" w:rsidRPr="00444D8F">
        <w:t xml:space="preserve"> </w:t>
      </w:r>
      <w:r w:rsidRPr="00444D8F">
        <w:t>Pentru migran</w:t>
      </w:r>
      <w:r w:rsidR="000F093A" w:rsidRPr="00444D8F">
        <w:t>ţ</w:t>
      </w:r>
      <w:r w:rsidRPr="00444D8F">
        <w:t>ii voluntari din afara UE, există criterii de selec</w:t>
      </w:r>
      <w:r w:rsidR="000F093A" w:rsidRPr="00444D8F">
        <w:t>ţ</w:t>
      </w:r>
      <w:r w:rsidRPr="00444D8F">
        <w:t>ie care depind de calificări, oportunită</w:t>
      </w:r>
      <w:r w:rsidR="000F093A" w:rsidRPr="00444D8F">
        <w:t>ţ</w:t>
      </w:r>
      <w:r w:rsidRPr="00444D8F">
        <w:t xml:space="preserve">i </w:t>
      </w:r>
      <w:r w:rsidR="008A2591" w:rsidRPr="00444D8F">
        <w:t xml:space="preserve">de </w:t>
      </w:r>
      <w:r w:rsidRPr="00444D8F">
        <w:t xml:space="preserve">locuri de muncă etc. </w:t>
      </w:r>
      <w:r w:rsidR="008A2591" w:rsidRPr="00444D8F">
        <w:t>Se respect</w:t>
      </w:r>
      <w:r w:rsidR="00F764D6" w:rsidRPr="00444D8F">
        <w:rPr>
          <w:lang w:val="ro-RO"/>
        </w:rPr>
        <w:t>ă</w:t>
      </w:r>
      <w:r w:rsidR="008A2591" w:rsidRPr="00444D8F">
        <w:t xml:space="preserve"> </w:t>
      </w:r>
      <w:r w:rsidRPr="00444D8F">
        <w:t>trend</w:t>
      </w:r>
      <w:r w:rsidR="008A2591" w:rsidRPr="00444D8F">
        <w:t>ul</w:t>
      </w:r>
      <w:r w:rsidRPr="00444D8F">
        <w:t xml:space="preserve"> interna</w:t>
      </w:r>
      <w:r w:rsidR="000F093A" w:rsidRPr="00444D8F">
        <w:t>ţ</w:t>
      </w:r>
      <w:r w:rsidRPr="00444D8F">
        <w:t xml:space="preserve">ional </w:t>
      </w:r>
      <w:r w:rsidR="000F093A" w:rsidRPr="00444D8F">
        <w:t>ş</w:t>
      </w:r>
      <w:r w:rsidRPr="00444D8F">
        <w:t>i o "cursă spre vârf" pentru a atrage cea mai bună for</w:t>
      </w:r>
      <w:r w:rsidR="000F093A" w:rsidRPr="00444D8F">
        <w:t>ţ</w:t>
      </w:r>
      <w:r w:rsidRPr="00444D8F">
        <w:t xml:space="preserve">ă de muncă calificată; a se vedea, de exemplu, Chaloff </w:t>
      </w:r>
      <w:r w:rsidR="000F093A" w:rsidRPr="00444D8F">
        <w:t>ş</w:t>
      </w:r>
      <w:r w:rsidRPr="00444D8F">
        <w:t>i Lemaître (2009).</w:t>
      </w:r>
    </w:p>
    <w:p w:rsidR="00FF774A" w:rsidRPr="00444D8F" w:rsidRDefault="007C1678" w:rsidP="009D1756">
      <w:pPr>
        <w:jc w:val="both"/>
      </w:pPr>
      <w:r w:rsidRPr="00444D8F">
        <w:t xml:space="preserve">În al doilea rând, au existat mai multe schimbări </w:t>
      </w:r>
      <w:r w:rsidR="008A2591" w:rsidRPr="00444D8F">
        <w:t xml:space="preserve">privind </w:t>
      </w:r>
      <w:r w:rsidR="00A35DAC" w:rsidRPr="00444D8F">
        <w:t xml:space="preserve">sistemul </w:t>
      </w:r>
      <w:r w:rsidR="008A2591" w:rsidRPr="00444D8F">
        <w:t xml:space="preserve">de </w:t>
      </w:r>
      <w:r w:rsidR="00A35DAC" w:rsidRPr="00444D8F">
        <w:t xml:space="preserve">protecţie </w:t>
      </w:r>
      <w:r w:rsidRPr="00444D8F">
        <w:t>socială determinat</w:t>
      </w:r>
      <w:r w:rsidR="008A2591" w:rsidRPr="00444D8F">
        <w:t>e</w:t>
      </w:r>
      <w:r w:rsidRPr="00444D8F">
        <w:t xml:space="preserve"> de probleme</w:t>
      </w:r>
      <w:r w:rsidR="008A2591" w:rsidRPr="00444D8F">
        <w:t xml:space="preserve">le imigraţioniste. </w:t>
      </w:r>
      <w:r w:rsidRPr="00444D8F">
        <w:t>Modelul de bunăstare se bazează pe principiul universalită</w:t>
      </w:r>
      <w:r w:rsidR="000F093A" w:rsidRPr="00444D8F">
        <w:t>ţ</w:t>
      </w:r>
      <w:r w:rsidRPr="00444D8F">
        <w:t>ii;</w:t>
      </w:r>
      <w:r w:rsidR="008A2591" w:rsidRPr="00444D8F">
        <w:t xml:space="preserve"> adică</w:t>
      </w:r>
      <w:r w:rsidRPr="00444D8F">
        <w:t xml:space="preserve">, drepturi </w:t>
      </w:r>
      <w:r w:rsidRPr="00444D8F">
        <w:lastRenderedPageBreak/>
        <w:t>egale pentru to</w:t>
      </w:r>
      <w:r w:rsidR="008A2591" w:rsidRPr="00444D8F">
        <w:t>ţi</w:t>
      </w:r>
      <w:r w:rsidR="00B92E04" w:rsidRPr="00444D8F">
        <w:t>,</w:t>
      </w:r>
      <w:r w:rsidR="008A2591" w:rsidRPr="00444D8F">
        <w:t xml:space="preserve"> indiferent de </w:t>
      </w:r>
      <w:r w:rsidR="006170D5" w:rsidRPr="00444D8F">
        <w:t>context</w:t>
      </w:r>
      <w:r w:rsidR="008A2591" w:rsidRPr="00444D8F">
        <w:t xml:space="preserve"> </w:t>
      </w:r>
      <w:r w:rsidRPr="00444D8F">
        <w:t>(ocuparea for</w:t>
      </w:r>
      <w:r w:rsidR="000F093A" w:rsidRPr="00444D8F">
        <w:t>ţ</w:t>
      </w:r>
      <w:r w:rsidRPr="00444D8F">
        <w:t>ei de muncă, plă</w:t>
      </w:r>
      <w:r w:rsidR="000F093A" w:rsidRPr="00444D8F">
        <w:t>ţ</w:t>
      </w:r>
      <w:r w:rsidRPr="00444D8F">
        <w:t>i fiscale etc.). Acest</w:t>
      </w:r>
      <w:r w:rsidR="00A35DAC" w:rsidRPr="00444D8F">
        <w:t xml:space="preserve"> principiu</w:t>
      </w:r>
      <w:r w:rsidRPr="00444D8F">
        <w:t xml:space="preserve"> nu a fost modificat pentru serviciile de asisten</w:t>
      </w:r>
      <w:r w:rsidR="000F093A" w:rsidRPr="00444D8F">
        <w:t>ţ</w:t>
      </w:r>
      <w:r w:rsidRPr="00444D8F">
        <w:t>ă socială, dar au existat modificări pentru transferurile sociale. Cu toate acestea, op</w:t>
      </w:r>
      <w:r w:rsidR="000F093A" w:rsidRPr="00444D8F">
        <w:t>ţ</w:t>
      </w:r>
      <w:r w:rsidRPr="00444D8F">
        <w:t>iunile sunt limitate, nu în ultimul rând din cauza normel</w:t>
      </w:r>
      <w:r w:rsidR="00A35DAC" w:rsidRPr="00444D8F">
        <w:t>or</w:t>
      </w:r>
      <w:r w:rsidRPr="00444D8F">
        <w:t xml:space="preserve"> UE. Din moment ce eligibilitatea nu </w:t>
      </w:r>
      <w:r w:rsidR="00A35DAC" w:rsidRPr="00444D8F">
        <w:t xml:space="preserve">se </w:t>
      </w:r>
      <w:r w:rsidRPr="00444D8F">
        <w:t xml:space="preserve">poate </w:t>
      </w:r>
      <w:r w:rsidR="00A35DAC" w:rsidRPr="00444D8F">
        <w:t xml:space="preserve">face în funcţie de </w:t>
      </w:r>
      <w:r w:rsidRPr="00444D8F">
        <w:t>na</w:t>
      </w:r>
      <w:r w:rsidR="000F093A" w:rsidRPr="00444D8F">
        <w:t>ţ</w:t>
      </w:r>
      <w:r w:rsidRPr="00444D8F">
        <w:t xml:space="preserve">ionalitate, se încearcă </w:t>
      </w:r>
      <w:r w:rsidR="00A35DAC" w:rsidRPr="00444D8F">
        <w:t xml:space="preserve">selecţia </w:t>
      </w:r>
      <w:r w:rsidRPr="00444D8F">
        <w:t xml:space="preserve">prin intermediul unor criterii de eligibilitate </w:t>
      </w:r>
      <w:r w:rsidR="00A35DAC" w:rsidRPr="00444D8F">
        <w:t>în sistemul de securitate socială.</w:t>
      </w:r>
      <w:r w:rsidR="00FF774A" w:rsidRPr="00444D8F">
        <w:t xml:space="preserve"> </w:t>
      </w:r>
    </w:p>
    <w:p w:rsidR="00FF774A" w:rsidRPr="00444D8F" w:rsidRDefault="007C1678" w:rsidP="009D1756">
      <w:pPr>
        <w:jc w:val="both"/>
      </w:pPr>
      <w:r w:rsidRPr="00444D8F">
        <w:t>Elementul de bază al sistemului de protec</w:t>
      </w:r>
      <w:r w:rsidR="000F093A" w:rsidRPr="00444D8F">
        <w:t>ţ</w:t>
      </w:r>
      <w:r w:rsidRPr="00444D8F">
        <w:t xml:space="preserve">ie socială este </w:t>
      </w:r>
      <w:r w:rsidR="00A35DAC" w:rsidRPr="00444D8F">
        <w:t xml:space="preserve">aşa-numita </w:t>
      </w:r>
      <w:r w:rsidRPr="00444D8F">
        <w:t>asisten</w:t>
      </w:r>
      <w:r w:rsidR="000F093A" w:rsidRPr="00444D8F">
        <w:t>ţ</w:t>
      </w:r>
      <w:r w:rsidR="00A35DAC" w:rsidRPr="00444D8F">
        <w:t>ă</w:t>
      </w:r>
      <w:r w:rsidRPr="00444D8F">
        <w:t xml:space="preserve"> socială, care oferă </w:t>
      </w:r>
      <w:r w:rsidR="00A35DAC" w:rsidRPr="00444D8F">
        <w:t xml:space="preserve">un cadru de </w:t>
      </w:r>
      <w:r w:rsidRPr="00444D8F">
        <w:t xml:space="preserve">sprijin economic tuturor celor care nu </w:t>
      </w:r>
      <w:r w:rsidR="007758CC" w:rsidRPr="00444D8F">
        <w:t xml:space="preserve">sunt capabili să se întreţină pe ei înşişi şi pe familiile lor. În anul 2002 s-a introdus </w:t>
      </w:r>
      <w:r w:rsidR="00B92E04" w:rsidRPr="00444D8F">
        <w:t xml:space="preserve">un </w:t>
      </w:r>
      <w:r w:rsidRPr="00444D8F">
        <w:t xml:space="preserve">principiu de </w:t>
      </w:r>
      <w:r w:rsidR="006170D5" w:rsidRPr="00444D8F">
        <w:t xml:space="preserve">eligibilitate pentru </w:t>
      </w:r>
      <w:r w:rsidR="007758CC" w:rsidRPr="00444D8F">
        <w:t>re</w:t>
      </w:r>
      <w:r w:rsidR="00B92E04" w:rsidRPr="00444D8F">
        <w:t>z</w:t>
      </w:r>
      <w:r w:rsidR="007758CC" w:rsidRPr="00444D8F">
        <w:t>idenţă</w:t>
      </w:r>
      <w:r w:rsidRPr="00444D8F">
        <w:t>, însemn</w:t>
      </w:r>
      <w:r w:rsidR="007758CC" w:rsidRPr="00444D8F">
        <w:t>ând că</w:t>
      </w:r>
      <w:r w:rsidRPr="00444D8F">
        <w:t xml:space="preserve"> după </w:t>
      </w:r>
      <w:r w:rsidR="007758CC" w:rsidRPr="00444D8F">
        <w:t xml:space="preserve">o </w:t>
      </w:r>
      <w:r w:rsidR="000F093A" w:rsidRPr="00444D8F">
        <w:t>ş</w:t>
      </w:r>
      <w:r w:rsidRPr="00444D8F">
        <w:t xml:space="preserve">edere în Danemarca </w:t>
      </w:r>
      <w:r w:rsidR="007758CC" w:rsidRPr="00444D8F">
        <w:t xml:space="preserve">de </w:t>
      </w:r>
      <w:r w:rsidRPr="00444D8F">
        <w:t>7</w:t>
      </w:r>
      <w:r w:rsidR="00B92E04" w:rsidRPr="00444D8F">
        <w:t xml:space="preserve"> ani</w:t>
      </w:r>
      <w:r w:rsidRPr="00444D8F">
        <w:t xml:space="preserve"> din ultimii 8</w:t>
      </w:r>
      <w:r w:rsidR="007758CC" w:rsidRPr="00444D8F">
        <w:t xml:space="preserve">, se obţin drepturi depline de asistenţă socială. </w:t>
      </w:r>
      <w:r w:rsidRPr="00444D8F">
        <w:t xml:space="preserve">În </w:t>
      </w:r>
      <w:r w:rsidR="007758CC" w:rsidRPr="00444D8F">
        <w:t xml:space="preserve">anul </w:t>
      </w:r>
      <w:r w:rsidRPr="00444D8F">
        <w:t xml:space="preserve">2006, acest lucru a fost </w:t>
      </w:r>
      <w:r w:rsidR="007758CC" w:rsidRPr="00444D8F">
        <w:t xml:space="preserve">mai departe </w:t>
      </w:r>
      <w:r w:rsidRPr="00444D8F">
        <w:t xml:space="preserve">consolidat prin adăugarea unui criteriu de muncă, care prevede că eligibilitatea depinde de a fi fost </w:t>
      </w:r>
      <w:r w:rsidR="007758CC" w:rsidRPr="00444D8F">
        <w:t xml:space="preserve">angajat în muncă </w:t>
      </w:r>
      <w:r w:rsidRPr="00444D8F">
        <w:t>obi</w:t>
      </w:r>
      <w:r w:rsidR="000F093A" w:rsidRPr="00444D8F">
        <w:t>ş</w:t>
      </w:r>
      <w:r w:rsidRPr="00444D8F">
        <w:t>nuit</w:t>
      </w:r>
      <w:r w:rsidR="007758CC" w:rsidRPr="00444D8F">
        <w:t>ă</w:t>
      </w:r>
      <w:r w:rsidRPr="00444D8F">
        <w:t xml:space="preserve"> pentru o perioadă cumulată de cel pu</w:t>
      </w:r>
      <w:r w:rsidR="000F093A" w:rsidRPr="00444D8F">
        <w:t>ţ</w:t>
      </w:r>
      <w:r w:rsidRPr="00444D8F">
        <w:t xml:space="preserve">in 2 ani </w:t>
      </w:r>
      <w:r w:rsidR="000F093A" w:rsidRPr="00444D8F">
        <w:t>ş</w:t>
      </w:r>
      <w:r w:rsidR="00A77498" w:rsidRPr="00444D8F">
        <w:t xml:space="preserve">i jumătate în ultimii 8 ani. </w:t>
      </w:r>
      <w:r w:rsidR="00A77498" w:rsidRPr="00444D8F">
        <w:rPr>
          <w:rStyle w:val="FootnoteReference"/>
        </w:rPr>
        <w:footnoteReference w:id="26"/>
      </w:r>
      <w:r w:rsidR="007D3AD3" w:rsidRPr="00444D8F">
        <w:t xml:space="preserve"> </w:t>
      </w:r>
      <w:r w:rsidRPr="00444D8F">
        <w:t>Persoanele care nu îndeplinesc aceste cerin</w:t>
      </w:r>
      <w:r w:rsidR="000F093A" w:rsidRPr="00444D8F">
        <w:t>ţ</w:t>
      </w:r>
      <w:r w:rsidRPr="00444D8F">
        <w:t xml:space="preserve">e au dreptul la un transfer </w:t>
      </w:r>
      <w:r w:rsidR="007758CC" w:rsidRPr="00444D8F">
        <w:t xml:space="preserve">diferit </w:t>
      </w:r>
      <w:r w:rsidRPr="00444D8F">
        <w:t>(</w:t>
      </w:r>
      <w:r w:rsidR="007758CC" w:rsidRPr="00444D8F">
        <w:t xml:space="preserve">beneficiu de </w:t>
      </w:r>
      <w:r w:rsidR="007D3AD3" w:rsidRPr="00444D8F">
        <w:t>pornire/</w:t>
      </w:r>
      <w:r w:rsidR="007758CC" w:rsidRPr="00444D8F">
        <w:t>ajutor</w:t>
      </w:r>
      <w:r w:rsidRPr="00444D8F">
        <w:t xml:space="preserve"> </w:t>
      </w:r>
      <w:r w:rsidR="007758CC" w:rsidRPr="00444D8F">
        <w:t xml:space="preserve">de </w:t>
      </w:r>
      <w:r w:rsidRPr="00444D8F">
        <w:t>introducere) echivalent cu aproximativ jumătate din valoarea asisten</w:t>
      </w:r>
      <w:r w:rsidR="000F093A" w:rsidRPr="00444D8F">
        <w:t>ţ</w:t>
      </w:r>
      <w:r w:rsidRPr="00444D8F">
        <w:t>ei sociale.</w:t>
      </w:r>
      <w:r w:rsidR="00531C3E" w:rsidRPr="00444D8F">
        <w:t xml:space="preserve"> Deşi</w:t>
      </w:r>
      <w:r w:rsidRPr="00444D8F">
        <w:t>, aceste condi</w:t>
      </w:r>
      <w:r w:rsidR="000F093A" w:rsidRPr="00444D8F">
        <w:t>ţ</w:t>
      </w:r>
      <w:r w:rsidRPr="00444D8F">
        <w:t xml:space="preserve">ii nu au </w:t>
      </w:r>
      <w:r w:rsidR="00531C3E" w:rsidRPr="00444D8F">
        <w:t xml:space="preserve">realizat o </w:t>
      </w:r>
      <w:r w:rsidR="00B92E04" w:rsidRPr="00444D8F">
        <w:t xml:space="preserve">selecţie </w:t>
      </w:r>
      <w:r w:rsidR="007D3AD3" w:rsidRPr="00444D8F">
        <w:t>corectă/</w:t>
      </w:r>
      <w:r w:rsidR="00B92E04" w:rsidRPr="00444D8F">
        <w:t>exact</w:t>
      </w:r>
      <w:r w:rsidR="00531C3E" w:rsidRPr="00444D8F">
        <w:t>ă</w:t>
      </w:r>
      <w:r w:rsidRPr="00444D8F">
        <w:t xml:space="preserve">, deoarece </w:t>
      </w:r>
      <w:r w:rsidR="00531C3E" w:rsidRPr="00444D8F">
        <w:t>i-</w:t>
      </w:r>
      <w:r w:rsidRPr="00444D8F">
        <w:t xml:space="preserve">au afectat </w:t>
      </w:r>
      <w:r w:rsidR="00531C3E" w:rsidRPr="00444D8F">
        <w:t xml:space="preserve">şi pe danezii întorşi după </w:t>
      </w:r>
      <w:r w:rsidRPr="00444D8F">
        <w:t>perioade lungi</w:t>
      </w:r>
      <w:r w:rsidR="00531C3E" w:rsidRPr="00444D8F">
        <w:t xml:space="preserve"> petrecu</w:t>
      </w:r>
      <w:r w:rsidRPr="00444D8F">
        <w:t>te în străinătate, au avut cel mai mare efect asupra grupurilor de imigran</w:t>
      </w:r>
      <w:r w:rsidR="000F093A" w:rsidRPr="00444D8F">
        <w:t>ţ</w:t>
      </w:r>
      <w:r w:rsidRPr="00444D8F">
        <w:t xml:space="preserve">i cu rată scăzută </w:t>
      </w:r>
      <w:r w:rsidR="00531C3E" w:rsidRPr="00444D8F">
        <w:t xml:space="preserve">de ocupare </w:t>
      </w:r>
      <w:r w:rsidR="000F093A" w:rsidRPr="00444D8F">
        <w:t>ş</w:t>
      </w:r>
      <w:r w:rsidRPr="00444D8F">
        <w:t xml:space="preserve">i, </w:t>
      </w:r>
      <w:r w:rsidR="00531C3E" w:rsidRPr="00444D8F">
        <w:t>deci</w:t>
      </w:r>
      <w:r w:rsidRPr="00444D8F">
        <w:t xml:space="preserve">, </w:t>
      </w:r>
      <w:r w:rsidR="00531C3E" w:rsidRPr="00444D8F">
        <w:t xml:space="preserve">potenţiali beneficiari de </w:t>
      </w:r>
      <w:r w:rsidRPr="00444D8F">
        <w:t>asisten</w:t>
      </w:r>
      <w:r w:rsidR="000F093A" w:rsidRPr="00444D8F">
        <w:t>ţ</w:t>
      </w:r>
      <w:r w:rsidRPr="00444D8F">
        <w:t>ă socială.</w:t>
      </w:r>
    </w:p>
    <w:p w:rsidR="00FF774A" w:rsidRPr="00444D8F" w:rsidRDefault="007C1678" w:rsidP="009D1756">
      <w:pPr>
        <w:jc w:val="both"/>
      </w:pPr>
      <w:r w:rsidRPr="00444D8F">
        <w:t xml:space="preserve">Acest sistem a fost larg dezbătut, nu în ultimul rând pentru că efectele </w:t>
      </w:r>
      <w:r w:rsidR="00531C3E" w:rsidRPr="00444D8F">
        <w:t xml:space="preserve">ocupării prin </w:t>
      </w:r>
      <w:r w:rsidRPr="00444D8F">
        <w:t>reducer</w:t>
      </w:r>
      <w:r w:rsidR="00531C3E" w:rsidRPr="00444D8F">
        <w:t>ea</w:t>
      </w:r>
      <w:r w:rsidRPr="00444D8F">
        <w:t xml:space="preserve"> beneficii</w:t>
      </w:r>
      <w:r w:rsidR="00531C3E" w:rsidRPr="00444D8F">
        <w:t>lor</w:t>
      </w:r>
      <w:r w:rsidRPr="00444D8F">
        <w:t xml:space="preserve"> au fost mici. Regulile men</w:t>
      </w:r>
      <w:r w:rsidR="000F093A" w:rsidRPr="00444D8F">
        <w:t>ţ</w:t>
      </w:r>
      <w:r w:rsidRPr="00444D8F">
        <w:t xml:space="preserve">ionate </w:t>
      </w:r>
      <w:r w:rsidR="00531C3E" w:rsidRPr="00444D8F">
        <w:t xml:space="preserve">mai sus </w:t>
      </w:r>
      <w:r w:rsidRPr="00444D8F">
        <w:t>au fost desfiin</w:t>
      </w:r>
      <w:r w:rsidR="000F093A" w:rsidRPr="00444D8F">
        <w:t>ţ</w:t>
      </w:r>
      <w:r w:rsidRPr="00444D8F">
        <w:t xml:space="preserve">ate de </w:t>
      </w:r>
      <w:r w:rsidR="00531C3E" w:rsidRPr="00444D8F">
        <w:t>către G</w:t>
      </w:r>
      <w:r w:rsidRPr="00444D8F">
        <w:t xml:space="preserve">uvernul </w:t>
      </w:r>
      <w:r w:rsidR="00531C3E" w:rsidRPr="00444D8F">
        <w:t>S</w:t>
      </w:r>
      <w:r w:rsidRPr="00444D8F">
        <w:t>ocial-</w:t>
      </w:r>
      <w:r w:rsidR="00531C3E" w:rsidRPr="00444D8F">
        <w:t>D</w:t>
      </w:r>
      <w:r w:rsidRPr="00444D8F">
        <w:t xml:space="preserve">emocrat în 2012, dar </w:t>
      </w:r>
      <w:r w:rsidR="00531C3E" w:rsidRPr="00444D8F">
        <w:t>G</w:t>
      </w:r>
      <w:r w:rsidRPr="00444D8F">
        <w:t xml:space="preserve">uvernul </w:t>
      </w:r>
      <w:r w:rsidR="00531C3E" w:rsidRPr="00444D8F">
        <w:t>L</w:t>
      </w:r>
      <w:r w:rsidRPr="00444D8F">
        <w:t xml:space="preserve">iberal nou ales (2015) a reintrodus un sistem similar. Schimbările frecvente </w:t>
      </w:r>
      <w:r w:rsidR="00531C3E" w:rsidRPr="00444D8F">
        <w:t xml:space="preserve">de </w:t>
      </w:r>
      <w:r w:rsidRPr="00444D8F">
        <w:t>politici</w:t>
      </w:r>
      <w:r w:rsidR="00531C3E" w:rsidRPr="00444D8F">
        <w:t xml:space="preserve"> în </w:t>
      </w:r>
      <w:r w:rsidRPr="00444D8F">
        <w:t xml:space="preserve">domeniu reflectă sensibilitatea problemei </w:t>
      </w:r>
      <w:r w:rsidR="000F093A" w:rsidRPr="00444D8F">
        <w:t>ş</w:t>
      </w:r>
      <w:r w:rsidRPr="00444D8F">
        <w:t>i puncte</w:t>
      </w:r>
      <w:r w:rsidR="00531C3E" w:rsidRPr="00444D8F">
        <w:t>le</w:t>
      </w:r>
      <w:r w:rsidRPr="00444D8F">
        <w:t xml:space="preserve"> </w:t>
      </w:r>
      <w:r w:rsidR="00531C3E" w:rsidRPr="00444D8F">
        <w:t xml:space="preserve">de vedere politice diferite </w:t>
      </w:r>
      <w:r w:rsidRPr="00444D8F">
        <w:t>cu privire la aceasta, dar tendin</w:t>
      </w:r>
      <w:r w:rsidR="000F093A" w:rsidRPr="00444D8F">
        <w:t>ţ</w:t>
      </w:r>
      <w:r w:rsidRPr="00444D8F">
        <w:t>a generală a fost către o înăsprire a normelor privind atât imigra</w:t>
      </w:r>
      <w:r w:rsidR="000F093A" w:rsidRPr="00444D8F">
        <w:t>ţ</w:t>
      </w:r>
      <w:r w:rsidRPr="00444D8F">
        <w:t xml:space="preserve">ia </w:t>
      </w:r>
      <w:r w:rsidR="008A0278" w:rsidRPr="00444D8F">
        <w:t xml:space="preserve">cât </w:t>
      </w:r>
      <w:r w:rsidR="000F093A" w:rsidRPr="00444D8F">
        <w:t>ş</w:t>
      </w:r>
      <w:r w:rsidRPr="00444D8F">
        <w:t xml:space="preserve">i accesul la </w:t>
      </w:r>
      <w:r w:rsidR="008A0278" w:rsidRPr="00444D8F">
        <w:t xml:space="preserve">sistemul de </w:t>
      </w:r>
      <w:r w:rsidRPr="00444D8F">
        <w:t>protec</w:t>
      </w:r>
      <w:r w:rsidR="000F093A" w:rsidRPr="00444D8F">
        <w:t>ţ</w:t>
      </w:r>
      <w:r w:rsidRPr="00444D8F">
        <w:t>ie socială.</w:t>
      </w:r>
    </w:p>
    <w:p w:rsidR="007C1678" w:rsidRPr="00444D8F" w:rsidRDefault="007C1678" w:rsidP="009D1756">
      <w:pPr>
        <w:jc w:val="both"/>
      </w:pPr>
      <w:r w:rsidRPr="00444D8F">
        <w:t xml:space="preserve">O problemă deosebit de controversată este </w:t>
      </w:r>
      <w:r w:rsidR="008A0278" w:rsidRPr="00444D8F">
        <w:t>alocaţia de stat universală</w:t>
      </w:r>
      <w:r w:rsidRPr="00444D8F">
        <w:t xml:space="preserve"> pentru copii </w:t>
      </w:r>
      <w:r w:rsidRPr="00444D8F">
        <w:rPr>
          <w:i/>
        </w:rPr>
        <w:t>(børnechecken),</w:t>
      </w:r>
      <w:r w:rsidRPr="00444D8F">
        <w:t xml:space="preserve"> la care to</w:t>
      </w:r>
      <w:r w:rsidR="000F093A" w:rsidRPr="00444D8F">
        <w:t>ţ</w:t>
      </w:r>
      <w:r w:rsidRPr="00444D8F">
        <w:t>i părin</w:t>
      </w:r>
      <w:r w:rsidR="000F093A" w:rsidRPr="00444D8F">
        <w:t>ţ</w:t>
      </w:r>
      <w:r w:rsidRPr="00444D8F">
        <w:t xml:space="preserve">ii sunt eligibili. Acest lucru implică faptul că un lucrător invitat care </w:t>
      </w:r>
      <w:r w:rsidR="008A0278" w:rsidRPr="00444D8F">
        <w:t xml:space="preserve">îşi lasă </w:t>
      </w:r>
      <w:r w:rsidRPr="00444D8F">
        <w:t xml:space="preserve">familia în </w:t>
      </w:r>
      <w:r w:rsidR="000F093A" w:rsidRPr="00444D8F">
        <w:t>ţ</w:t>
      </w:r>
      <w:r w:rsidRPr="00444D8F">
        <w:t xml:space="preserve">ara sa de origine este </w:t>
      </w:r>
      <w:r w:rsidR="008A0278" w:rsidRPr="00444D8F">
        <w:t xml:space="preserve">şi el </w:t>
      </w:r>
      <w:r w:rsidRPr="00444D8F">
        <w:t xml:space="preserve">eligibil pentru </w:t>
      </w:r>
      <w:r w:rsidR="008A0278" w:rsidRPr="00444D8F">
        <w:t>aloca</w:t>
      </w:r>
      <w:r w:rsidR="000F093A" w:rsidRPr="00444D8F">
        <w:t>ţ</w:t>
      </w:r>
      <w:r w:rsidRPr="00444D8F">
        <w:t xml:space="preserve">ie, chiar </w:t>
      </w:r>
      <w:r w:rsidR="007D3AD3" w:rsidRPr="00444D8F">
        <w:t xml:space="preserve">în situaţia în care </w:t>
      </w:r>
      <w:r w:rsidRPr="00444D8F">
        <w:t xml:space="preserve">copiii nu locuiesc în Danemarca. </w:t>
      </w:r>
      <w:r w:rsidR="008A0278" w:rsidRPr="00444D8F">
        <w:t xml:space="preserve">Pentru mulţi </w:t>
      </w:r>
      <w:r w:rsidRPr="00444D8F">
        <w:t xml:space="preserve">acest lucru </w:t>
      </w:r>
      <w:r w:rsidR="00856B5E" w:rsidRPr="00444D8F">
        <w:t xml:space="preserve">este un </w:t>
      </w:r>
      <w:r w:rsidRPr="00444D8F">
        <w:t xml:space="preserve">semn că generozitatea modelului </w:t>
      </w:r>
      <w:r w:rsidR="008A0278" w:rsidRPr="00444D8F">
        <w:t xml:space="preserve">social </w:t>
      </w:r>
      <w:r w:rsidRPr="00444D8F">
        <w:t>danez merge prea departe. În 2010, a fost introdusă o condi</w:t>
      </w:r>
      <w:r w:rsidR="000F093A" w:rsidRPr="00444D8F">
        <w:t>ţ</w:t>
      </w:r>
      <w:r w:rsidRPr="00444D8F">
        <w:t xml:space="preserve">ie de eligibilitate care prevede că dreptul deplin la </w:t>
      </w:r>
      <w:r w:rsidR="008A0278" w:rsidRPr="00444D8F">
        <w:t xml:space="preserve">alocaţie </w:t>
      </w:r>
      <w:r w:rsidRPr="00444D8F">
        <w:t xml:space="preserve">necesită doi ani de </w:t>
      </w:r>
      <w:r w:rsidR="000F093A" w:rsidRPr="00444D8F">
        <w:t>ş</w:t>
      </w:r>
      <w:r w:rsidRPr="00444D8F">
        <w:t>edere în Danemarca (</w:t>
      </w:r>
      <w:r w:rsidR="008A0278" w:rsidRPr="00444D8F">
        <w:t>alocaţia/</w:t>
      </w:r>
      <w:r w:rsidRPr="00444D8F">
        <w:t>subven</w:t>
      </w:r>
      <w:r w:rsidR="000F093A" w:rsidRPr="00444D8F">
        <w:t>ţ</w:t>
      </w:r>
      <w:r w:rsidRPr="00444D8F">
        <w:t>ia se reduce propor</w:t>
      </w:r>
      <w:r w:rsidR="000F093A" w:rsidRPr="00444D8F">
        <w:t>ţ</w:t>
      </w:r>
      <w:r w:rsidRPr="00444D8F">
        <w:t xml:space="preserve">ional în cazul unei perioade </w:t>
      </w:r>
      <w:r w:rsidR="007D3AD3" w:rsidRPr="00444D8F">
        <w:t xml:space="preserve">mai scurte </w:t>
      </w:r>
      <w:r w:rsidRPr="00444D8F">
        <w:t xml:space="preserve">de </w:t>
      </w:r>
      <w:r w:rsidR="000F093A" w:rsidRPr="00444D8F">
        <w:t>ş</w:t>
      </w:r>
      <w:r w:rsidRPr="00444D8F">
        <w:t>edere, începând cu 25</w:t>
      </w:r>
      <w:r w:rsidR="008A0278" w:rsidRPr="00444D8F">
        <w:t>%</w:t>
      </w:r>
      <w:r w:rsidRPr="00444D8F">
        <w:t xml:space="preserve"> din </w:t>
      </w:r>
      <w:r w:rsidR="008A0278" w:rsidRPr="00444D8F">
        <w:t xml:space="preserve">alocaţie </w:t>
      </w:r>
      <w:r w:rsidRPr="00444D8F">
        <w:t xml:space="preserve">după </w:t>
      </w:r>
      <w:r w:rsidR="008A0278" w:rsidRPr="00444D8F">
        <w:t xml:space="preserve">o </w:t>
      </w:r>
      <w:r w:rsidR="000F093A" w:rsidRPr="00444D8F">
        <w:t>ş</w:t>
      </w:r>
      <w:r w:rsidRPr="00444D8F">
        <w:t>edere de 6 luni). Această regulă se aplică tuturor imigran</w:t>
      </w:r>
      <w:r w:rsidR="000F093A" w:rsidRPr="00444D8F">
        <w:t>ţ</w:t>
      </w:r>
      <w:r w:rsidRPr="00444D8F">
        <w:t>ilor, inclusiv cel</w:t>
      </w:r>
      <w:r w:rsidR="008A0278" w:rsidRPr="00444D8F">
        <w:t>or</w:t>
      </w:r>
      <w:r w:rsidRPr="00444D8F">
        <w:t xml:space="preserve"> din </w:t>
      </w:r>
      <w:r w:rsidR="000F093A" w:rsidRPr="00444D8F">
        <w:t>ţ</w:t>
      </w:r>
      <w:r w:rsidRPr="00444D8F">
        <w:t xml:space="preserve">ările UE. Curtea Europeană </w:t>
      </w:r>
      <w:r w:rsidR="008A0278" w:rsidRPr="00444D8F">
        <w:t xml:space="preserve">a decis </w:t>
      </w:r>
      <w:r w:rsidRPr="00444D8F">
        <w:t xml:space="preserve">de două ori (în 2011 </w:t>
      </w:r>
      <w:r w:rsidR="000F093A" w:rsidRPr="00444D8F">
        <w:t>ş</w:t>
      </w:r>
      <w:r w:rsidRPr="00444D8F">
        <w:t>i 2013) c</w:t>
      </w:r>
      <w:r w:rsidR="008A0278" w:rsidRPr="00444D8F">
        <w:t>ă</w:t>
      </w:r>
      <w:r w:rsidRPr="00444D8F">
        <w:t xml:space="preserve"> acest lucru </w:t>
      </w:r>
      <w:r w:rsidR="008A0278" w:rsidRPr="00444D8F">
        <w:t xml:space="preserve">este </w:t>
      </w:r>
      <w:r w:rsidRPr="00444D8F">
        <w:t>în conflict cu normele UE. Începând cu 2013, programul a fost a</w:t>
      </w:r>
      <w:r w:rsidR="008A0278" w:rsidRPr="00444D8F">
        <w:t>plicat</w:t>
      </w:r>
      <w:r w:rsidRPr="00444D8F">
        <w:t xml:space="preserve"> în conformitate cu normele UE, dar problema este contestată de către</w:t>
      </w:r>
      <w:r w:rsidR="00856B5E" w:rsidRPr="00444D8F">
        <w:t xml:space="preserve"> decidenţii politici</w:t>
      </w:r>
      <w:r w:rsidRPr="00444D8F">
        <w:t>.</w:t>
      </w:r>
    </w:p>
    <w:p w:rsidR="00FF774A" w:rsidRPr="00444D8F" w:rsidRDefault="007C1678" w:rsidP="009D1756">
      <w:pPr>
        <w:jc w:val="both"/>
      </w:pPr>
      <w:r w:rsidRPr="00444D8F">
        <w:t>Imigra</w:t>
      </w:r>
      <w:r w:rsidR="000F093A" w:rsidRPr="00444D8F">
        <w:t>ţ</w:t>
      </w:r>
      <w:r w:rsidRPr="00444D8F">
        <w:t xml:space="preserve">ia, în special </w:t>
      </w:r>
      <w:r w:rsidR="008A0278" w:rsidRPr="00444D8F">
        <w:t xml:space="preserve">a </w:t>
      </w:r>
      <w:r w:rsidRPr="00444D8F">
        <w:t>lucrători</w:t>
      </w:r>
      <w:r w:rsidR="008A0278" w:rsidRPr="00444D8F">
        <w:t>lor</w:t>
      </w:r>
      <w:r w:rsidRPr="00444D8F">
        <w:t xml:space="preserve"> migran</w:t>
      </w:r>
      <w:r w:rsidR="000F093A" w:rsidRPr="00444D8F">
        <w:t>ţ</w:t>
      </w:r>
      <w:r w:rsidRPr="00444D8F">
        <w:t xml:space="preserve">i, afectează în mod direct </w:t>
      </w:r>
      <w:r w:rsidR="008A0278" w:rsidRPr="00444D8F">
        <w:t xml:space="preserve">şi </w:t>
      </w:r>
      <w:r w:rsidRPr="00444D8F">
        <w:t>pie</w:t>
      </w:r>
      <w:r w:rsidR="000F093A" w:rsidRPr="00444D8F">
        <w:t>ţ</w:t>
      </w:r>
      <w:r w:rsidRPr="00444D8F">
        <w:t>ele for</w:t>
      </w:r>
      <w:r w:rsidR="000F093A" w:rsidRPr="00444D8F">
        <w:t>ţ</w:t>
      </w:r>
      <w:r w:rsidRPr="00444D8F">
        <w:t>ei de muncă. În ceea ce prive</w:t>
      </w:r>
      <w:r w:rsidR="000F093A" w:rsidRPr="00444D8F">
        <w:t>ş</w:t>
      </w:r>
      <w:r w:rsidRPr="00444D8F">
        <w:t xml:space="preserve">te </w:t>
      </w:r>
      <w:r w:rsidR="008A0278" w:rsidRPr="00444D8F">
        <w:t>alte</w:t>
      </w:r>
      <w:r w:rsidRPr="00444D8F">
        <w:t xml:space="preserve"> state membre UE</w:t>
      </w:r>
      <w:r w:rsidR="008A0278" w:rsidRPr="00444D8F">
        <w:t xml:space="preserve"> "vechi"</w:t>
      </w:r>
      <w:r w:rsidRPr="00444D8F">
        <w:t>, a existat o tendin</w:t>
      </w:r>
      <w:r w:rsidR="000F093A" w:rsidRPr="00444D8F">
        <w:t>ţ</w:t>
      </w:r>
      <w:r w:rsidRPr="00444D8F">
        <w:t>ă de cre</w:t>
      </w:r>
      <w:r w:rsidR="000F093A" w:rsidRPr="00444D8F">
        <w:t>ş</w:t>
      </w:r>
      <w:r w:rsidRPr="00444D8F">
        <w:t>tere a lucrătorilor migran</w:t>
      </w:r>
      <w:r w:rsidR="000F093A" w:rsidRPr="00444D8F">
        <w:t>ţ</w:t>
      </w:r>
      <w:r w:rsidRPr="00444D8F">
        <w:t xml:space="preserve">i. </w:t>
      </w:r>
      <w:r w:rsidR="007D3AD3" w:rsidRPr="00444D8F">
        <w:t xml:space="preserve">Deşi </w:t>
      </w:r>
      <w:r w:rsidRPr="00444D8F">
        <w:t>aceasta este o consecin</w:t>
      </w:r>
      <w:r w:rsidR="000F093A" w:rsidRPr="00444D8F">
        <w:t>ţ</w:t>
      </w:r>
      <w:r w:rsidRPr="00444D8F">
        <w:t>ă inten</w:t>
      </w:r>
      <w:r w:rsidR="000F093A" w:rsidRPr="00444D8F">
        <w:t>ţ</w:t>
      </w:r>
      <w:r w:rsidRPr="00444D8F">
        <w:t xml:space="preserve">ionată </w:t>
      </w:r>
      <w:r w:rsidR="008A0278" w:rsidRPr="00444D8F">
        <w:t xml:space="preserve">de </w:t>
      </w:r>
      <w:r w:rsidRPr="00444D8F">
        <w:t>extinder</w:t>
      </w:r>
      <w:r w:rsidR="008A0278" w:rsidRPr="00444D8F">
        <w:t>e a</w:t>
      </w:r>
      <w:r w:rsidRPr="00444D8F">
        <w:t xml:space="preserve"> UE </w:t>
      </w:r>
      <w:r w:rsidR="000F093A" w:rsidRPr="00444D8F">
        <w:t>ş</w:t>
      </w:r>
      <w:r w:rsidRPr="00444D8F">
        <w:t xml:space="preserve">i </w:t>
      </w:r>
      <w:r w:rsidR="008A0278" w:rsidRPr="00444D8F">
        <w:t xml:space="preserve">a </w:t>
      </w:r>
      <w:r w:rsidRPr="00444D8F">
        <w:t>pi</w:t>
      </w:r>
      <w:r w:rsidR="008A0278" w:rsidRPr="00444D8F">
        <w:t>e</w:t>
      </w:r>
      <w:r w:rsidR="000F093A" w:rsidRPr="00444D8F">
        <w:t>ţ</w:t>
      </w:r>
      <w:r w:rsidR="008A0278" w:rsidRPr="00444D8F">
        <w:t xml:space="preserve">ei </w:t>
      </w:r>
      <w:r w:rsidRPr="00444D8F">
        <w:t>unic</w:t>
      </w:r>
      <w:r w:rsidR="008A0278" w:rsidRPr="00444D8F">
        <w:t>e</w:t>
      </w:r>
      <w:r w:rsidRPr="00444D8F">
        <w:t xml:space="preserve">, au existat </w:t>
      </w:r>
      <w:r w:rsidR="007D3AD3" w:rsidRPr="00444D8F">
        <w:t>îngrijorări</w:t>
      </w:r>
      <w:r w:rsidRPr="00444D8F">
        <w:t xml:space="preserve"> </w:t>
      </w:r>
      <w:r w:rsidR="009E5207" w:rsidRPr="00444D8F">
        <w:t xml:space="preserve">privind </w:t>
      </w:r>
      <w:r w:rsidRPr="00444D8F">
        <w:t xml:space="preserve">efectele </w:t>
      </w:r>
      <w:r w:rsidR="00856B5E" w:rsidRPr="00444D8F">
        <w:t xml:space="preserve">acesteia </w:t>
      </w:r>
      <w:r w:rsidR="009E5207" w:rsidRPr="00444D8F">
        <w:t xml:space="preserve">asupra </w:t>
      </w:r>
      <w:r w:rsidRPr="00444D8F">
        <w:t>pi</w:t>
      </w:r>
      <w:r w:rsidR="009E5207" w:rsidRPr="00444D8F">
        <w:t>eţei</w:t>
      </w:r>
      <w:r w:rsidRPr="00444D8F">
        <w:t xml:space="preserve"> for</w:t>
      </w:r>
      <w:r w:rsidR="000F093A" w:rsidRPr="00444D8F">
        <w:t>ţ</w:t>
      </w:r>
      <w:r w:rsidRPr="00444D8F">
        <w:t>ei de muncă. În primul rând, au existat probleme în ceea ce prive</w:t>
      </w:r>
      <w:r w:rsidR="000F093A" w:rsidRPr="00444D8F">
        <w:t>ş</w:t>
      </w:r>
      <w:r w:rsidRPr="00444D8F">
        <w:t xml:space="preserve">te </w:t>
      </w:r>
      <w:r w:rsidRPr="00444D8F">
        <w:lastRenderedPageBreak/>
        <w:t xml:space="preserve">asigurarea respectării normelor </w:t>
      </w:r>
      <w:r w:rsidR="009E5207" w:rsidRPr="00444D8F">
        <w:t>de pe piaţa muncii şi a celor fiscal</w:t>
      </w:r>
      <w:r w:rsidRPr="00444D8F">
        <w:t xml:space="preserve">e. În al doilea rând, multe probleme </w:t>
      </w:r>
      <w:r w:rsidR="009E5207" w:rsidRPr="00444D8F">
        <w:t xml:space="preserve">ale </w:t>
      </w:r>
      <w:r w:rsidRPr="00444D8F">
        <w:t xml:space="preserve"> pi</w:t>
      </w:r>
      <w:r w:rsidR="009E5207" w:rsidRPr="00444D8F">
        <w:t xml:space="preserve">eţei </w:t>
      </w:r>
      <w:r w:rsidR="007D3AD3" w:rsidRPr="00444D8F">
        <w:t xml:space="preserve">muncii </w:t>
      </w:r>
      <w:r w:rsidR="009E5207" w:rsidRPr="00444D8F">
        <w:t xml:space="preserve">din </w:t>
      </w:r>
      <w:r w:rsidRPr="00444D8F">
        <w:t xml:space="preserve">Danemarca (cum ar fi salariul minim, de exemplu) nu sunt reglementate prin lege, ci </w:t>
      </w:r>
      <w:r w:rsidR="009E5207" w:rsidRPr="00444D8F">
        <w:t xml:space="preserve">sunt stabilite prin </w:t>
      </w:r>
      <w:r w:rsidRPr="00444D8F">
        <w:t xml:space="preserve">intermediul negocierilor salariale colective. </w:t>
      </w:r>
      <w:r w:rsidR="009E5207" w:rsidRPr="00444D8F">
        <w:t xml:space="preserve">În rândul </w:t>
      </w:r>
      <w:r w:rsidRPr="00444D8F">
        <w:t>sindicatel</w:t>
      </w:r>
      <w:r w:rsidR="009E5207" w:rsidRPr="00444D8F">
        <w:t>or</w:t>
      </w:r>
      <w:r w:rsidRPr="00444D8F">
        <w:t xml:space="preserve"> există, </w:t>
      </w:r>
      <w:r w:rsidR="009E5207" w:rsidRPr="00444D8F">
        <w:t>deci</w:t>
      </w:r>
      <w:r w:rsidRPr="00444D8F">
        <w:t xml:space="preserve">, </w:t>
      </w:r>
      <w:r w:rsidR="009E5207" w:rsidRPr="00444D8F">
        <w:t>îngrijorarea</w:t>
      </w:r>
      <w:r w:rsidRPr="00444D8F">
        <w:t xml:space="preserve"> că lucrătorii migran</w:t>
      </w:r>
      <w:r w:rsidR="000F093A" w:rsidRPr="00444D8F">
        <w:t>ţ</w:t>
      </w:r>
      <w:r w:rsidRPr="00444D8F">
        <w:t xml:space="preserve">i </w:t>
      </w:r>
      <w:r w:rsidR="009E5207" w:rsidRPr="00444D8F">
        <w:t xml:space="preserve">vor </w:t>
      </w:r>
      <w:r w:rsidRPr="00444D8F">
        <w:t>submin</w:t>
      </w:r>
      <w:r w:rsidR="009E5207" w:rsidRPr="00444D8F">
        <w:t>a</w:t>
      </w:r>
      <w:r w:rsidRPr="00444D8F">
        <w:t xml:space="preserve"> rezultatele colective </w:t>
      </w:r>
      <w:r w:rsidR="009E5207" w:rsidRPr="00444D8F">
        <w:t>negociate declanş</w:t>
      </w:r>
      <w:r w:rsidR="00483C45" w:rsidRPr="00444D8F">
        <w:t>ând</w:t>
      </w:r>
      <w:r w:rsidR="009E5207" w:rsidRPr="00444D8F">
        <w:t xml:space="preserve"> </w:t>
      </w:r>
      <w:r w:rsidRPr="00444D8F">
        <w:t>mecanisme</w:t>
      </w:r>
      <w:r w:rsidR="009E5207" w:rsidRPr="00444D8F">
        <w:t>le</w:t>
      </w:r>
      <w:r w:rsidRPr="00444D8F">
        <w:t xml:space="preserve"> </w:t>
      </w:r>
      <w:r w:rsidR="004A090F" w:rsidRPr="00444D8F">
        <w:t xml:space="preserve">unei “race to the bottom </w:t>
      </w:r>
      <w:r w:rsidR="00483C45" w:rsidRPr="00444D8F">
        <w:t>“/</w:t>
      </w:r>
      <w:r w:rsidRPr="00444D8F">
        <w:t>"</w:t>
      </w:r>
      <w:r w:rsidR="00790521" w:rsidRPr="00444D8F">
        <w:rPr>
          <w:i/>
        </w:rPr>
        <w:t>alunecări</w:t>
      </w:r>
      <w:r w:rsidR="004A090F" w:rsidRPr="00444D8F">
        <w:rPr>
          <w:i/>
        </w:rPr>
        <w:t xml:space="preserve"> în jos</w:t>
      </w:r>
      <w:r w:rsidRPr="00444D8F">
        <w:t>".</w:t>
      </w:r>
    </w:p>
    <w:p w:rsidR="007C1678" w:rsidRPr="00444D8F" w:rsidRDefault="007C1678" w:rsidP="009D1756">
      <w:pPr>
        <w:jc w:val="both"/>
        <w:rPr>
          <w:b/>
        </w:rPr>
      </w:pPr>
      <w:r w:rsidRPr="00444D8F">
        <w:rPr>
          <w:b/>
        </w:rPr>
        <w:t>4.5.3 Servicii de asisten</w:t>
      </w:r>
      <w:r w:rsidR="000F093A" w:rsidRPr="00444D8F">
        <w:rPr>
          <w:b/>
        </w:rPr>
        <w:t>ţ</w:t>
      </w:r>
      <w:r w:rsidRPr="00444D8F">
        <w:rPr>
          <w:b/>
        </w:rPr>
        <w:t>ă socială - cereri</w:t>
      </w:r>
      <w:r w:rsidR="004A090F" w:rsidRPr="00444D8F">
        <w:t xml:space="preserve"> </w:t>
      </w:r>
      <w:r w:rsidR="004A090F" w:rsidRPr="00444D8F">
        <w:rPr>
          <w:lang w:val="ro-RO"/>
        </w:rPr>
        <w:t xml:space="preserve">în </w:t>
      </w:r>
      <w:r w:rsidR="004A090F" w:rsidRPr="00444D8F">
        <w:rPr>
          <w:b/>
        </w:rPr>
        <w:t>creştere</w:t>
      </w:r>
    </w:p>
    <w:p w:rsidR="008C7F75" w:rsidRPr="00444D8F" w:rsidRDefault="007C1678" w:rsidP="009D1756">
      <w:pPr>
        <w:jc w:val="both"/>
      </w:pPr>
      <w:r w:rsidRPr="00444D8F">
        <w:t xml:space="preserve">Danemarca - </w:t>
      </w:r>
      <w:r w:rsidR="000F093A" w:rsidRPr="00444D8F">
        <w:t>ş</w:t>
      </w:r>
      <w:r w:rsidRPr="00444D8F">
        <w:t xml:space="preserve">i </w:t>
      </w:r>
      <w:r w:rsidR="009C19DB" w:rsidRPr="00444D8F">
        <w:t xml:space="preserve">celelalte </w:t>
      </w:r>
      <w:r w:rsidR="000F093A" w:rsidRPr="00444D8F">
        <w:t>ţ</w:t>
      </w:r>
      <w:r w:rsidRPr="00444D8F">
        <w:t xml:space="preserve">ări nordice - </w:t>
      </w:r>
      <w:r w:rsidR="009C19DB" w:rsidRPr="00444D8F">
        <w:t>ies</w:t>
      </w:r>
      <w:r w:rsidRPr="00444D8F">
        <w:t xml:space="preserve"> în eviden</w:t>
      </w:r>
      <w:r w:rsidR="000F093A" w:rsidRPr="00444D8F">
        <w:t>ţ</w:t>
      </w:r>
      <w:r w:rsidRPr="00444D8F">
        <w:t xml:space="preserve">ă </w:t>
      </w:r>
      <w:r w:rsidR="009C19DB" w:rsidRPr="00444D8F">
        <w:t xml:space="preserve">prin furnizarea de servicii </w:t>
      </w:r>
      <w:r w:rsidRPr="00444D8F">
        <w:t>publice extinse de asisten</w:t>
      </w:r>
      <w:r w:rsidR="000F093A" w:rsidRPr="00444D8F">
        <w:t>ţ</w:t>
      </w:r>
      <w:r w:rsidRPr="00444D8F">
        <w:t>ă socială, cum ar fi educa</w:t>
      </w:r>
      <w:r w:rsidR="000F093A" w:rsidRPr="00444D8F">
        <w:t>ţ</w:t>
      </w:r>
      <w:r w:rsidRPr="00444D8F">
        <w:t>ia</w:t>
      </w:r>
      <w:r w:rsidR="00096D00" w:rsidRPr="00444D8F">
        <w:t xml:space="preserve">, îngrijirea şi </w:t>
      </w:r>
      <w:r w:rsidRPr="00444D8F">
        <w:t>sănăt</w:t>
      </w:r>
      <w:r w:rsidR="00096D00" w:rsidRPr="00444D8F">
        <w:t xml:space="preserve">atea. </w:t>
      </w:r>
      <w:r w:rsidRPr="00444D8F">
        <w:t xml:space="preserve">Acest </w:t>
      </w:r>
      <w:r w:rsidR="007D3AD3" w:rsidRPr="00444D8F">
        <w:t xml:space="preserve">fenomen </w:t>
      </w:r>
      <w:r w:rsidRPr="00444D8F">
        <w:t>are implica</w:t>
      </w:r>
      <w:r w:rsidR="000F093A" w:rsidRPr="00444D8F">
        <w:t>ţ</w:t>
      </w:r>
      <w:r w:rsidRPr="00444D8F">
        <w:t>ii importante p</w:t>
      </w:r>
      <w:r w:rsidR="00096D00" w:rsidRPr="00444D8F">
        <w:t>rivind</w:t>
      </w:r>
      <w:r w:rsidRPr="00444D8F">
        <w:t xml:space="preserve"> accesul (universalitate) </w:t>
      </w:r>
      <w:r w:rsidR="000F093A" w:rsidRPr="00444D8F">
        <w:t>ş</w:t>
      </w:r>
      <w:r w:rsidRPr="00444D8F">
        <w:t>i oportunită</w:t>
      </w:r>
      <w:r w:rsidR="000F093A" w:rsidRPr="00444D8F">
        <w:t>ţ</w:t>
      </w:r>
      <w:r w:rsidRPr="00444D8F">
        <w:t>i</w:t>
      </w:r>
      <w:r w:rsidR="00096D00" w:rsidRPr="00444D8F">
        <w:t>le egale</w:t>
      </w:r>
      <w:r w:rsidRPr="00444D8F">
        <w:t xml:space="preserve">, dar, contribuie </w:t>
      </w:r>
      <w:r w:rsidR="00096D00" w:rsidRPr="00444D8F">
        <w:t xml:space="preserve">şi </w:t>
      </w:r>
      <w:r w:rsidRPr="00444D8F">
        <w:t>la redistribuire. Mai mult decât atât, solu</w:t>
      </w:r>
      <w:r w:rsidR="000F093A" w:rsidRPr="00444D8F">
        <w:t>ţ</w:t>
      </w:r>
      <w:r w:rsidRPr="00444D8F">
        <w:t>iile oferite de statul social ar trebui să îndeplinească standarde rezonabile acce</w:t>
      </w:r>
      <w:r w:rsidR="007D3AD3" w:rsidRPr="00444D8F">
        <w:t>sibile majorităţii</w:t>
      </w:r>
      <w:r w:rsidRPr="00444D8F">
        <w:t xml:space="preserve">, </w:t>
      </w:r>
      <w:r w:rsidR="000F093A" w:rsidRPr="00444D8F">
        <w:t>ş</w:t>
      </w:r>
      <w:r w:rsidRPr="00444D8F">
        <w:t xml:space="preserve">i </w:t>
      </w:r>
      <w:r w:rsidR="00096D00" w:rsidRPr="00444D8F">
        <w:t xml:space="preserve">să </w:t>
      </w:r>
      <w:r w:rsidR="007D3AD3" w:rsidRPr="00444D8F">
        <w:t xml:space="preserve">nu </w:t>
      </w:r>
      <w:r w:rsidR="00096D00" w:rsidRPr="00444D8F">
        <w:t xml:space="preserve">fie doar </w:t>
      </w:r>
      <w:r w:rsidRPr="00444D8F">
        <w:t>un standard mai scăzut</w:t>
      </w:r>
      <w:r w:rsidR="00D655FF" w:rsidRPr="00444D8F">
        <w:t>,</w:t>
      </w:r>
      <w:r w:rsidRPr="00444D8F">
        <w:t xml:space="preserve"> acceptabil pentru cei care nu î</w:t>
      </w:r>
      <w:r w:rsidR="000F093A" w:rsidRPr="00444D8F">
        <w:t>ş</w:t>
      </w:r>
      <w:r w:rsidRPr="00444D8F">
        <w:t>i pot permite solu</w:t>
      </w:r>
      <w:r w:rsidR="000F093A" w:rsidRPr="00444D8F">
        <w:t>ţ</w:t>
      </w:r>
      <w:r w:rsidRPr="00444D8F">
        <w:t>ii private de calitate</w:t>
      </w:r>
      <w:r w:rsidR="00096D00" w:rsidRPr="00444D8F">
        <w:t xml:space="preserve"> mai bună</w:t>
      </w:r>
      <w:r w:rsidRPr="00444D8F">
        <w:t>.</w:t>
      </w:r>
      <w:r w:rsidR="00586B6F" w:rsidRPr="00444D8F">
        <w:t xml:space="preserve"> </w:t>
      </w:r>
    </w:p>
    <w:p w:rsidR="00FF774A" w:rsidRPr="00444D8F" w:rsidRDefault="00D655FF" w:rsidP="009D1756">
      <w:pPr>
        <w:jc w:val="both"/>
      </w:pPr>
      <w:r w:rsidRPr="00444D8F">
        <w:t>F</w:t>
      </w:r>
      <w:r w:rsidR="007C1678" w:rsidRPr="00444D8F">
        <w:t xml:space="preserve">urnizarea </w:t>
      </w:r>
      <w:r w:rsidRPr="00444D8F">
        <w:t xml:space="preserve">amplă </w:t>
      </w:r>
      <w:r w:rsidR="007C1678" w:rsidRPr="00444D8F">
        <w:t>de servicii de asisten</w:t>
      </w:r>
      <w:r w:rsidR="000F093A" w:rsidRPr="00444D8F">
        <w:t>ţ</w:t>
      </w:r>
      <w:r w:rsidR="007C1678" w:rsidRPr="00444D8F">
        <w:t>ă socială ridică diverse provocări. Serviciile pot fi expuse atât bo</w:t>
      </w:r>
      <w:r w:rsidR="00483C45" w:rsidRPr="00444D8F">
        <w:t>lii costurilor/</w:t>
      </w:r>
      <w:r w:rsidRPr="00444D8F">
        <w:t xml:space="preserve">Legea lui </w:t>
      </w:r>
      <w:r w:rsidR="007C1678" w:rsidRPr="00444D8F">
        <w:t xml:space="preserve">Baumol </w:t>
      </w:r>
      <w:r w:rsidRPr="00444D8F">
        <w:t>(</w:t>
      </w:r>
      <w:r w:rsidR="007C1678" w:rsidRPr="00444D8F">
        <w:t>cre</w:t>
      </w:r>
      <w:r w:rsidRPr="00444D8F">
        <w:t>ş</w:t>
      </w:r>
      <w:r w:rsidR="007C1678" w:rsidRPr="00444D8F">
        <w:t>tere</w:t>
      </w:r>
      <w:r w:rsidRPr="00444D8F">
        <w:t>a</w:t>
      </w:r>
      <w:r w:rsidR="007C1678" w:rsidRPr="00444D8F">
        <w:t xml:space="preserve"> </w:t>
      </w:r>
      <w:r w:rsidRPr="00444D8F">
        <w:t xml:space="preserve">scăzută </w:t>
      </w:r>
      <w:r w:rsidR="007C1678" w:rsidRPr="00444D8F">
        <w:t>a productivită</w:t>
      </w:r>
      <w:r w:rsidR="000F093A" w:rsidRPr="00444D8F">
        <w:t>ţ</w:t>
      </w:r>
      <w:r w:rsidR="007C1678" w:rsidRPr="00444D8F">
        <w:t xml:space="preserve">ii) </w:t>
      </w:r>
      <w:r w:rsidR="00586B6F" w:rsidRPr="00444D8F">
        <w:t xml:space="preserve">cât </w:t>
      </w:r>
      <w:r w:rsidR="000F093A" w:rsidRPr="00444D8F">
        <w:t>ş</w:t>
      </w:r>
      <w:r w:rsidR="007C1678" w:rsidRPr="00444D8F">
        <w:t>i efectul</w:t>
      </w:r>
      <w:r w:rsidR="00586B6F" w:rsidRPr="00444D8F">
        <w:t>ui</w:t>
      </w:r>
      <w:r w:rsidR="007C1678" w:rsidRPr="00444D8F">
        <w:t xml:space="preserve"> Wagner (elasticitatea venitului ridicat al cererii), ceea ce creează un val de cheltuieli. Acest lucru este </w:t>
      </w:r>
      <w:r w:rsidR="007D3AD3" w:rsidRPr="00444D8F">
        <w:t xml:space="preserve">evidenţiat </w:t>
      </w:r>
      <w:r w:rsidR="007C1678" w:rsidRPr="00444D8F">
        <w:t>în domeniul sănătă</w:t>
      </w:r>
      <w:r w:rsidR="000F093A" w:rsidRPr="00444D8F">
        <w:t>ţ</w:t>
      </w:r>
      <w:r w:rsidR="007C1678" w:rsidRPr="00444D8F">
        <w:t xml:space="preserve">ii. </w:t>
      </w:r>
      <w:r w:rsidRPr="00444D8F">
        <w:t>Ş</w:t>
      </w:r>
      <w:r w:rsidR="007C1678" w:rsidRPr="00444D8F">
        <w:t>tiin</w:t>
      </w:r>
      <w:r w:rsidR="000F093A" w:rsidRPr="00444D8F">
        <w:t>ţ</w:t>
      </w:r>
      <w:r w:rsidR="007C1678" w:rsidRPr="00444D8F">
        <w:t>ele vie</w:t>
      </w:r>
      <w:r w:rsidR="000F093A" w:rsidRPr="00444D8F">
        <w:t>ţ</w:t>
      </w:r>
      <w:r w:rsidR="007C1678" w:rsidRPr="00444D8F">
        <w:t>ii fac progrese</w:t>
      </w:r>
      <w:r w:rsidRPr="00444D8F">
        <w:t xml:space="preserve"> continue</w:t>
      </w:r>
      <w:r w:rsidR="007C1678" w:rsidRPr="00444D8F">
        <w:t>, oferind tratament</w:t>
      </w:r>
      <w:r w:rsidRPr="00444D8F">
        <w:t xml:space="preserve">e </w:t>
      </w:r>
      <w:r w:rsidR="00586B6F" w:rsidRPr="00444D8F">
        <w:t>noi,</w:t>
      </w:r>
      <w:r w:rsidRPr="00444D8F">
        <w:t xml:space="preserve"> mai eficiente</w:t>
      </w:r>
      <w:r w:rsidR="007C1678" w:rsidRPr="00444D8F">
        <w:t xml:space="preserve">, dar acest lucru se traduce imediat într-o presiune de cheltuieli asupra cheltuielilor publice </w:t>
      </w:r>
      <w:r w:rsidR="00586B6F" w:rsidRPr="00444D8F">
        <w:t xml:space="preserve">pentru </w:t>
      </w:r>
      <w:r w:rsidR="007C1678" w:rsidRPr="00444D8F">
        <w:t>sănătate.</w:t>
      </w:r>
    </w:p>
    <w:p w:rsidR="007C1678" w:rsidRPr="00444D8F" w:rsidRDefault="00B7555F" w:rsidP="009D1756">
      <w:pPr>
        <w:jc w:val="both"/>
      </w:pPr>
      <w:r w:rsidRPr="00444D8F">
        <w:t>Există un consens larg în tot spectrul politic în ceea ce priveşte i</w:t>
      </w:r>
      <w:r w:rsidR="007C1678" w:rsidRPr="00444D8F">
        <w:t>mportan</w:t>
      </w:r>
      <w:r w:rsidRPr="00444D8F">
        <w:t>ţ</w:t>
      </w:r>
      <w:r w:rsidR="007C1678" w:rsidRPr="00444D8F">
        <w:t>a zonei de sănătate</w:t>
      </w:r>
      <w:r w:rsidRPr="00444D8F">
        <w:t xml:space="preserve"> şi necesitatea creşterii cheltuielilor pentru sănătate </w:t>
      </w:r>
      <w:r w:rsidR="007C1678" w:rsidRPr="00444D8F">
        <w:t>indiferent de opinii</w:t>
      </w:r>
      <w:r w:rsidRPr="00444D8F">
        <w:t xml:space="preserve">le privind dimensiunea </w:t>
      </w:r>
      <w:r w:rsidR="007C1678" w:rsidRPr="00444D8F">
        <w:t>sectorului public. După cum s</w:t>
      </w:r>
      <w:r w:rsidRPr="00444D8F">
        <w:t>-</w:t>
      </w:r>
      <w:r w:rsidR="007C1678" w:rsidRPr="00444D8F">
        <w:t>a men</w:t>
      </w:r>
      <w:r w:rsidR="000F093A" w:rsidRPr="00444D8F">
        <w:t>ţ</w:t>
      </w:r>
      <w:r w:rsidR="007C1678" w:rsidRPr="00444D8F">
        <w:t>ionat mai sus, obiectivele fiscale pentru cre</w:t>
      </w:r>
      <w:r w:rsidR="000F093A" w:rsidRPr="00444D8F">
        <w:t>ş</w:t>
      </w:r>
      <w:r w:rsidR="007C1678" w:rsidRPr="00444D8F">
        <w:t>terea cheltuielilor la începutul anilor 2000 au fost încălcate</w:t>
      </w:r>
      <w:r w:rsidR="00E974A7" w:rsidRPr="00444D8F">
        <w:t>,</w:t>
      </w:r>
      <w:r w:rsidR="007C1678" w:rsidRPr="00444D8F">
        <w:t xml:space="preserve"> în primul rând din cauza </w:t>
      </w:r>
      <w:r w:rsidRPr="00444D8F">
        <w:t xml:space="preserve">unei majorări </w:t>
      </w:r>
      <w:r w:rsidR="007C1678" w:rsidRPr="00444D8F">
        <w:t>a cheltuielilor publice în domeniul sănătă</w:t>
      </w:r>
      <w:r w:rsidR="000F093A" w:rsidRPr="00444D8F">
        <w:t>ţ</w:t>
      </w:r>
      <w:r w:rsidR="007C1678" w:rsidRPr="00444D8F">
        <w:t>ii.</w:t>
      </w:r>
    </w:p>
    <w:p w:rsidR="00FF774A" w:rsidRPr="00444D8F" w:rsidRDefault="007C1678" w:rsidP="009D1756">
      <w:pPr>
        <w:jc w:val="both"/>
      </w:pPr>
      <w:r w:rsidRPr="00444D8F">
        <w:t>Educa</w:t>
      </w:r>
      <w:r w:rsidR="000F093A" w:rsidRPr="00444D8F">
        <w:t>ţ</w:t>
      </w:r>
      <w:r w:rsidRPr="00444D8F">
        <w:t>ia este subiect de dezbater</w:t>
      </w:r>
      <w:r w:rsidR="004E6F8E" w:rsidRPr="00444D8F">
        <w:t xml:space="preserve">i aprinse </w:t>
      </w:r>
      <w:r w:rsidRPr="00444D8F">
        <w:t xml:space="preserve">în Danemarca, </w:t>
      </w:r>
      <w:r w:rsidR="004E6F8E" w:rsidRPr="00444D8F">
        <w:t xml:space="preserve">ţară </w:t>
      </w:r>
      <w:r w:rsidRPr="00444D8F">
        <w:t xml:space="preserve">care are cele mai mari cheltuieli </w:t>
      </w:r>
      <w:r w:rsidR="004E6F8E" w:rsidRPr="00444D8F">
        <w:t xml:space="preserve">pentru </w:t>
      </w:r>
      <w:r w:rsidRPr="00444D8F">
        <w:t>învă</w:t>
      </w:r>
      <w:r w:rsidR="000F093A" w:rsidRPr="00444D8F">
        <w:t>ţ</w:t>
      </w:r>
      <w:r w:rsidRPr="00444D8F">
        <w:t>ământ</w:t>
      </w:r>
      <w:r w:rsidR="004E6F8E" w:rsidRPr="00444D8F">
        <w:t>ul</w:t>
      </w:r>
      <w:r w:rsidRPr="00444D8F">
        <w:t xml:space="preserve"> public ca pondere din PIB între toate </w:t>
      </w:r>
      <w:r w:rsidR="000F093A" w:rsidRPr="00444D8F">
        <w:t>ţ</w:t>
      </w:r>
      <w:r w:rsidRPr="00444D8F">
        <w:t>ările OECD. Cu toate acestea, rezultatele educa</w:t>
      </w:r>
      <w:r w:rsidR="000F093A" w:rsidRPr="00444D8F">
        <w:t>ţ</w:t>
      </w:r>
      <w:r w:rsidRPr="00444D8F">
        <w:t xml:space="preserve">ionale sunt mediocre, </w:t>
      </w:r>
      <w:r w:rsidR="00586B6F" w:rsidRPr="00444D8F">
        <w:t xml:space="preserve">existând discuţii </w:t>
      </w:r>
      <w:r w:rsidR="004E6F8E" w:rsidRPr="00444D8F">
        <w:t xml:space="preserve">controversate privind </w:t>
      </w:r>
      <w:r w:rsidRPr="00444D8F">
        <w:t>realizăril</w:t>
      </w:r>
      <w:r w:rsidR="004E6F8E" w:rsidRPr="00444D8F">
        <w:t>e</w:t>
      </w:r>
      <w:r w:rsidRPr="00444D8F">
        <w:t xml:space="preserve"> sistemului educa</w:t>
      </w:r>
      <w:r w:rsidR="000F093A" w:rsidRPr="00444D8F">
        <w:t>ţ</w:t>
      </w:r>
      <w:r w:rsidR="004E6F8E" w:rsidRPr="00444D8F">
        <w:t xml:space="preserve">ional, </w:t>
      </w:r>
      <w:r w:rsidRPr="00444D8F">
        <w:t xml:space="preserve">atât </w:t>
      </w:r>
      <w:r w:rsidR="004E6F8E" w:rsidRPr="00444D8F">
        <w:t xml:space="preserve">din punct de vedere </w:t>
      </w:r>
      <w:r w:rsidRPr="00444D8F">
        <w:t xml:space="preserve">calitativ cât </w:t>
      </w:r>
      <w:r w:rsidR="000F093A" w:rsidRPr="00444D8F">
        <w:t>ş</w:t>
      </w:r>
      <w:r w:rsidRPr="00444D8F">
        <w:t>i cantitativ; vezi, de exemplu</w:t>
      </w:r>
      <w:r w:rsidR="004E6F8E" w:rsidRPr="00444D8F">
        <w:t>,</w:t>
      </w:r>
      <w:r w:rsidRPr="00444D8F">
        <w:t xml:space="preserve"> Bogetoft </w:t>
      </w:r>
      <w:r w:rsidR="000F093A" w:rsidRPr="00444D8F">
        <w:t>ş</w:t>
      </w:r>
      <w:r w:rsidR="004E6F8E" w:rsidRPr="00444D8F">
        <w:t xml:space="preserve">i colab </w:t>
      </w:r>
      <w:r w:rsidRPr="00444D8F">
        <w:t xml:space="preserve">(2015). </w:t>
      </w:r>
      <w:r w:rsidR="004E6F8E" w:rsidRPr="00444D8F">
        <w:t>În ceea ce priveşte calitatea</w:t>
      </w:r>
      <w:r w:rsidRPr="00444D8F">
        <w:t xml:space="preserve">, Danemarca nu </w:t>
      </w:r>
      <w:r w:rsidR="004E6F8E" w:rsidRPr="00444D8F">
        <w:t>a înregistrat rezultate semnificative la</w:t>
      </w:r>
      <w:r w:rsidRPr="00444D8F">
        <w:t xml:space="preserve"> testele P</w:t>
      </w:r>
      <w:r w:rsidR="004E6F8E" w:rsidRPr="00444D8F">
        <w:t>ISA</w:t>
      </w:r>
      <w:r w:rsidRPr="00444D8F">
        <w:t xml:space="preserve">, de exemplu. </w:t>
      </w:r>
      <w:r w:rsidR="004E6F8E" w:rsidRPr="00444D8F">
        <w:t>În privinţa cantităţii</w:t>
      </w:r>
      <w:r w:rsidRPr="00444D8F">
        <w:t xml:space="preserve">, </w:t>
      </w:r>
      <w:r w:rsidR="004E6F8E" w:rsidRPr="00444D8F">
        <w:t xml:space="preserve">doar aproximativ </w:t>
      </w:r>
      <w:r w:rsidRPr="00444D8F">
        <w:t xml:space="preserve">1/5 dintr-un grup </w:t>
      </w:r>
      <w:r w:rsidR="004E6F8E" w:rsidRPr="00444D8F">
        <w:t xml:space="preserve">nu </w:t>
      </w:r>
      <w:r w:rsidR="00586B6F" w:rsidRPr="00444D8F">
        <w:t xml:space="preserve">este cuprinsă în </w:t>
      </w:r>
      <w:r w:rsidRPr="00444D8F">
        <w:t>nici</w:t>
      </w:r>
      <w:r w:rsidR="00586B6F" w:rsidRPr="00444D8F">
        <w:t xml:space="preserve"> o</w:t>
      </w:r>
      <w:r w:rsidRPr="00444D8F">
        <w:t xml:space="preserve"> </w:t>
      </w:r>
      <w:r w:rsidR="00586B6F" w:rsidRPr="00444D8F">
        <w:t xml:space="preserve">formă de </w:t>
      </w:r>
      <w:r w:rsidRPr="00444D8F">
        <w:t>educa</w:t>
      </w:r>
      <w:r w:rsidR="000F093A" w:rsidRPr="00444D8F">
        <w:t>ţ</w:t>
      </w:r>
      <w:r w:rsidRPr="00444D8F">
        <w:t xml:space="preserve">ie </w:t>
      </w:r>
      <w:r w:rsidR="00E974A7" w:rsidRPr="00444D8F">
        <w:t xml:space="preserve">peste </w:t>
      </w:r>
      <w:r w:rsidRPr="00444D8F">
        <w:t>nivelul de bază (10 ani).</w:t>
      </w:r>
      <w:r w:rsidR="00E974A7" w:rsidRPr="00444D8F">
        <w:t xml:space="preserve"> Dar,</w:t>
      </w:r>
      <w:r w:rsidRPr="00444D8F">
        <w:t xml:space="preserve"> </w:t>
      </w:r>
      <w:r w:rsidR="00E974A7" w:rsidRPr="00444D8F">
        <w:t xml:space="preserve">apare </w:t>
      </w:r>
      <w:r w:rsidR="004E6F8E" w:rsidRPr="00444D8F">
        <w:t xml:space="preserve">şi </w:t>
      </w:r>
      <w:r w:rsidRPr="00444D8F">
        <w:t xml:space="preserve">problema </w:t>
      </w:r>
      <w:r w:rsidR="004E6F8E" w:rsidRPr="00444D8F">
        <w:t>unui nivel de renunţare ridicat</w:t>
      </w:r>
      <w:r w:rsidRPr="00444D8F">
        <w:t xml:space="preserve"> (cei mai mul</w:t>
      </w:r>
      <w:r w:rsidR="000F093A" w:rsidRPr="00444D8F">
        <w:t>ţ</w:t>
      </w:r>
      <w:r w:rsidRPr="00444D8F">
        <w:t>i tineri se angaje</w:t>
      </w:r>
      <w:r w:rsidR="004E6F8E" w:rsidRPr="00444D8F">
        <w:t>ază în</w:t>
      </w:r>
      <w:r w:rsidRPr="00444D8F">
        <w:t xml:space="preserve"> învă</w:t>
      </w:r>
      <w:r w:rsidR="000F093A" w:rsidRPr="00444D8F">
        <w:t>ţ</w:t>
      </w:r>
      <w:r w:rsidRPr="00444D8F">
        <w:t xml:space="preserve">ământul superior, dar ratele de abandon sunt ridicate) </w:t>
      </w:r>
      <w:r w:rsidR="000F093A" w:rsidRPr="00444D8F">
        <w:t>ş</w:t>
      </w:r>
      <w:r w:rsidRPr="00444D8F">
        <w:t xml:space="preserve">i ratele de finalizare scăzute. O altă problemă este alegerea </w:t>
      </w:r>
      <w:r w:rsidR="00A024C4" w:rsidRPr="00444D8F">
        <w:t>disciplinei</w:t>
      </w:r>
      <w:r w:rsidRPr="00444D8F">
        <w:t xml:space="preserve">, precum </w:t>
      </w:r>
      <w:r w:rsidR="000F093A" w:rsidRPr="00444D8F">
        <w:t>ş</w:t>
      </w:r>
      <w:r w:rsidRPr="00444D8F">
        <w:t xml:space="preserve">i </w:t>
      </w:r>
      <w:r w:rsidR="00E974A7" w:rsidRPr="00444D8F">
        <w:t xml:space="preserve">faptul </w:t>
      </w:r>
      <w:r w:rsidRPr="00444D8F">
        <w:t>că valoarea de consum a educa</w:t>
      </w:r>
      <w:r w:rsidR="000F093A" w:rsidRPr="00444D8F">
        <w:t>ţ</w:t>
      </w:r>
      <w:r w:rsidRPr="00444D8F">
        <w:t xml:space="preserve">iei </w:t>
      </w:r>
      <w:r w:rsidR="00E974A7" w:rsidRPr="00444D8F">
        <w:t xml:space="preserve">excede </w:t>
      </w:r>
      <w:r w:rsidRPr="00444D8F">
        <w:t>valoarea investi</w:t>
      </w:r>
      <w:r w:rsidR="000F093A" w:rsidRPr="00444D8F">
        <w:t>ţ</w:t>
      </w:r>
      <w:r w:rsidRPr="00444D8F">
        <w:t>iei (relevan</w:t>
      </w:r>
      <w:r w:rsidR="000F093A" w:rsidRPr="00444D8F">
        <w:t>ţ</w:t>
      </w:r>
      <w:r w:rsidRPr="00444D8F">
        <w:t>a pentru pia</w:t>
      </w:r>
      <w:r w:rsidR="000F093A" w:rsidRPr="00444D8F">
        <w:t>ţ</w:t>
      </w:r>
      <w:r w:rsidRPr="00444D8F">
        <w:t xml:space="preserve">a muncii), </w:t>
      </w:r>
      <w:r w:rsidR="00E974A7" w:rsidRPr="00444D8F">
        <w:t xml:space="preserve">având în vedere </w:t>
      </w:r>
      <w:r w:rsidRPr="00444D8F">
        <w:t>că educa</w:t>
      </w:r>
      <w:r w:rsidR="000F093A" w:rsidRPr="00444D8F">
        <w:t>ţ</w:t>
      </w:r>
      <w:r w:rsidRPr="00444D8F">
        <w:t>ia este finan</w:t>
      </w:r>
      <w:r w:rsidR="000F093A" w:rsidRPr="00444D8F">
        <w:t>ţ</w:t>
      </w:r>
      <w:r w:rsidRPr="00444D8F">
        <w:t>ată public i</w:t>
      </w:r>
      <w:r w:rsidR="00A024C4" w:rsidRPr="00444D8F">
        <w:t>ar</w:t>
      </w:r>
      <w:r w:rsidRPr="00444D8F">
        <w:t xml:space="preserve"> burse</w:t>
      </w:r>
      <w:r w:rsidR="00A024C4" w:rsidRPr="00444D8F">
        <w:t>le</w:t>
      </w:r>
      <w:r w:rsidRPr="00444D8F">
        <w:t xml:space="preserve"> de studi</w:t>
      </w:r>
      <w:r w:rsidR="00A024C4" w:rsidRPr="00444D8F">
        <w:t>u</w:t>
      </w:r>
      <w:r w:rsidRPr="00444D8F">
        <w:t xml:space="preserve"> sunt relativ generoase.</w:t>
      </w:r>
    </w:p>
    <w:p w:rsidR="007C1678" w:rsidRPr="00444D8F" w:rsidRDefault="007C1678" w:rsidP="009D1756">
      <w:pPr>
        <w:jc w:val="both"/>
      </w:pPr>
      <w:r w:rsidRPr="00444D8F">
        <w:t>Toate nivelurile sistemului de învă</w:t>
      </w:r>
      <w:r w:rsidR="000F093A" w:rsidRPr="00444D8F">
        <w:t>ţ</w:t>
      </w:r>
      <w:r w:rsidRPr="00444D8F">
        <w:t>ământ sunt în curs de reform</w:t>
      </w:r>
      <w:r w:rsidR="00A024C4" w:rsidRPr="00444D8F">
        <w:t>are</w:t>
      </w:r>
      <w:r w:rsidRPr="00444D8F">
        <w:t xml:space="preserve"> pentru a </w:t>
      </w:r>
      <w:r w:rsidR="00E974A7" w:rsidRPr="00444D8F">
        <w:t xml:space="preserve">surmonta </w:t>
      </w:r>
      <w:r w:rsidRPr="00444D8F">
        <w:t xml:space="preserve">aceste provocări. Unele dintre aceste reforme sunt încă în curs de </w:t>
      </w:r>
      <w:r w:rsidR="00877347" w:rsidRPr="00444D8F">
        <w:t>elaborare</w:t>
      </w:r>
      <w:r w:rsidRPr="00444D8F">
        <w:t xml:space="preserve">, iar altele sunt în faza de implementare, ceea ce înseamnă că este încă prea devreme pentru a </w:t>
      </w:r>
      <w:r w:rsidR="00E974A7" w:rsidRPr="00444D8F">
        <w:t xml:space="preserve">se </w:t>
      </w:r>
      <w:r w:rsidR="00A024C4" w:rsidRPr="00444D8F">
        <w:t>evalua</w:t>
      </w:r>
      <w:r w:rsidRPr="00444D8F">
        <w:t xml:space="preserve"> succesul lor.</w:t>
      </w:r>
    </w:p>
    <w:p w:rsidR="00986AE1" w:rsidRPr="00444D8F" w:rsidRDefault="007C1678" w:rsidP="009D1756">
      <w:pPr>
        <w:jc w:val="both"/>
      </w:pPr>
      <w:r w:rsidRPr="00444D8F">
        <w:lastRenderedPageBreak/>
        <w:t xml:space="preserve">Nivelul </w:t>
      </w:r>
      <w:r w:rsidR="00A024C4" w:rsidRPr="00444D8F">
        <w:t xml:space="preserve">ridicat </w:t>
      </w:r>
      <w:r w:rsidRPr="00444D8F">
        <w:t>al consumului public (</w:t>
      </w:r>
      <w:r w:rsidR="000F093A" w:rsidRPr="00444D8F">
        <w:t>ş</w:t>
      </w:r>
      <w:r w:rsidRPr="00444D8F">
        <w:t>i</w:t>
      </w:r>
      <w:r w:rsidR="00877347" w:rsidRPr="00444D8F">
        <w:t xml:space="preserve">, prin urmare, </w:t>
      </w:r>
      <w:r w:rsidRPr="00444D8F">
        <w:t xml:space="preserve">nivelul </w:t>
      </w:r>
      <w:r w:rsidR="00A024C4" w:rsidRPr="00444D8F">
        <w:t xml:space="preserve">public de ocupare </w:t>
      </w:r>
      <w:r w:rsidRPr="00444D8F">
        <w:t xml:space="preserve">ridicat) </w:t>
      </w:r>
      <w:r w:rsidR="00E974A7" w:rsidRPr="00444D8F">
        <w:t xml:space="preserve">ridică </w:t>
      </w:r>
      <w:r w:rsidRPr="00444D8F">
        <w:t xml:space="preserve">întrebări importante </w:t>
      </w:r>
      <w:r w:rsidR="00A024C4" w:rsidRPr="00444D8F">
        <w:t xml:space="preserve">privind </w:t>
      </w:r>
      <w:r w:rsidRPr="00444D8F">
        <w:t>productivit</w:t>
      </w:r>
      <w:r w:rsidR="00A024C4" w:rsidRPr="00444D8F">
        <w:t xml:space="preserve">atea şi </w:t>
      </w:r>
      <w:r w:rsidRPr="00444D8F">
        <w:t>eficien</w:t>
      </w:r>
      <w:r w:rsidR="000F093A" w:rsidRPr="00444D8F">
        <w:t>ţ</w:t>
      </w:r>
      <w:r w:rsidR="00A024C4" w:rsidRPr="00444D8F">
        <w:t>a</w:t>
      </w:r>
      <w:r w:rsidRPr="00444D8F">
        <w:t xml:space="preserve"> în sectorul public.</w:t>
      </w:r>
      <w:r w:rsidR="00A77498" w:rsidRPr="00444D8F">
        <w:rPr>
          <w:vertAlign w:val="superscript"/>
        </w:rPr>
        <w:t xml:space="preserve"> </w:t>
      </w:r>
      <w:r w:rsidR="00A77498" w:rsidRPr="00444D8F">
        <w:rPr>
          <w:rStyle w:val="FootnoteReference"/>
        </w:rPr>
        <w:footnoteReference w:id="27"/>
      </w:r>
      <w:r w:rsidR="00E974A7" w:rsidRPr="00444D8F">
        <w:rPr>
          <w:vertAlign w:val="superscript"/>
        </w:rPr>
        <w:t xml:space="preserve"> </w:t>
      </w:r>
      <w:r w:rsidRPr="00444D8F">
        <w:t>Aceste probleme nu sunt noi, dar au fost aduse în prim-plan prin discutarea durabilită</w:t>
      </w:r>
      <w:r w:rsidR="000F093A" w:rsidRPr="00444D8F">
        <w:t>ţ</w:t>
      </w:r>
      <w:r w:rsidRPr="00444D8F">
        <w:t>ii financiare a modelului de bunăstare</w:t>
      </w:r>
      <w:r w:rsidR="00A024C4" w:rsidRPr="00444D8F">
        <w:t xml:space="preserve"> socială</w:t>
      </w:r>
      <w:r w:rsidRPr="00444D8F">
        <w:t>. În timp ce reformele implică faptul că sunt îndeplinite cerin</w:t>
      </w:r>
      <w:r w:rsidR="000F093A" w:rsidRPr="00444D8F">
        <w:t>ţ</w:t>
      </w:r>
      <w:r w:rsidRPr="00444D8F">
        <w:t xml:space="preserve">ele privind sustenabilitatea fiscală, </w:t>
      </w:r>
      <w:r w:rsidR="00A024C4" w:rsidRPr="00444D8F">
        <w:t>prin acest</w:t>
      </w:r>
      <w:r w:rsidR="00E974A7" w:rsidRPr="00444D8F">
        <w:t>e</w:t>
      </w:r>
      <w:r w:rsidR="00A024C4" w:rsidRPr="00444D8F">
        <w:t xml:space="preserve">a </w:t>
      </w:r>
      <w:r w:rsidR="00F343F0" w:rsidRPr="00444D8F">
        <w:t>este posibil</w:t>
      </w:r>
      <w:r w:rsidR="00F343F0" w:rsidRPr="00444D8F">
        <w:rPr>
          <w:lang w:val="ro-RO"/>
        </w:rPr>
        <w:t xml:space="preserve">ă </w:t>
      </w:r>
      <w:r w:rsidR="00A024C4" w:rsidRPr="00444D8F">
        <w:t xml:space="preserve">doar </w:t>
      </w:r>
      <w:r w:rsidRPr="00444D8F">
        <w:t>finan</w:t>
      </w:r>
      <w:r w:rsidR="000F093A" w:rsidRPr="00444D8F">
        <w:t>ţ</w:t>
      </w:r>
      <w:r w:rsidR="00F343F0" w:rsidRPr="00444D8F">
        <w:t>area</w:t>
      </w:r>
      <w:r w:rsidRPr="00444D8F">
        <w:t xml:space="preserve"> standardelor actuale. </w:t>
      </w:r>
      <w:r w:rsidR="00A024C4" w:rsidRPr="00444D8F">
        <w:t>Trebuie găsit</w:t>
      </w:r>
      <w:r w:rsidR="00F343F0" w:rsidRPr="00444D8F">
        <w:t xml:space="preserve">e mijloace </w:t>
      </w:r>
      <w:r w:rsidRPr="00444D8F">
        <w:t>financiar</w:t>
      </w:r>
      <w:r w:rsidR="00F343F0" w:rsidRPr="00444D8F">
        <w:t>e</w:t>
      </w:r>
      <w:r w:rsidRPr="00444D8F">
        <w:t xml:space="preserve"> </w:t>
      </w:r>
      <w:r w:rsidR="00F343F0" w:rsidRPr="00444D8F">
        <w:t xml:space="preserve">de </w:t>
      </w:r>
      <w:r w:rsidRPr="00444D8F">
        <w:t>îmbunătă</w:t>
      </w:r>
      <w:r w:rsidR="000F093A" w:rsidRPr="00444D8F">
        <w:t>ţ</w:t>
      </w:r>
      <w:r w:rsidRPr="00444D8F">
        <w:t>ir</w:t>
      </w:r>
      <w:r w:rsidR="00F343F0" w:rsidRPr="00444D8F">
        <w:t>e</w:t>
      </w:r>
      <w:r w:rsidRPr="00444D8F">
        <w:t xml:space="preserve"> </w:t>
      </w:r>
      <w:r w:rsidR="00A024C4" w:rsidRPr="00444D8F">
        <w:t xml:space="preserve">pentru </w:t>
      </w:r>
      <w:r w:rsidR="00F343F0" w:rsidRPr="00444D8F">
        <w:t>îndeplinirea acestor cerinţe.</w:t>
      </w:r>
      <w:r w:rsidRPr="00444D8F">
        <w:t xml:space="preserve"> Din moment ce reformele au </w:t>
      </w:r>
      <w:r w:rsidR="00F343F0" w:rsidRPr="00444D8F">
        <w:t xml:space="preserve">parcurs deja </w:t>
      </w:r>
      <w:r w:rsidRPr="00444D8F">
        <w:t xml:space="preserve">cele mai multe </w:t>
      </w:r>
      <w:r w:rsidR="00F343F0" w:rsidRPr="00444D8F">
        <w:t xml:space="preserve">căi </w:t>
      </w:r>
      <w:r w:rsidRPr="00444D8F">
        <w:t xml:space="preserve">prin care oferta de muncă </w:t>
      </w:r>
      <w:r w:rsidR="000F093A" w:rsidRPr="00444D8F">
        <w:t>ş</w:t>
      </w:r>
      <w:r w:rsidRPr="00444D8F">
        <w:t xml:space="preserve">i ocuparea pot fi sporite, necesitatea </w:t>
      </w:r>
      <w:r w:rsidR="00F343F0" w:rsidRPr="00444D8F">
        <w:t xml:space="preserve">de a </w:t>
      </w:r>
      <w:r w:rsidRPr="00444D8F">
        <w:t>priorit</w:t>
      </w:r>
      <w:r w:rsidR="00F343F0" w:rsidRPr="00444D8F">
        <w:t>iza va fi mai evidentă în viitor</w:t>
      </w:r>
      <w:r w:rsidRPr="00444D8F">
        <w:t>. Presiunile pentru cre</w:t>
      </w:r>
      <w:r w:rsidR="000F093A" w:rsidRPr="00444D8F">
        <w:t>ş</w:t>
      </w:r>
      <w:r w:rsidRPr="00444D8F">
        <w:t>te</w:t>
      </w:r>
      <w:r w:rsidR="00F343F0" w:rsidRPr="00444D8F">
        <w:t>rea</w:t>
      </w:r>
      <w:r w:rsidRPr="00444D8F">
        <w:t xml:space="preserve"> cheltuielil</w:t>
      </w:r>
      <w:r w:rsidR="00F343F0" w:rsidRPr="00444D8F">
        <w:t>or</w:t>
      </w:r>
      <w:r w:rsidRPr="00444D8F">
        <w:t xml:space="preserve"> în diverse domenii necesită finan</w:t>
      </w:r>
      <w:r w:rsidR="000F093A" w:rsidRPr="00444D8F">
        <w:t>ţ</w:t>
      </w:r>
      <w:r w:rsidRPr="00444D8F">
        <w:t>are prin cre</w:t>
      </w:r>
      <w:r w:rsidR="000F093A" w:rsidRPr="00444D8F">
        <w:t>ş</w:t>
      </w:r>
      <w:r w:rsidRPr="00444D8F">
        <w:t>terea taxelor, reduceri</w:t>
      </w:r>
      <w:r w:rsidR="00E974A7" w:rsidRPr="00444D8F">
        <w:t>le din  alte domenii</w:t>
      </w:r>
      <w:r w:rsidRPr="00444D8F">
        <w:t xml:space="preserve"> sau îmbunătă</w:t>
      </w:r>
      <w:r w:rsidR="000F093A" w:rsidRPr="00444D8F">
        <w:t>ţ</w:t>
      </w:r>
      <w:r w:rsidRPr="00444D8F">
        <w:t>ir</w:t>
      </w:r>
      <w:r w:rsidR="00F343F0" w:rsidRPr="00444D8F">
        <w:t>i</w:t>
      </w:r>
      <w:r w:rsidR="00E974A7" w:rsidRPr="00444D8F">
        <w:t>le</w:t>
      </w:r>
      <w:r w:rsidR="00F343F0" w:rsidRPr="00444D8F">
        <w:t xml:space="preserve"> privind </w:t>
      </w:r>
      <w:r w:rsidRPr="00444D8F">
        <w:t>eficien</w:t>
      </w:r>
      <w:r w:rsidR="000F093A" w:rsidRPr="00444D8F">
        <w:t>ţ</w:t>
      </w:r>
      <w:r w:rsidR="00F343F0" w:rsidRPr="00444D8F">
        <w:t>a</w:t>
      </w:r>
      <w:r w:rsidRPr="00444D8F">
        <w:t xml:space="preserve"> </w:t>
      </w:r>
      <w:r w:rsidR="000F093A" w:rsidRPr="00444D8F">
        <w:t>ş</w:t>
      </w:r>
      <w:r w:rsidRPr="00444D8F">
        <w:t>i productivit</w:t>
      </w:r>
      <w:r w:rsidR="00F343F0" w:rsidRPr="00444D8F">
        <w:t>atea</w:t>
      </w:r>
      <w:r w:rsidRPr="00444D8F">
        <w:t>. Ce</w:t>
      </w:r>
      <w:r w:rsidR="00F343F0" w:rsidRPr="00444D8F">
        <w:t xml:space="preserve">i mai mulţi decidenţi politici </w:t>
      </w:r>
      <w:r w:rsidRPr="00444D8F">
        <w:t>se ab</w:t>
      </w:r>
      <w:r w:rsidR="000F093A" w:rsidRPr="00444D8F">
        <w:t>ţ</w:t>
      </w:r>
      <w:r w:rsidRPr="00444D8F">
        <w:t>in de la primele două, accentul trec</w:t>
      </w:r>
      <w:r w:rsidR="00F343F0" w:rsidRPr="00444D8F">
        <w:t>ând, deci,</w:t>
      </w:r>
      <w:r w:rsidRPr="00444D8F">
        <w:t xml:space="preserve"> </w:t>
      </w:r>
      <w:r w:rsidR="00E974A7" w:rsidRPr="00444D8F">
        <w:t xml:space="preserve">pe </w:t>
      </w:r>
      <w:r w:rsidRPr="00444D8F">
        <w:t>eficien</w:t>
      </w:r>
      <w:r w:rsidR="000F093A" w:rsidRPr="00444D8F">
        <w:t>ţ</w:t>
      </w:r>
      <w:r w:rsidRPr="00444D8F">
        <w:t xml:space="preserve">a </w:t>
      </w:r>
      <w:r w:rsidR="000F093A" w:rsidRPr="00444D8F">
        <w:t>ş</w:t>
      </w:r>
      <w:r w:rsidRPr="00444D8F">
        <w:t>i productivitatea în cadrul sectorului public.</w:t>
      </w:r>
    </w:p>
    <w:p w:rsidR="007016F5" w:rsidRPr="00444D8F" w:rsidRDefault="00E974A7" w:rsidP="009D1756">
      <w:pPr>
        <w:jc w:val="both"/>
      </w:pPr>
      <w:r w:rsidRPr="00444D8F">
        <w:t>C</w:t>
      </w:r>
      <w:r w:rsidR="00F343F0" w:rsidRPr="00444D8F">
        <w:t>onsens</w:t>
      </w:r>
      <w:r w:rsidRPr="00444D8F">
        <w:t>ul</w:t>
      </w:r>
      <w:r w:rsidR="008700EC" w:rsidRPr="00444D8F">
        <w:t xml:space="preserve"> </w:t>
      </w:r>
      <w:r w:rsidR="00F343F0" w:rsidRPr="00444D8F">
        <w:t xml:space="preserve">privind </w:t>
      </w:r>
      <w:r w:rsidR="007C1678" w:rsidRPr="00444D8F">
        <w:t>necesit</w:t>
      </w:r>
      <w:r w:rsidR="00F343F0" w:rsidRPr="00444D8F">
        <w:t>atea</w:t>
      </w:r>
      <w:r w:rsidR="007C1678" w:rsidRPr="00444D8F">
        <w:t xml:space="preserve"> </w:t>
      </w:r>
      <w:r w:rsidR="00F343F0" w:rsidRPr="00444D8F">
        <w:t xml:space="preserve">îmbunătăţirii </w:t>
      </w:r>
      <w:r w:rsidR="007C1678" w:rsidRPr="00444D8F">
        <w:t>productivită</w:t>
      </w:r>
      <w:r w:rsidR="000F093A" w:rsidRPr="00444D8F">
        <w:t>ţ</w:t>
      </w:r>
      <w:r w:rsidR="007C1678" w:rsidRPr="00444D8F">
        <w:t xml:space="preserve">ii </w:t>
      </w:r>
      <w:r w:rsidR="000F093A" w:rsidRPr="00444D8F">
        <w:t>ş</w:t>
      </w:r>
      <w:r w:rsidR="007C1678" w:rsidRPr="00444D8F">
        <w:t>i eficien</w:t>
      </w:r>
      <w:r w:rsidR="000F093A" w:rsidRPr="00444D8F">
        <w:t>ţ</w:t>
      </w:r>
      <w:r w:rsidR="007C1678" w:rsidRPr="00444D8F">
        <w:t>ei în sectorul public</w:t>
      </w:r>
      <w:r w:rsidRPr="00444D8F">
        <w:rPr>
          <w:b/>
        </w:rPr>
        <w:t xml:space="preserve"> </w:t>
      </w:r>
      <w:r w:rsidRPr="00444D8F">
        <w:t>se obţine uşor</w:t>
      </w:r>
      <w:r w:rsidR="00961993" w:rsidRPr="00444D8F">
        <w:t>,</w:t>
      </w:r>
      <w:r w:rsidRPr="00444D8F">
        <w:t xml:space="preserve"> mai greu este însă să </w:t>
      </w:r>
      <w:r w:rsidR="00961993" w:rsidRPr="00444D8F">
        <w:t xml:space="preserve">se implementeze </w:t>
      </w:r>
      <w:r w:rsidRPr="00444D8F">
        <w:t>aceste</w:t>
      </w:r>
      <w:r w:rsidRPr="00444D8F">
        <w:rPr>
          <w:b/>
        </w:rPr>
        <w:t xml:space="preserve"> </w:t>
      </w:r>
      <w:r w:rsidR="007C1678" w:rsidRPr="00444D8F">
        <w:t>îmbunătă</w:t>
      </w:r>
      <w:r w:rsidR="000F093A" w:rsidRPr="00444D8F">
        <w:t>ţ</w:t>
      </w:r>
      <w:r w:rsidR="007C1678" w:rsidRPr="00444D8F">
        <w:t>iri. S</w:t>
      </w:r>
      <w:r w:rsidR="00342B3D" w:rsidRPr="00444D8F">
        <w:t xml:space="preserve">e poartă discuţii </w:t>
      </w:r>
      <w:r w:rsidR="00961993" w:rsidRPr="00444D8F">
        <w:t xml:space="preserve">susţinute </w:t>
      </w:r>
      <w:r w:rsidR="007C1678" w:rsidRPr="00444D8F">
        <w:t>cu privire la acest</w:t>
      </w:r>
      <w:r w:rsidR="008700EC" w:rsidRPr="00444D8F">
        <w:t xml:space="preserve"> aspect</w:t>
      </w:r>
      <w:r w:rsidR="007C1678" w:rsidRPr="00444D8F">
        <w:t xml:space="preserve">. </w:t>
      </w:r>
      <w:r w:rsidR="00961993" w:rsidRPr="00444D8F">
        <w:t xml:space="preserve">S-au </w:t>
      </w:r>
      <w:r w:rsidR="00342B3D" w:rsidRPr="00444D8F">
        <w:t xml:space="preserve">formulat </w:t>
      </w:r>
      <w:r w:rsidR="007C1678" w:rsidRPr="00444D8F">
        <w:t xml:space="preserve">obiective </w:t>
      </w:r>
      <w:r w:rsidR="00961993" w:rsidRPr="00444D8F">
        <w:t xml:space="preserve">în mod </w:t>
      </w:r>
      <w:r w:rsidR="007C1678" w:rsidRPr="00444D8F">
        <w:t xml:space="preserve">explicit, dar există probleme </w:t>
      </w:r>
      <w:r w:rsidR="004338DE" w:rsidRPr="00444D8F">
        <w:t xml:space="preserve">evidente </w:t>
      </w:r>
      <w:r w:rsidR="008700EC" w:rsidRPr="00444D8F">
        <w:t>privind evaluare</w:t>
      </w:r>
      <w:r w:rsidR="004338DE" w:rsidRPr="00444D8F">
        <w:t>a îndeplinir</w:t>
      </w:r>
      <w:r w:rsidR="008700EC" w:rsidRPr="00444D8F">
        <w:t>ii</w:t>
      </w:r>
      <w:r w:rsidR="007C1678" w:rsidRPr="00444D8F">
        <w:t xml:space="preserve"> acest</w:t>
      </w:r>
      <w:r w:rsidR="00342B3D" w:rsidRPr="00444D8F">
        <w:t>or</w:t>
      </w:r>
      <w:r w:rsidR="007C1678" w:rsidRPr="00444D8F">
        <w:t xml:space="preserve"> obiective. </w:t>
      </w:r>
      <w:r w:rsidR="00342B3D" w:rsidRPr="00444D8F">
        <w:t xml:space="preserve">Recent s-au adoptat anumite </w:t>
      </w:r>
      <w:r w:rsidR="007C1678" w:rsidRPr="00444D8F">
        <w:t xml:space="preserve">modificări pentru </w:t>
      </w:r>
      <w:r w:rsidR="00961993" w:rsidRPr="00444D8F">
        <w:t xml:space="preserve">ca </w:t>
      </w:r>
      <w:r w:rsidR="00342B3D" w:rsidRPr="00444D8F">
        <w:t xml:space="preserve">sectorul </w:t>
      </w:r>
      <w:r w:rsidR="007C1678" w:rsidRPr="00444D8F">
        <w:t xml:space="preserve">public </w:t>
      </w:r>
      <w:r w:rsidR="00961993" w:rsidRPr="00444D8F">
        <w:t xml:space="preserve">să fie </w:t>
      </w:r>
      <w:r w:rsidR="007C1678" w:rsidRPr="00444D8F">
        <w:t>mai productiv, un exemplu controversat fiind nou</w:t>
      </w:r>
      <w:r w:rsidR="00342B3D" w:rsidRPr="00444D8F">
        <w:t>l</w:t>
      </w:r>
      <w:r w:rsidR="007C1678" w:rsidRPr="00444D8F">
        <w:t xml:space="preserve"> </w:t>
      </w:r>
      <w:r w:rsidR="007C1678" w:rsidRPr="00444D8F">
        <w:rPr>
          <w:i/>
        </w:rPr>
        <w:t>"</w:t>
      </w:r>
      <w:r w:rsidR="007016F5" w:rsidRPr="00444D8F">
        <w:rPr>
          <w:i/>
        </w:rPr>
        <w:t xml:space="preserve">contract </w:t>
      </w:r>
      <w:r w:rsidR="007C1678" w:rsidRPr="00444D8F">
        <w:rPr>
          <w:i/>
        </w:rPr>
        <w:t>de timp</w:t>
      </w:r>
      <w:r w:rsidR="007C1678" w:rsidRPr="00444D8F">
        <w:t xml:space="preserve">" pentru profesori. </w:t>
      </w:r>
      <w:r w:rsidR="00342B3D" w:rsidRPr="00444D8F">
        <w:t xml:space="preserve">Externalizarea </w:t>
      </w:r>
      <w:r w:rsidR="007C1678" w:rsidRPr="00444D8F">
        <w:t>ar putea fi o solu</w:t>
      </w:r>
      <w:r w:rsidR="000F093A" w:rsidRPr="00444D8F">
        <w:t>ţ</w:t>
      </w:r>
      <w:r w:rsidR="007C1678" w:rsidRPr="00444D8F">
        <w:t xml:space="preserve">ie în anumite domenii, dar, în </w:t>
      </w:r>
      <w:r w:rsidR="004338DE" w:rsidRPr="00444D8F">
        <w:t>sens mai larg</w:t>
      </w:r>
      <w:r w:rsidR="007C1678" w:rsidRPr="00444D8F">
        <w:t xml:space="preserve">, este important să existe o structură </w:t>
      </w:r>
      <w:r w:rsidR="004338DE" w:rsidRPr="00444D8F">
        <w:t xml:space="preserve">clară </w:t>
      </w:r>
      <w:r w:rsidR="007C1678" w:rsidRPr="00444D8F">
        <w:t xml:space="preserve">de </w:t>
      </w:r>
      <w:r w:rsidR="004338DE" w:rsidRPr="00444D8F">
        <w:t xml:space="preserve">management </w:t>
      </w:r>
      <w:r w:rsidR="007C1678" w:rsidRPr="00444D8F">
        <w:t>pentru institu</w:t>
      </w:r>
      <w:r w:rsidR="000F093A" w:rsidRPr="00444D8F">
        <w:t>ţ</w:t>
      </w:r>
      <w:r w:rsidR="007C1678" w:rsidRPr="00444D8F">
        <w:t>iile publice astfel încât performan</w:t>
      </w:r>
      <w:r w:rsidR="000F093A" w:rsidRPr="00444D8F">
        <w:t>ţ</w:t>
      </w:r>
      <w:r w:rsidR="007C1678" w:rsidRPr="00444D8F">
        <w:t>a lor să poată fi evaluat</w:t>
      </w:r>
      <w:r w:rsidR="004338DE" w:rsidRPr="00444D8F">
        <w:t>ă</w:t>
      </w:r>
      <w:r w:rsidR="007C1678" w:rsidRPr="00444D8F">
        <w:t xml:space="preserve"> în mod continuu </w:t>
      </w:r>
      <w:r w:rsidR="000F093A" w:rsidRPr="00444D8F">
        <w:t>ş</w:t>
      </w:r>
      <w:r w:rsidR="007C1678" w:rsidRPr="00444D8F">
        <w:t>i sistematic.</w:t>
      </w:r>
      <w:r w:rsidR="008700EC" w:rsidRPr="00444D8F">
        <w:t xml:space="preserve"> </w:t>
      </w:r>
    </w:p>
    <w:p w:rsidR="007C1678" w:rsidRPr="00444D8F" w:rsidRDefault="007C1678" w:rsidP="009D1756">
      <w:pPr>
        <w:jc w:val="both"/>
        <w:rPr>
          <w:b/>
        </w:rPr>
      </w:pPr>
      <w:r w:rsidRPr="00444D8F">
        <w:rPr>
          <w:b/>
        </w:rPr>
        <w:t>4.6 Concluzie</w:t>
      </w:r>
    </w:p>
    <w:p w:rsidR="007C1678" w:rsidRPr="00444D8F" w:rsidRDefault="007C1678" w:rsidP="009D1756">
      <w:pPr>
        <w:jc w:val="both"/>
      </w:pPr>
      <w:r w:rsidRPr="00444D8F">
        <w:t>Dezbateri</w:t>
      </w:r>
      <w:r w:rsidR="004338DE" w:rsidRPr="00444D8F">
        <w:t>le</w:t>
      </w:r>
      <w:r w:rsidRPr="00444D8F">
        <w:t xml:space="preserve"> publice </w:t>
      </w:r>
      <w:r w:rsidR="004338DE" w:rsidRPr="00444D8F">
        <w:t xml:space="preserve">evidenţiază </w:t>
      </w:r>
      <w:r w:rsidRPr="00444D8F">
        <w:t xml:space="preserve">adesea anumite </w:t>
      </w:r>
      <w:r w:rsidR="000F093A" w:rsidRPr="00444D8F">
        <w:t>ţ</w:t>
      </w:r>
      <w:r w:rsidRPr="00444D8F">
        <w:t xml:space="preserve">ări </w:t>
      </w:r>
      <w:r w:rsidR="004338DE" w:rsidRPr="00444D8F">
        <w:t xml:space="preserve">ca fiind </w:t>
      </w:r>
      <w:r w:rsidRPr="00444D8F">
        <w:t>"super-modele", a</w:t>
      </w:r>
      <w:r w:rsidR="000F093A" w:rsidRPr="00444D8F">
        <w:t>ş</w:t>
      </w:r>
      <w:r w:rsidRPr="00444D8F">
        <w:t>a cum este cazul Germani</w:t>
      </w:r>
      <w:r w:rsidR="004338DE" w:rsidRPr="00444D8F">
        <w:t>ei</w:t>
      </w:r>
      <w:r w:rsidRPr="00444D8F">
        <w:t xml:space="preserve"> </w:t>
      </w:r>
      <w:r w:rsidR="000F093A" w:rsidRPr="00444D8F">
        <w:t>ş</w:t>
      </w:r>
      <w:r w:rsidRPr="00444D8F">
        <w:t>i Suedi</w:t>
      </w:r>
      <w:r w:rsidR="004338DE" w:rsidRPr="00444D8F">
        <w:t>ei</w:t>
      </w:r>
      <w:r w:rsidRPr="00444D8F">
        <w:t xml:space="preserve">, </w:t>
      </w:r>
      <w:r w:rsidR="00961993" w:rsidRPr="00444D8F">
        <w:t xml:space="preserve">iar </w:t>
      </w:r>
      <w:r w:rsidRPr="00444D8F">
        <w:t>mai recent, Danemarc</w:t>
      </w:r>
      <w:r w:rsidR="004338DE" w:rsidRPr="00444D8F">
        <w:t>a</w:t>
      </w:r>
      <w:r w:rsidRPr="00444D8F">
        <w:t>. În ciuda diferen</w:t>
      </w:r>
      <w:r w:rsidR="000F093A" w:rsidRPr="00444D8F">
        <w:t>ţ</w:t>
      </w:r>
      <w:r w:rsidRPr="00444D8F">
        <w:t xml:space="preserve">elor </w:t>
      </w:r>
      <w:r w:rsidR="005F4698" w:rsidRPr="00444D8F">
        <w:t xml:space="preserve">dintre ţări privind </w:t>
      </w:r>
      <w:r w:rsidRPr="00444D8F">
        <w:t>performan</w:t>
      </w:r>
      <w:r w:rsidR="000F093A" w:rsidRPr="00444D8F">
        <w:t>ţ</w:t>
      </w:r>
      <w:r w:rsidRPr="00444D8F">
        <w:t xml:space="preserve">ele </w:t>
      </w:r>
      <w:r w:rsidR="000F093A" w:rsidRPr="00444D8F">
        <w:t>ş</w:t>
      </w:r>
      <w:r w:rsidRPr="00444D8F">
        <w:t>i lec</w:t>
      </w:r>
      <w:r w:rsidR="000F093A" w:rsidRPr="00444D8F">
        <w:t>ţ</w:t>
      </w:r>
      <w:r w:rsidRPr="00444D8F">
        <w:t>ii</w:t>
      </w:r>
      <w:r w:rsidR="004338DE" w:rsidRPr="00444D8F">
        <w:t>l</w:t>
      </w:r>
      <w:r w:rsidR="00961993" w:rsidRPr="00444D8F">
        <w:t>e</w:t>
      </w:r>
      <w:r w:rsidRPr="00444D8F">
        <w:t xml:space="preserve"> </w:t>
      </w:r>
      <w:r w:rsidR="004338DE" w:rsidRPr="00444D8F">
        <w:t xml:space="preserve">de </w:t>
      </w:r>
      <w:r w:rsidRPr="00444D8F">
        <w:t>învă</w:t>
      </w:r>
      <w:r w:rsidR="000F093A" w:rsidRPr="00444D8F">
        <w:t>ţ</w:t>
      </w:r>
      <w:r w:rsidRPr="00444D8F">
        <w:t>at din analiza comparativă</w:t>
      </w:r>
      <w:r w:rsidR="004338DE" w:rsidRPr="00444D8F">
        <w:t>/benchmarking</w:t>
      </w:r>
      <w:r w:rsidRPr="00444D8F">
        <w:t>, astfel de discu</w:t>
      </w:r>
      <w:r w:rsidR="000F093A" w:rsidRPr="00444D8F">
        <w:t>ţ</w:t>
      </w:r>
      <w:r w:rsidRPr="00444D8F">
        <w:t>ii devin u</w:t>
      </w:r>
      <w:r w:rsidR="000F093A" w:rsidRPr="00444D8F">
        <w:t>ş</w:t>
      </w:r>
      <w:r w:rsidRPr="00444D8F">
        <w:t xml:space="preserve">or superficiale, </w:t>
      </w:r>
      <w:r w:rsidR="004338DE" w:rsidRPr="00444D8F">
        <w:t xml:space="preserve">conducând </w:t>
      </w:r>
      <w:r w:rsidRPr="00444D8F">
        <w:t xml:space="preserve">la </w:t>
      </w:r>
      <w:r w:rsidR="004338DE" w:rsidRPr="00444D8F">
        <w:t xml:space="preserve">o viziune naivă de tip </w:t>
      </w:r>
      <w:r w:rsidR="007016F5" w:rsidRPr="00444D8F">
        <w:rPr>
          <w:i/>
        </w:rPr>
        <w:t>"copy-</w:t>
      </w:r>
      <w:r w:rsidRPr="00444D8F">
        <w:rPr>
          <w:i/>
        </w:rPr>
        <w:t>paste"</w:t>
      </w:r>
      <w:r w:rsidRPr="00444D8F">
        <w:t>. Acest lucru neglijează complementaritatea dintre diferitele instrumente de politic</w:t>
      </w:r>
      <w:r w:rsidR="004338DE" w:rsidRPr="00444D8F">
        <w:t>i</w:t>
      </w:r>
      <w:r w:rsidRPr="00444D8F">
        <w:t>, structura institu</w:t>
      </w:r>
      <w:r w:rsidR="000F093A" w:rsidRPr="00444D8F">
        <w:t>ţ</w:t>
      </w:r>
      <w:r w:rsidRPr="00444D8F">
        <w:t xml:space="preserve">ională </w:t>
      </w:r>
      <w:r w:rsidR="000F093A" w:rsidRPr="00444D8F">
        <w:t>ş</w:t>
      </w:r>
      <w:r w:rsidRPr="00444D8F">
        <w:t>i mediul politic. Istori</w:t>
      </w:r>
      <w:r w:rsidR="004338DE" w:rsidRPr="00444D8F">
        <w:t xml:space="preserve">a demonstrează </w:t>
      </w:r>
      <w:r w:rsidR="003E0864" w:rsidRPr="00444D8F">
        <w:t xml:space="preserve">totodată </w:t>
      </w:r>
      <w:r w:rsidR="004338DE" w:rsidRPr="00444D8F">
        <w:t>faptul că</w:t>
      </w:r>
      <w:r w:rsidRPr="00444D8F">
        <w:t xml:space="preserve"> "super-modele</w:t>
      </w:r>
      <w:r w:rsidR="004338DE" w:rsidRPr="00444D8F">
        <w:t>le</w:t>
      </w:r>
      <w:r w:rsidRPr="00444D8F">
        <w:t>" au sui</w:t>
      </w:r>
      <w:r w:rsidR="000F093A" w:rsidRPr="00444D8F">
        <w:t>ş</w:t>
      </w:r>
      <w:r w:rsidRPr="00444D8F">
        <w:t xml:space="preserve">uri </w:t>
      </w:r>
      <w:r w:rsidR="000F093A" w:rsidRPr="00444D8F">
        <w:t>ş</w:t>
      </w:r>
      <w:r w:rsidRPr="00444D8F">
        <w:t>i coborâ</w:t>
      </w:r>
      <w:r w:rsidR="000F093A" w:rsidRPr="00444D8F">
        <w:t>ş</w:t>
      </w:r>
      <w:r w:rsidRPr="00444D8F">
        <w:t>uri, subliniind că performan</w:t>
      </w:r>
      <w:r w:rsidR="000F093A" w:rsidRPr="00444D8F">
        <w:t>ţ</w:t>
      </w:r>
      <w:r w:rsidRPr="00444D8F">
        <w:t xml:space="preserve">a este </w:t>
      </w:r>
      <w:r w:rsidR="003E0864" w:rsidRPr="00444D8F">
        <w:t>dependent</w:t>
      </w:r>
      <w:r w:rsidR="005F4698" w:rsidRPr="00444D8F">
        <w:rPr>
          <w:lang w:val="ro-RO"/>
        </w:rPr>
        <w:t>ă</w:t>
      </w:r>
      <w:r w:rsidR="003E0864" w:rsidRPr="00444D8F">
        <w:t xml:space="preserve"> </w:t>
      </w:r>
      <w:r w:rsidR="005F4698" w:rsidRPr="00444D8F">
        <w:t xml:space="preserve">de </w:t>
      </w:r>
      <w:r w:rsidR="003E0864" w:rsidRPr="00444D8F">
        <w:t xml:space="preserve">şocuri şi că </w:t>
      </w:r>
      <w:r w:rsidRPr="00444D8F">
        <w:t>diferite</w:t>
      </w:r>
      <w:r w:rsidR="003E0864" w:rsidRPr="00444D8F">
        <w:t>le</w:t>
      </w:r>
      <w:r w:rsidRPr="00444D8F">
        <w:t xml:space="preserve"> </w:t>
      </w:r>
      <w:r w:rsidR="00961993" w:rsidRPr="00444D8F">
        <w:t>modele/</w:t>
      </w:r>
      <w:r w:rsidR="000F093A" w:rsidRPr="00444D8F">
        <w:t>ţ</w:t>
      </w:r>
      <w:r w:rsidRPr="00444D8F">
        <w:t>ări au avantaje comparative</w:t>
      </w:r>
      <w:r w:rsidR="005F4698" w:rsidRPr="00444D8F">
        <w:t xml:space="preserve"> diferite</w:t>
      </w:r>
      <w:r w:rsidRPr="00444D8F">
        <w:t>.</w:t>
      </w:r>
    </w:p>
    <w:p w:rsidR="0083308D" w:rsidRPr="00444D8F" w:rsidRDefault="007C1678" w:rsidP="009D1756">
      <w:pPr>
        <w:jc w:val="both"/>
      </w:pPr>
      <w:r w:rsidRPr="00444D8F">
        <w:t>Performan</w:t>
      </w:r>
      <w:r w:rsidR="000F093A" w:rsidRPr="00444D8F">
        <w:t>ţ</w:t>
      </w:r>
      <w:r w:rsidRPr="00444D8F">
        <w:t>a relativ favorabilă a economiei daneze nu este rezultatul unei corec</w:t>
      </w:r>
      <w:r w:rsidR="000F093A" w:rsidRPr="00444D8F">
        <w:t>ţ</w:t>
      </w:r>
      <w:r w:rsidRPr="00444D8F">
        <w:t xml:space="preserve">ii rapide, </w:t>
      </w:r>
      <w:r w:rsidR="003E0864" w:rsidRPr="00444D8F">
        <w:t xml:space="preserve">ci </w:t>
      </w:r>
      <w:r w:rsidRPr="00444D8F">
        <w:t xml:space="preserve">rezultatul unui lung </w:t>
      </w:r>
      <w:r w:rsidR="000F093A" w:rsidRPr="00444D8F">
        <w:t>ş</w:t>
      </w:r>
      <w:r w:rsidRPr="00444D8F">
        <w:t xml:space="preserve">ir de reforme care </w:t>
      </w:r>
      <w:r w:rsidR="003E0864" w:rsidRPr="00444D8F">
        <w:t xml:space="preserve">au </w:t>
      </w:r>
      <w:r w:rsidRPr="00444D8F">
        <w:t>abord</w:t>
      </w:r>
      <w:r w:rsidR="003E0864" w:rsidRPr="00444D8F">
        <w:t xml:space="preserve">at </w:t>
      </w:r>
      <w:r w:rsidRPr="00444D8F">
        <w:t xml:space="preserve">problemele </w:t>
      </w:r>
      <w:r w:rsidR="003E0864" w:rsidRPr="00444D8F">
        <w:t xml:space="preserve">de o manieră </w:t>
      </w:r>
      <w:r w:rsidR="0058245B" w:rsidRPr="00444D8F">
        <w:t>structural</w:t>
      </w:r>
      <w:r w:rsidR="00961993" w:rsidRPr="00444D8F">
        <w:t>ă</w:t>
      </w:r>
      <w:r w:rsidR="0058245B" w:rsidRPr="00444D8F">
        <w:t>,</w:t>
      </w:r>
      <w:r w:rsidRPr="00444D8F">
        <w:t xml:space="preserve"> luând în considerare foarte explicit constrângerile cu care se confruntă o economie mică </w:t>
      </w:r>
      <w:r w:rsidR="000F093A" w:rsidRPr="00444D8F">
        <w:t>ş</w:t>
      </w:r>
      <w:r w:rsidRPr="00444D8F">
        <w:t>i deschisă. Ace</w:t>
      </w:r>
      <w:r w:rsidR="003E0864" w:rsidRPr="00444D8F">
        <w:t>a</w:t>
      </w:r>
      <w:r w:rsidRPr="00444D8F">
        <w:t>st</w:t>
      </w:r>
      <w:r w:rsidR="003E0864" w:rsidRPr="00444D8F">
        <w:t xml:space="preserve">ă grijă reiese clar </w:t>
      </w:r>
      <w:r w:rsidR="00961993" w:rsidRPr="00444D8F">
        <w:t>din politica</w:t>
      </w:r>
      <w:r w:rsidRPr="00444D8F">
        <w:t xml:space="preserve"> </w:t>
      </w:r>
      <w:r w:rsidR="0058245B" w:rsidRPr="00444D8F">
        <w:t xml:space="preserve">privind rata </w:t>
      </w:r>
      <w:r w:rsidRPr="00444D8F">
        <w:t xml:space="preserve">fixă ​​a cursului de schimb </w:t>
      </w:r>
      <w:r w:rsidR="000F093A" w:rsidRPr="00444D8F">
        <w:t>ş</w:t>
      </w:r>
      <w:r w:rsidRPr="00444D8F">
        <w:t>i necesitatea de a asigura credibil</w:t>
      </w:r>
      <w:r w:rsidR="003E0864" w:rsidRPr="00444D8F">
        <w:t>itatea. S-</w:t>
      </w:r>
      <w:r w:rsidRPr="00444D8F">
        <w:t>a trecut test</w:t>
      </w:r>
      <w:r w:rsidR="003E0864" w:rsidRPr="00444D8F">
        <w:t>ul</w:t>
      </w:r>
      <w:r w:rsidRPr="00444D8F">
        <w:t xml:space="preserve"> pi</w:t>
      </w:r>
      <w:r w:rsidR="003E0864" w:rsidRPr="00444D8F">
        <w:t>eţei</w:t>
      </w:r>
      <w:r w:rsidRPr="00444D8F">
        <w:t xml:space="preserve">, deoarece </w:t>
      </w:r>
      <w:r w:rsidR="003E0864" w:rsidRPr="00444D8F">
        <w:t xml:space="preserve">ecartul </w:t>
      </w:r>
      <w:r w:rsidRPr="00444D8F">
        <w:t xml:space="preserve">ratei dobânzii în raport </w:t>
      </w:r>
      <w:r w:rsidR="003E0864" w:rsidRPr="00444D8F">
        <w:t xml:space="preserve">cu </w:t>
      </w:r>
      <w:r w:rsidR="0058245B" w:rsidRPr="00444D8F">
        <w:t xml:space="preserve">zona </w:t>
      </w:r>
      <w:r w:rsidRPr="00444D8F">
        <w:t>euro a fost foarte mic</w:t>
      </w:r>
      <w:r w:rsidR="00961993" w:rsidRPr="00444D8F">
        <w:t xml:space="preserve">, </w:t>
      </w:r>
      <w:r w:rsidRPr="00444D8F">
        <w:t xml:space="preserve">ani de zile, chiar negativ în unele perioade. </w:t>
      </w:r>
    </w:p>
    <w:p w:rsidR="00FF774A" w:rsidRPr="00444D8F" w:rsidRDefault="007C1678" w:rsidP="009D1756">
      <w:pPr>
        <w:jc w:val="both"/>
      </w:pPr>
      <w:r w:rsidRPr="00444D8F">
        <w:t xml:space="preserve">Cazul danez </w:t>
      </w:r>
      <w:r w:rsidR="003E0864" w:rsidRPr="00444D8F">
        <w:t>demo</w:t>
      </w:r>
      <w:r w:rsidR="005529EE" w:rsidRPr="00444D8F">
        <w:t>n</w:t>
      </w:r>
      <w:r w:rsidR="003E0864" w:rsidRPr="00444D8F">
        <w:t>strează</w:t>
      </w:r>
      <w:r w:rsidRPr="00444D8F">
        <w:t xml:space="preserve">, </w:t>
      </w:r>
      <w:r w:rsidR="00961993" w:rsidRPr="00444D8F">
        <w:t>totodată</w:t>
      </w:r>
      <w:r w:rsidRPr="00444D8F">
        <w:t xml:space="preserve">, </w:t>
      </w:r>
      <w:r w:rsidR="003E0864" w:rsidRPr="00444D8F">
        <w:t xml:space="preserve">faptul </w:t>
      </w:r>
      <w:r w:rsidRPr="00444D8F">
        <w:t>că op</w:t>
      </w:r>
      <w:r w:rsidR="000F093A" w:rsidRPr="00444D8F">
        <w:t>ţ</w:t>
      </w:r>
      <w:r w:rsidRPr="00444D8F">
        <w:t>iunile de politic</w:t>
      </w:r>
      <w:r w:rsidR="005529EE" w:rsidRPr="00444D8F">
        <w:t>i</w:t>
      </w:r>
      <w:r w:rsidRPr="00444D8F">
        <w:t xml:space="preserve"> sunt posibile chiar </w:t>
      </w:r>
      <w:r w:rsidR="000F093A" w:rsidRPr="00444D8F">
        <w:t>ş</w:t>
      </w:r>
      <w:r w:rsidRPr="00444D8F">
        <w:t xml:space="preserve">i într-o eră a globalizării. </w:t>
      </w:r>
      <w:r w:rsidR="003E0864" w:rsidRPr="00444D8F">
        <w:t>S</w:t>
      </w:r>
      <w:r w:rsidRPr="00444D8F">
        <w:t xml:space="preserve">ectorul public danez joacă un rol mai </w:t>
      </w:r>
      <w:r w:rsidR="005529EE" w:rsidRPr="00444D8F">
        <w:t xml:space="preserve">important </w:t>
      </w:r>
      <w:r w:rsidRPr="00444D8F">
        <w:t xml:space="preserve">decât în ​​majoritatea celorlalte </w:t>
      </w:r>
      <w:r w:rsidR="000F093A" w:rsidRPr="00444D8F">
        <w:t>ţ</w:t>
      </w:r>
      <w:r w:rsidRPr="00444D8F">
        <w:t>ări. Lec</w:t>
      </w:r>
      <w:r w:rsidR="000F093A" w:rsidRPr="00444D8F">
        <w:t>ţ</w:t>
      </w:r>
      <w:r w:rsidRPr="00444D8F">
        <w:t xml:space="preserve">ia </w:t>
      </w:r>
      <w:r w:rsidRPr="00444D8F">
        <w:lastRenderedPageBreak/>
        <w:t xml:space="preserve">interesantă este modul în care statul </w:t>
      </w:r>
      <w:r w:rsidR="005529EE" w:rsidRPr="00444D8F">
        <w:t>bunăstării/</w:t>
      </w:r>
      <w:r w:rsidR="003E0864" w:rsidRPr="00444D8F">
        <w:t xml:space="preserve">asistenţial </w:t>
      </w:r>
      <w:r w:rsidRPr="00444D8F">
        <w:t>a fost conceput astfel încât să echilibreze preocupările legate de performan</w:t>
      </w:r>
      <w:r w:rsidR="000F093A" w:rsidRPr="00444D8F">
        <w:t>ţ</w:t>
      </w:r>
      <w:r w:rsidR="003E0864" w:rsidRPr="00444D8F">
        <w:t>a economică pe de o parte</w:t>
      </w:r>
      <w:r w:rsidRPr="00444D8F">
        <w:t xml:space="preserve"> </w:t>
      </w:r>
      <w:r w:rsidR="000F093A" w:rsidRPr="00444D8F">
        <w:t>ş</w:t>
      </w:r>
      <w:r w:rsidRPr="00444D8F">
        <w:t xml:space="preserve">i furnizarea publică </w:t>
      </w:r>
      <w:r w:rsidR="003E0864" w:rsidRPr="00444D8F">
        <w:t xml:space="preserve">de </w:t>
      </w:r>
      <w:r w:rsidRPr="00444D8F">
        <w:t>servicii de asisten</w:t>
      </w:r>
      <w:r w:rsidR="000F093A" w:rsidRPr="00444D8F">
        <w:t>ţ</w:t>
      </w:r>
      <w:r w:rsidRPr="00444D8F">
        <w:t xml:space="preserve">ă socială </w:t>
      </w:r>
      <w:r w:rsidR="000F093A" w:rsidRPr="00444D8F">
        <w:t>ş</w:t>
      </w:r>
      <w:r w:rsidRPr="00444D8F">
        <w:t xml:space="preserve">i urmărirea rezultatelor egalitariste pe de altă parte. Două </w:t>
      </w:r>
      <w:r w:rsidR="005B18E1" w:rsidRPr="00444D8F">
        <w:t>elemen</w:t>
      </w:r>
      <w:r w:rsidRPr="00444D8F">
        <w:t>te sunt deosebit de importante. În primul rând, în timp ce sectorul public este mare, sectorul privat este foarte liberal în Danemarca. Modelul danez nu este, a</w:t>
      </w:r>
      <w:r w:rsidR="000F093A" w:rsidRPr="00444D8F">
        <w:t>ş</w:t>
      </w:r>
      <w:r w:rsidRPr="00444D8F">
        <w:t>adar</w:t>
      </w:r>
      <w:r w:rsidR="009D7B9D" w:rsidRPr="00444D8F">
        <w:t xml:space="preserve"> de tip</w:t>
      </w:r>
      <w:r w:rsidRPr="00444D8F">
        <w:t xml:space="preserve"> "politic</w:t>
      </w:r>
      <w:r w:rsidR="005B18E1" w:rsidRPr="00444D8F">
        <w:t>i</w:t>
      </w:r>
      <w:r w:rsidRPr="00444D8F">
        <w:t xml:space="preserve"> împotriva pie</w:t>
      </w:r>
      <w:r w:rsidR="000F093A" w:rsidRPr="00444D8F">
        <w:t>ţ</w:t>
      </w:r>
      <w:r w:rsidRPr="00444D8F">
        <w:t xml:space="preserve">elor". În al doilea rând, </w:t>
      </w:r>
      <w:r w:rsidR="009D7B9D" w:rsidRPr="00444D8F">
        <w:t xml:space="preserve">mecanismele </w:t>
      </w:r>
      <w:r w:rsidR="003E0864" w:rsidRPr="00444D8F">
        <w:t xml:space="preserve">sociale </w:t>
      </w:r>
      <w:r w:rsidR="009D7B9D" w:rsidRPr="00444D8F">
        <w:t xml:space="preserve">pun </w:t>
      </w:r>
      <w:r w:rsidRPr="00444D8F">
        <w:t>un accent puternic</w:t>
      </w:r>
      <w:r w:rsidR="005B18E1" w:rsidRPr="00444D8F">
        <w:t>,</w:t>
      </w:r>
      <w:r w:rsidRPr="00444D8F">
        <w:t xml:space="preserve"> </w:t>
      </w:r>
      <w:r w:rsidR="005B18E1" w:rsidRPr="00444D8F">
        <w:t>active,</w:t>
      </w:r>
      <w:r w:rsidRPr="00444D8F">
        <w:t xml:space="preserve"> pe sprijinirea participării pe pia</w:t>
      </w:r>
      <w:r w:rsidR="000F093A" w:rsidRPr="00444D8F">
        <w:t>ţ</w:t>
      </w:r>
      <w:r w:rsidRPr="00444D8F">
        <w:t>a for</w:t>
      </w:r>
      <w:r w:rsidR="000F093A" w:rsidRPr="00444D8F">
        <w:t>ţ</w:t>
      </w:r>
      <w:r w:rsidRPr="00444D8F">
        <w:t xml:space="preserve">ei de muncă </w:t>
      </w:r>
      <w:r w:rsidR="000F093A" w:rsidRPr="00444D8F">
        <w:t>ş</w:t>
      </w:r>
      <w:r w:rsidRPr="00444D8F">
        <w:t>i achizi</w:t>
      </w:r>
      <w:r w:rsidR="000F093A" w:rsidRPr="00444D8F">
        <w:t>ţ</w:t>
      </w:r>
      <w:r w:rsidRPr="00444D8F">
        <w:t xml:space="preserve">ia capitalului uman. Având în vedere că viabilitatea financiară a modelului </w:t>
      </w:r>
      <w:r w:rsidR="009D7B9D" w:rsidRPr="00444D8F">
        <w:t xml:space="preserve">bunăstării </w:t>
      </w:r>
      <w:r w:rsidR="00605759" w:rsidRPr="00444D8F">
        <w:t xml:space="preserve">depinde, în cele din urmă, de </w:t>
      </w:r>
      <w:r w:rsidRPr="00444D8F">
        <w:t>men</w:t>
      </w:r>
      <w:r w:rsidR="000F093A" w:rsidRPr="00444D8F">
        <w:t>ţ</w:t>
      </w:r>
      <w:r w:rsidRPr="00444D8F">
        <w:t xml:space="preserve">inerea unui nivel ridicat de ocupare în sectorul privat, conflictul dintre obiectivele </w:t>
      </w:r>
      <w:r w:rsidR="00605759" w:rsidRPr="00444D8F">
        <w:t xml:space="preserve">sociale </w:t>
      </w:r>
      <w:r w:rsidR="000F093A" w:rsidRPr="00444D8F">
        <w:t>ş</w:t>
      </w:r>
      <w:r w:rsidRPr="00444D8F">
        <w:t>i performan</w:t>
      </w:r>
      <w:r w:rsidR="000F093A" w:rsidRPr="00444D8F">
        <w:t>ţ</w:t>
      </w:r>
      <w:r w:rsidRPr="00444D8F">
        <w:t>a economică nu este la fel de puternic c</w:t>
      </w:r>
      <w:r w:rsidR="00605759" w:rsidRPr="00444D8F">
        <w:t xml:space="preserve">um ar părea la prima vedere. </w:t>
      </w:r>
    </w:p>
    <w:p w:rsidR="00806853" w:rsidRPr="00444D8F" w:rsidRDefault="007C1678" w:rsidP="009D1756">
      <w:pPr>
        <w:jc w:val="both"/>
        <w:rPr>
          <w:rFonts w:cstheme="minorHAnsi"/>
          <w:i/>
          <w:shd w:val="clear" w:color="auto" w:fill="FFFFFF"/>
        </w:rPr>
      </w:pPr>
      <w:r w:rsidRPr="00444D8F">
        <w:t xml:space="preserve">Privind în perspectivă, </w:t>
      </w:r>
      <w:r w:rsidR="00EB6654" w:rsidRPr="00444D8F">
        <w:t xml:space="preserve">pentru Danemarca </w:t>
      </w:r>
      <w:r w:rsidRPr="00444D8F">
        <w:t xml:space="preserve">viitorul </w:t>
      </w:r>
      <w:r w:rsidR="009D7B9D" w:rsidRPr="00444D8F">
        <w:t xml:space="preserve">va fi marcat de </w:t>
      </w:r>
      <w:r w:rsidRPr="00444D8F">
        <w:t xml:space="preserve">provocări </w:t>
      </w:r>
      <w:r w:rsidR="009D7B9D" w:rsidRPr="00444D8F">
        <w:t xml:space="preserve">atât </w:t>
      </w:r>
      <w:r w:rsidRPr="00444D8F">
        <w:t xml:space="preserve">politice </w:t>
      </w:r>
      <w:r w:rsidR="00EB6654" w:rsidRPr="00444D8F">
        <w:t>c</w:t>
      </w:r>
      <w:r w:rsidR="00EB6654" w:rsidRPr="00444D8F">
        <w:rPr>
          <w:lang w:val="ro-RO"/>
        </w:rPr>
        <w:t xml:space="preserve">ât </w:t>
      </w:r>
      <w:r w:rsidR="000F093A" w:rsidRPr="00444D8F">
        <w:t>ş</w:t>
      </w:r>
      <w:r w:rsidRPr="00444D8F">
        <w:t xml:space="preserve">i economice. Pe latura politică, nu este clar dacă Danemarca este membru cu drepturi depline al UE. </w:t>
      </w:r>
      <w:r w:rsidR="00EB6654" w:rsidRPr="00444D8F">
        <w:t>R</w:t>
      </w:r>
      <w:r w:rsidRPr="00444D8F">
        <w:t>espingerea monedei euro</w:t>
      </w:r>
      <w:r w:rsidR="00EB6654" w:rsidRPr="00444D8F">
        <w:t xml:space="preserve"> de către Danemarca</w:t>
      </w:r>
      <w:r w:rsidRPr="00444D8F">
        <w:t xml:space="preserve">, precum </w:t>
      </w:r>
      <w:r w:rsidR="000F093A" w:rsidRPr="00444D8F">
        <w:t>ş</w:t>
      </w:r>
      <w:r w:rsidRPr="00444D8F">
        <w:t>i excep</w:t>
      </w:r>
      <w:r w:rsidR="000F093A" w:rsidRPr="00444D8F">
        <w:t>ţ</w:t>
      </w:r>
      <w:r w:rsidRPr="00444D8F">
        <w:t>iile</w:t>
      </w:r>
      <w:r w:rsidR="009D7B9D" w:rsidRPr="00444D8F">
        <w:t xml:space="preserve"> </w:t>
      </w:r>
      <w:r w:rsidRPr="00444D8F">
        <w:t>de la reglementările UE pe care le-a introdus pe o serie de alte aspecte</w:t>
      </w:r>
      <w:r w:rsidR="00EB6654" w:rsidRPr="00444D8F">
        <w:t>,</w:t>
      </w:r>
      <w:r w:rsidRPr="00444D8F">
        <w:t xml:space="preserve"> face neclar</w:t>
      </w:r>
      <w:r w:rsidR="00747216" w:rsidRPr="00444D8F">
        <w:t xml:space="preserve">ă apartenenţa </w:t>
      </w:r>
      <w:r w:rsidRPr="00444D8F">
        <w:t>Danemarc</w:t>
      </w:r>
      <w:r w:rsidR="00747216" w:rsidRPr="00444D8F">
        <w:t>ei la UE/dacă</w:t>
      </w:r>
      <w:r w:rsidRPr="00444D8F">
        <w:t xml:space="preserve"> se află </w:t>
      </w:r>
      <w:r w:rsidRPr="00444D8F">
        <w:rPr>
          <w:i/>
        </w:rPr>
        <w:t>în</w:t>
      </w:r>
      <w:r w:rsidRPr="00444D8F">
        <w:t xml:space="preserve"> sau </w:t>
      </w:r>
      <w:r w:rsidRPr="00444D8F">
        <w:rPr>
          <w:i/>
        </w:rPr>
        <w:t>în afara</w:t>
      </w:r>
      <w:r w:rsidR="00EB6654" w:rsidRPr="00444D8F">
        <w:t xml:space="preserve"> UE</w:t>
      </w:r>
      <w:r w:rsidRPr="00444D8F">
        <w:t xml:space="preserve">. </w:t>
      </w:r>
      <w:r w:rsidR="00861B84" w:rsidRPr="00444D8F">
        <w:t>Este p</w:t>
      </w:r>
      <w:r w:rsidRPr="00444D8F">
        <w:t>ozi</w:t>
      </w:r>
      <w:r w:rsidR="000F093A" w:rsidRPr="00444D8F">
        <w:t>ţ</w:t>
      </w:r>
      <w:r w:rsidRPr="00444D8F">
        <w:t>i</w:t>
      </w:r>
      <w:r w:rsidR="00747216" w:rsidRPr="00444D8F">
        <w:t>a de membru selectiv una solidă?</w:t>
      </w:r>
      <w:r w:rsidRPr="00444D8F">
        <w:t xml:space="preserve"> Această întrebare a fost re</w:t>
      </w:r>
      <w:r w:rsidR="009D7B9D" w:rsidRPr="00444D8F">
        <w:t>actualizată</w:t>
      </w:r>
      <w:r w:rsidRPr="00444D8F">
        <w:t xml:space="preserve"> </w:t>
      </w:r>
      <w:r w:rsidR="009E6C45" w:rsidRPr="00444D8F">
        <w:t xml:space="preserve">prin </w:t>
      </w:r>
      <w:r w:rsidRPr="00444D8F">
        <w:t xml:space="preserve">referendumul din decembrie 2015 </w:t>
      </w:r>
      <w:r w:rsidR="00747216" w:rsidRPr="00444D8F">
        <w:t xml:space="preserve">pentru a clarifica </w:t>
      </w:r>
      <w:r w:rsidRPr="00444D8F">
        <w:t xml:space="preserve">dacă Danemarca ar trebui să </w:t>
      </w:r>
      <w:r w:rsidR="007A2FF0" w:rsidRPr="00444D8F">
        <w:t xml:space="preserve">elimine derogările de la </w:t>
      </w:r>
      <w:r w:rsidR="009E6C45" w:rsidRPr="00444D8F">
        <w:t xml:space="preserve">reglementările </w:t>
      </w:r>
      <w:r w:rsidR="007A2FF0" w:rsidRPr="00444D8F">
        <w:t xml:space="preserve">UE privind justiţia şi afacerile interne </w:t>
      </w:r>
      <w:r w:rsidRPr="00444D8F">
        <w:t xml:space="preserve">în favoarea unui model de </w:t>
      </w:r>
      <w:r w:rsidR="009E6C45" w:rsidRPr="00444D8F">
        <w:t xml:space="preserve">intrare / </w:t>
      </w:r>
      <w:r w:rsidRPr="00444D8F">
        <w:rPr>
          <w:i/>
        </w:rPr>
        <w:t>opt-in</w:t>
      </w:r>
      <w:r w:rsidR="00A61FE6" w:rsidRPr="00444D8F">
        <w:rPr>
          <w:i/>
        </w:rPr>
        <w:t>.</w:t>
      </w:r>
      <w:r w:rsidRPr="00444D8F">
        <w:t xml:space="preserve"> Rezultatul a fost </w:t>
      </w:r>
      <w:r w:rsidR="00FA38D2" w:rsidRPr="00444D8F">
        <w:t xml:space="preserve">un </w:t>
      </w:r>
      <w:r w:rsidRPr="00444D8F">
        <w:t>"nu"</w:t>
      </w:r>
      <w:r w:rsidR="00FA38D2" w:rsidRPr="00444D8F">
        <w:t xml:space="preserve"> c</w:t>
      </w:r>
      <w:r w:rsidR="009E6C45" w:rsidRPr="00444D8F">
        <w:t>ategoric</w:t>
      </w:r>
      <w:r w:rsidRPr="00444D8F">
        <w:t xml:space="preserve">, confirmând în continuare </w:t>
      </w:r>
      <w:r w:rsidR="00747216" w:rsidRPr="00444D8F">
        <w:t xml:space="preserve">poziţia </w:t>
      </w:r>
      <w:r w:rsidR="00456BAC" w:rsidRPr="00444D8F">
        <w:t>colaterală</w:t>
      </w:r>
      <w:r w:rsidR="00861B84" w:rsidRPr="00444D8F">
        <w:t xml:space="preserve">/“side-lined” </w:t>
      </w:r>
      <w:r w:rsidR="00747216" w:rsidRPr="00444D8F">
        <w:t xml:space="preserve">a </w:t>
      </w:r>
      <w:r w:rsidRPr="00444D8F">
        <w:t xml:space="preserve">Danemarcei </w:t>
      </w:r>
      <w:r w:rsidR="009E6C45" w:rsidRPr="00444D8F">
        <w:t xml:space="preserve">în privinţa colaborării </w:t>
      </w:r>
      <w:r w:rsidRPr="00444D8F">
        <w:t>UE.</w:t>
      </w:r>
      <w:r w:rsidR="007A2FF0" w:rsidRPr="00444D8F">
        <w:rPr>
          <w:rFonts w:ascii="Arial" w:hAnsi="Arial" w:cs="Arial"/>
        </w:rPr>
        <w:t xml:space="preserve"> </w:t>
      </w:r>
      <w:r w:rsidR="00A61FE6" w:rsidRPr="00444D8F">
        <w:rPr>
          <w:rFonts w:cstheme="minorHAnsi"/>
        </w:rPr>
        <w:t>(Alte dou</w:t>
      </w:r>
      <w:r w:rsidR="00A61FE6" w:rsidRPr="00444D8F">
        <w:rPr>
          <w:rFonts w:cstheme="minorHAnsi"/>
          <w:lang w:val="ro-RO"/>
        </w:rPr>
        <w:t>ă</w:t>
      </w:r>
      <w:r w:rsidR="00A61FE6" w:rsidRPr="00444D8F">
        <w:rPr>
          <w:rFonts w:cstheme="minorHAnsi"/>
        </w:rPr>
        <w:t xml:space="preserve"> state </w:t>
      </w:r>
      <w:r w:rsidR="00FA38D2" w:rsidRPr="00444D8F">
        <w:rPr>
          <w:rFonts w:cstheme="minorHAnsi"/>
          <w:i/>
        </w:rPr>
        <w:t xml:space="preserve">Marea </w:t>
      </w:r>
      <w:r w:rsidR="00A61FE6" w:rsidRPr="00444D8F">
        <w:rPr>
          <w:rFonts w:cstheme="minorHAnsi"/>
          <w:i/>
        </w:rPr>
        <w:t>B</w:t>
      </w:r>
      <w:r w:rsidR="00FA38D2" w:rsidRPr="00444D8F">
        <w:rPr>
          <w:rFonts w:cstheme="minorHAnsi"/>
          <w:i/>
        </w:rPr>
        <w:t xml:space="preserve">ritanie şi Irlanda beneficiază </w:t>
      </w:r>
      <w:r w:rsidR="00FA38D2" w:rsidRPr="00444D8F">
        <w:rPr>
          <w:rFonts w:cstheme="minorHAnsi"/>
          <w:i/>
          <w:shd w:val="clear" w:color="auto" w:fill="FFFFFF"/>
        </w:rPr>
        <w:t>de clauza</w:t>
      </w:r>
      <w:r w:rsidR="00FA38D2" w:rsidRPr="00444D8F">
        <w:rPr>
          <w:rStyle w:val="apple-converted-space"/>
          <w:rFonts w:cstheme="minorHAnsi"/>
          <w:i/>
          <w:shd w:val="clear" w:color="auto" w:fill="FFFFFF"/>
        </w:rPr>
        <w:t> </w:t>
      </w:r>
      <w:r w:rsidR="00FA38D2" w:rsidRPr="00444D8F">
        <w:rPr>
          <w:rFonts w:cstheme="minorHAnsi"/>
          <w:bCs/>
          <w:i/>
          <w:bdr w:val="none" w:sz="0" w:space="0" w:color="auto" w:frame="1"/>
          <w:shd w:val="clear" w:color="auto" w:fill="FFFFFF"/>
        </w:rPr>
        <w:t>opt</w:t>
      </w:r>
      <w:r w:rsidR="00FA38D2" w:rsidRPr="00444D8F">
        <w:rPr>
          <w:rFonts w:cstheme="minorHAnsi"/>
          <w:i/>
          <w:shd w:val="clear" w:color="auto" w:fill="FFFFFF"/>
        </w:rPr>
        <w:t>-out</w:t>
      </w:r>
      <w:r w:rsidR="00A61FE6" w:rsidRPr="00444D8F">
        <w:rPr>
          <w:rFonts w:cstheme="minorHAnsi"/>
          <w:i/>
          <w:shd w:val="clear" w:color="auto" w:fill="FFFFFF"/>
        </w:rPr>
        <w:t>)</w:t>
      </w:r>
      <w:r w:rsidR="00FA38D2" w:rsidRPr="00444D8F">
        <w:rPr>
          <w:rFonts w:cstheme="minorHAnsi"/>
          <w:i/>
          <w:shd w:val="clear" w:color="auto" w:fill="FFFFFF"/>
        </w:rPr>
        <w:t>.</w:t>
      </w:r>
    </w:p>
    <w:p w:rsidR="008C7F75" w:rsidRPr="00444D8F" w:rsidRDefault="00C33CE5" w:rsidP="009D1756">
      <w:pPr>
        <w:jc w:val="both"/>
      </w:pPr>
      <w:r w:rsidRPr="00444D8F">
        <w:t>Privind spre viitor, migraţia este o problemă deosebit de spinoasă pentru o ţară cu mecanisme extinse de asistenţă social</w:t>
      </w:r>
      <w:r w:rsidR="005B18E1" w:rsidRPr="00444D8F">
        <w:t>ă</w:t>
      </w:r>
      <w:r w:rsidRPr="00444D8F">
        <w:t xml:space="preserve">. </w:t>
      </w:r>
      <w:r w:rsidR="005B18E1" w:rsidRPr="00444D8F">
        <w:t xml:space="preserve">Deşi / Cu toate că </w:t>
      </w:r>
      <w:r w:rsidRPr="00444D8F">
        <w:t xml:space="preserve">sistemele de protecţie socială nu sunt magneţi care atrag migranţi, viabilitatea financiară a modelului de bunăstare se bazează pe un nivel ridicat de ocupare. Obiectivele egalitariste implică cerinţe ridicate de intrare </w:t>
      </w:r>
      <w:r w:rsidR="005B18E1" w:rsidRPr="00444D8F">
        <w:t xml:space="preserve">vizând </w:t>
      </w:r>
      <w:r w:rsidRPr="00444D8F">
        <w:t xml:space="preserve">calificarea pentru a găsi locuri de muncă (a se califica pentru salarii minime ridicate), precum şi transferuri sociale generoase. Acest lucru determină o relaţie foarte strânsă între rata de ocupare şi modul în care finanţele publice sunt afectate de imigraţie. Danemarca se confruntă, astfel, cu trilema dificilă de a trebui să aleagă între reguli extrem de restrictive în materie de imigraţie (constrânsă de tratatele internaţionale şi normele UE), reducerea </w:t>
      </w:r>
      <w:r w:rsidR="005B18E1" w:rsidRPr="00444D8F">
        <w:t xml:space="preserve">numărului de </w:t>
      </w:r>
      <w:r w:rsidRPr="00444D8F">
        <w:t xml:space="preserve">salarii minime sau diferenţierea între drepturile sociale. Toate cele trei </w:t>
      </w:r>
      <w:r w:rsidR="005B18E1" w:rsidRPr="00444D8F">
        <w:t xml:space="preserve">abordări sunt în contradicţie cu </w:t>
      </w:r>
      <w:r w:rsidRPr="00444D8F">
        <w:t>obiectivel</w:t>
      </w:r>
      <w:r w:rsidR="005B18E1" w:rsidRPr="00444D8F">
        <w:t>e</w:t>
      </w:r>
      <w:r w:rsidRPr="00444D8F">
        <w:t xml:space="preserve"> de bază ale statului bunăstării. Până în prezent, Danemarca a respectat în mare măsură prima şi a treia cale, dar oare cât de departe este posibil să se urmeze aceste direcţii?</w:t>
      </w:r>
    </w:p>
    <w:p w:rsidR="00625B8D" w:rsidRPr="00444D8F" w:rsidRDefault="000F093A" w:rsidP="009D1756">
      <w:pPr>
        <w:jc w:val="both"/>
      </w:pPr>
      <w:r w:rsidRPr="00444D8F">
        <w:t xml:space="preserve">Îmbătrânirea populaţiei </w:t>
      </w:r>
      <w:r w:rsidR="00A61FE6" w:rsidRPr="00444D8F">
        <w:t xml:space="preserve">este o provocare la adresa sustenabilităţii </w:t>
      </w:r>
      <w:r w:rsidRPr="00444D8F">
        <w:t>fiscal</w:t>
      </w:r>
      <w:r w:rsidR="00A61FE6" w:rsidRPr="00444D8F">
        <w:t>e</w:t>
      </w:r>
      <w:r w:rsidRPr="00444D8F">
        <w:t xml:space="preserve">. În cazul danez, primul test a fost trecut. O serie de reforme, </w:t>
      </w:r>
      <w:r w:rsidR="00A61FE6" w:rsidRPr="00444D8F">
        <w:t xml:space="preserve">în special </w:t>
      </w:r>
      <w:r w:rsidRPr="00444D8F">
        <w:t>creşte</w:t>
      </w:r>
      <w:r w:rsidR="009E6C45" w:rsidRPr="00444D8F">
        <w:t>r</w:t>
      </w:r>
      <w:r w:rsidR="005B18E1" w:rsidRPr="00444D8F">
        <w:t xml:space="preserve">ea </w:t>
      </w:r>
      <w:r w:rsidR="00A61FE6" w:rsidRPr="00444D8F">
        <w:t>vârste</w:t>
      </w:r>
      <w:r w:rsidR="005B18E1" w:rsidRPr="00444D8F">
        <w:t>lor</w:t>
      </w:r>
      <w:r w:rsidR="00A61FE6" w:rsidRPr="00444D8F">
        <w:t xml:space="preserve"> de </w:t>
      </w:r>
      <w:r w:rsidRPr="00444D8F">
        <w:t>pensi</w:t>
      </w:r>
      <w:r w:rsidR="00A61FE6" w:rsidRPr="00444D8F">
        <w:t>onare</w:t>
      </w:r>
      <w:r w:rsidRPr="00444D8F">
        <w:t xml:space="preserve">, implică faptul că </w:t>
      </w:r>
      <w:r w:rsidR="00A61FE6" w:rsidRPr="00444D8F">
        <w:t xml:space="preserve">s-a îndeplinit </w:t>
      </w:r>
      <w:r w:rsidRPr="00444D8F">
        <w:t xml:space="preserve">criteriul pentru viabilitatea fiscală. Al doilea test </w:t>
      </w:r>
      <w:r w:rsidR="00A61FE6" w:rsidRPr="00444D8F">
        <w:t xml:space="preserve">constă în asigurarea </w:t>
      </w:r>
      <w:r w:rsidRPr="00444D8F">
        <w:t xml:space="preserve">că reformele </w:t>
      </w:r>
      <w:r w:rsidR="00A61FE6" w:rsidRPr="00444D8F">
        <w:t xml:space="preserve">funcţioneză </w:t>
      </w:r>
      <w:r w:rsidRPr="00444D8F">
        <w:t xml:space="preserve">şi </w:t>
      </w:r>
      <w:r w:rsidR="00A61FE6" w:rsidRPr="00444D8F">
        <w:t xml:space="preserve">conduc către </w:t>
      </w:r>
      <w:r w:rsidRPr="00444D8F">
        <w:t xml:space="preserve">efectele anticipate. </w:t>
      </w:r>
      <w:r w:rsidR="00A61FE6" w:rsidRPr="00444D8F">
        <w:t>D</w:t>
      </w:r>
      <w:r w:rsidRPr="00444D8F">
        <w:t xml:space="preserve">iscuţiile politice se </w:t>
      </w:r>
      <w:r w:rsidR="008821C5" w:rsidRPr="00444D8F">
        <w:t>axe</w:t>
      </w:r>
      <w:r w:rsidR="005B18E1" w:rsidRPr="00444D8F">
        <w:t>a</w:t>
      </w:r>
      <w:r w:rsidR="008821C5" w:rsidRPr="00444D8F">
        <w:t xml:space="preserve">ză frecvent </w:t>
      </w:r>
      <w:r w:rsidRPr="00444D8F">
        <w:t>pe noi</w:t>
      </w:r>
      <w:r w:rsidR="008821C5" w:rsidRPr="00444D8F">
        <w:t>le</w:t>
      </w:r>
      <w:r w:rsidRPr="00444D8F">
        <w:t xml:space="preserve"> iniţiative care urmează </w:t>
      </w:r>
      <w:r w:rsidR="008821C5" w:rsidRPr="00444D8F">
        <w:t xml:space="preserve">a fi </w:t>
      </w:r>
      <w:r w:rsidRPr="00444D8F">
        <w:t xml:space="preserve">luate; dar este la fel de important să se asigure </w:t>
      </w:r>
      <w:r w:rsidR="00A61FE6" w:rsidRPr="00444D8F">
        <w:t xml:space="preserve">implementarea </w:t>
      </w:r>
      <w:r w:rsidRPr="00444D8F">
        <w:t xml:space="preserve">efectivă </w:t>
      </w:r>
      <w:r w:rsidR="008821C5" w:rsidRPr="00444D8F">
        <w:t xml:space="preserve">şi funcţionarea </w:t>
      </w:r>
      <w:r w:rsidRPr="00444D8F">
        <w:t>reformelor deja aprobate. În cazul Danemarcei, acest lucru nu este un</w:t>
      </w:r>
      <w:r w:rsidR="008821C5" w:rsidRPr="00444D8F">
        <w:t xml:space="preserve"> aspect lipsit de importanţă</w:t>
      </w:r>
      <w:r w:rsidRPr="00444D8F">
        <w:t xml:space="preserve">, dat fiind că strategia sa de politică economică se bazează în mod </w:t>
      </w:r>
      <w:r w:rsidR="008821C5" w:rsidRPr="00444D8F">
        <w:t xml:space="preserve">esenţial pe </w:t>
      </w:r>
      <w:r w:rsidRPr="00444D8F">
        <w:t xml:space="preserve">creşteri substanţiale ale ofertei </w:t>
      </w:r>
      <w:r w:rsidR="008821C5" w:rsidRPr="00444D8F">
        <w:t xml:space="preserve">forţei de muncă şi ocupării. </w:t>
      </w:r>
      <w:r w:rsidRPr="00444D8F">
        <w:t>Aceasta nu este o sarcină imposibilă, dar n</w:t>
      </w:r>
      <w:r w:rsidR="008821C5" w:rsidRPr="00444D8F">
        <w:t>ici una</w:t>
      </w:r>
      <w:r w:rsidR="009E6C45" w:rsidRPr="00444D8F">
        <w:t xml:space="preserve"> </w:t>
      </w:r>
      <w:r w:rsidR="008821C5" w:rsidRPr="00444D8F">
        <w:t>de neglijat</w:t>
      </w:r>
      <w:r w:rsidRPr="00444D8F">
        <w:t xml:space="preserve">. </w:t>
      </w:r>
      <w:r w:rsidR="008821C5" w:rsidRPr="00444D8F">
        <w:t>V</w:t>
      </w:r>
      <w:r w:rsidRPr="00444D8F">
        <w:t xml:space="preserve">ârstele de pensionare vor creşte semnificativ, şi cu toate </w:t>
      </w:r>
      <w:r w:rsidR="008821C5" w:rsidRPr="00444D8F">
        <w:t xml:space="preserve">că această creştere este </w:t>
      </w:r>
      <w:r w:rsidRPr="00444D8F">
        <w:t>motivată prin creşterea longevit</w:t>
      </w:r>
      <w:r w:rsidR="008821C5" w:rsidRPr="00444D8F">
        <w:t>ăţii</w:t>
      </w:r>
      <w:r w:rsidRPr="00444D8F">
        <w:t xml:space="preserve"> şi îmbătrânir</w:t>
      </w:r>
      <w:r w:rsidR="008821C5" w:rsidRPr="00444D8F">
        <w:t>ii</w:t>
      </w:r>
      <w:r w:rsidRPr="00444D8F">
        <w:t xml:space="preserve"> sănătoas</w:t>
      </w:r>
      <w:r w:rsidR="008821C5" w:rsidRPr="00444D8F">
        <w:t>e</w:t>
      </w:r>
      <w:r w:rsidRPr="00444D8F">
        <w:t>, există încă obstacole</w:t>
      </w:r>
      <w:r w:rsidR="009E6C45" w:rsidRPr="00444D8F">
        <w:t xml:space="preserve"> </w:t>
      </w:r>
      <w:r w:rsidR="008821C5" w:rsidRPr="00444D8F">
        <w:t>de trecut.</w:t>
      </w:r>
      <w:r w:rsidRPr="00444D8F">
        <w:t xml:space="preserve"> </w:t>
      </w:r>
      <w:r w:rsidR="00405270" w:rsidRPr="00444D8F">
        <w:t>P</w:t>
      </w:r>
      <w:r w:rsidRPr="00444D8F">
        <w:t>roiec</w:t>
      </w:r>
      <w:r w:rsidR="009F4F65" w:rsidRPr="00444D8F">
        <w:t>ţia</w:t>
      </w:r>
      <w:r w:rsidRPr="00444D8F">
        <w:t xml:space="preserve"> sistemului furnizează stimulentele economice </w:t>
      </w:r>
      <w:r w:rsidRPr="00444D8F">
        <w:lastRenderedPageBreak/>
        <w:t>adecvate pentru a sprijini creşterea ofertei de muncă şi a</w:t>
      </w:r>
      <w:r w:rsidR="00405270" w:rsidRPr="00444D8F">
        <w:t xml:space="preserve"> ocupării</w:t>
      </w:r>
      <w:r w:rsidRPr="00444D8F">
        <w:t xml:space="preserve">? </w:t>
      </w:r>
      <w:r w:rsidR="008C7F75" w:rsidRPr="00444D8F">
        <w:t xml:space="preserve">                                                                                                                                                                                                                                                                                                                                                                                                                                                                                                    </w:t>
      </w:r>
      <w:r w:rsidRPr="00444D8F">
        <w:t xml:space="preserve">Cum poate </w:t>
      </w:r>
      <w:r w:rsidR="00405270" w:rsidRPr="00444D8F">
        <w:t xml:space="preserve">fi menţinut şi dezvoltat </w:t>
      </w:r>
      <w:r w:rsidRPr="00444D8F">
        <w:t>nivelul de calificare pentru a facilita astfel de creşteri?</w:t>
      </w:r>
      <w:r w:rsidR="00405270" w:rsidRPr="00444D8F">
        <w:t xml:space="preserve"> </w:t>
      </w:r>
    </w:p>
    <w:p w:rsidR="000F093A" w:rsidRPr="00444D8F" w:rsidRDefault="000F093A" w:rsidP="009D1756">
      <w:pPr>
        <w:jc w:val="both"/>
      </w:pPr>
      <w:r w:rsidRPr="00444D8F">
        <w:t>Strategia asigur</w:t>
      </w:r>
      <w:r w:rsidR="00405270" w:rsidRPr="00444D8F">
        <w:t xml:space="preserve">ării unui nivel ridicat de ocupare şi a unei distribuţii egale </w:t>
      </w:r>
      <w:r w:rsidR="00E56FBE" w:rsidRPr="00444D8F">
        <w:t xml:space="preserve">a </w:t>
      </w:r>
      <w:r w:rsidRPr="00444D8F">
        <w:t>venitu</w:t>
      </w:r>
      <w:r w:rsidR="00405270" w:rsidRPr="00444D8F">
        <w:t>rilor</w:t>
      </w:r>
      <w:r w:rsidRPr="00444D8F">
        <w:t xml:space="preserve"> depinde </w:t>
      </w:r>
      <w:r w:rsidR="00405270" w:rsidRPr="00444D8F">
        <w:t xml:space="preserve">în mod evident </w:t>
      </w:r>
      <w:r w:rsidRPr="00444D8F">
        <w:t xml:space="preserve">de asigurarea </w:t>
      </w:r>
      <w:r w:rsidR="00405270" w:rsidRPr="00444D8F">
        <w:t xml:space="preserve">unui </w:t>
      </w:r>
      <w:r w:rsidRPr="00444D8F">
        <w:t>nivel ridicat</w:t>
      </w:r>
      <w:r w:rsidR="00E56FBE" w:rsidRPr="00444D8F">
        <w:t xml:space="preserve"> </w:t>
      </w:r>
      <w:r w:rsidR="00405270" w:rsidRPr="00444D8F">
        <w:t xml:space="preserve">şi de </w:t>
      </w:r>
      <w:r w:rsidRPr="00444D8F">
        <w:t xml:space="preserve">o distribuţie egală </w:t>
      </w:r>
      <w:r w:rsidR="00405270" w:rsidRPr="00444D8F">
        <w:t xml:space="preserve">a calificării. </w:t>
      </w:r>
      <w:r w:rsidRPr="00444D8F">
        <w:t xml:space="preserve">În ciuda resurselor importante </w:t>
      </w:r>
      <w:r w:rsidR="00E56FBE" w:rsidRPr="00444D8F">
        <w:t>investi</w:t>
      </w:r>
      <w:r w:rsidRPr="00444D8F">
        <w:t xml:space="preserve">te </w:t>
      </w:r>
      <w:r w:rsidR="00E56FBE" w:rsidRPr="00444D8F">
        <w:t xml:space="preserve">în </w:t>
      </w:r>
      <w:r w:rsidRPr="00444D8F">
        <w:t>educaţie, garant</w:t>
      </w:r>
      <w:r w:rsidR="00E56FBE" w:rsidRPr="00444D8F">
        <w:t>area</w:t>
      </w:r>
      <w:r w:rsidRPr="00444D8F">
        <w:t xml:space="preserve"> </w:t>
      </w:r>
      <w:r w:rsidRPr="00444D8F">
        <w:rPr>
          <w:i/>
        </w:rPr>
        <w:t>"valo</w:t>
      </w:r>
      <w:r w:rsidR="00E56FBE" w:rsidRPr="00444D8F">
        <w:rPr>
          <w:i/>
        </w:rPr>
        <w:t>rii banilor</w:t>
      </w:r>
      <w:r w:rsidR="009E6C45" w:rsidRPr="00444D8F">
        <w:rPr>
          <w:i/>
        </w:rPr>
        <w:t xml:space="preserve"> </w:t>
      </w:r>
      <w:r w:rsidR="00E56FBE" w:rsidRPr="00444D8F">
        <w:rPr>
          <w:i/>
        </w:rPr>
        <w:t>/</w:t>
      </w:r>
      <w:r w:rsidR="009E6C45" w:rsidRPr="00444D8F">
        <w:rPr>
          <w:i/>
        </w:rPr>
        <w:t xml:space="preserve"> rentabilităţii</w:t>
      </w:r>
      <w:r w:rsidRPr="00444D8F">
        <w:rPr>
          <w:i/>
        </w:rPr>
        <w:t>"</w:t>
      </w:r>
      <w:r w:rsidRPr="00444D8F">
        <w:t xml:space="preserve"> în educaţie reprezintă o provocare majoră. O problemă deosebit de gravă este cota </w:t>
      </w:r>
      <w:r w:rsidR="00E56FBE" w:rsidRPr="00444D8F">
        <w:t xml:space="preserve">ridicată a </w:t>
      </w:r>
      <w:r w:rsidRPr="00444D8F">
        <w:t>cohorte</w:t>
      </w:r>
      <w:r w:rsidR="00E56FBE" w:rsidRPr="00444D8F">
        <w:t>lor</w:t>
      </w:r>
      <w:r w:rsidRPr="00444D8F">
        <w:t xml:space="preserve"> de tineri care nu </w:t>
      </w:r>
      <w:r w:rsidR="000B6347" w:rsidRPr="00444D8F">
        <w:t>dobând</w:t>
      </w:r>
      <w:r w:rsidRPr="00444D8F">
        <w:t>esc o educaţie relevantă pe piaţa muncii.</w:t>
      </w:r>
    </w:p>
    <w:p w:rsidR="00FF774A" w:rsidRPr="00444D8F" w:rsidRDefault="000B6347" w:rsidP="009D1756">
      <w:pPr>
        <w:jc w:val="both"/>
      </w:pPr>
      <w:r w:rsidRPr="00444D8F">
        <w:t xml:space="preserve">Există </w:t>
      </w:r>
      <w:r w:rsidR="000F093A" w:rsidRPr="00444D8F">
        <w:t xml:space="preserve">provocări </w:t>
      </w:r>
      <w:r w:rsidRPr="00444D8F">
        <w:t xml:space="preserve">şi </w:t>
      </w:r>
      <w:r w:rsidR="000F093A" w:rsidRPr="00444D8F">
        <w:t xml:space="preserve">în cadrul sectorului public. </w:t>
      </w:r>
      <w:r w:rsidRPr="00444D8F">
        <w:t xml:space="preserve">Întrucât </w:t>
      </w:r>
      <w:r w:rsidR="000F093A" w:rsidRPr="00444D8F">
        <w:t>este mare</w:t>
      </w:r>
      <w:r w:rsidRPr="00444D8F">
        <w:t>,</w:t>
      </w:r>
      <w:r w:rsidR="000F093A" w:rsidRPr="00444D8F">
        <w:t xml:space="preserve"> şi nu </w:t>
      </w:r>
      <w:r w:rsidRPr="00444D8F">
        <w:t xml:space="preserve">este </w:t>
      </w:r>
      <w:r w:rsidR="000F093A" w:rsidRPr="00444D8F">
        <w:t>expus direct forţel</w:t>
      </w:r>
      <w:r w:rsidRPr="00444D8F">
        <w:t>or</w:t>
      </w:r>
      <w:r w:rsidR="000F093A" w:rsidRPr="00444D8F">
        <w:t xml:space="preserve"> pieţei, este esenţial să se menţină concentrarea asupra eficienţei şi productivităţii în cadrul sectorului. </w:t>
      </w:r>
      <w:r w:rsidRPr="00444D8F">
        <w:t>F</w:t>
      </w:r>
      <w:r w:rsidR="000F093A" w:rsidRPr="00444D8F">
        <w:t xml:space="preserve">inanţele publice vor fi tensionate în viitor şi </w:t>
      </w:r>
      <w:r w:rsidRPr="00444D8F">
        <w:t xml:space="preserve">trebuie </w:t>
      </w:r>
      <w:r w:rsidR="009F4F65" w:rsidRPr="00444D8F">
        <w:t xml:space="preserve">aduse </w:t>
      </w:r>
      <w:r w:rsidR="000F093A" w:rsidRPr="00444D8F">
        <w:t xml:space="preserve">îmbunătăţiri, fie prin realocarea resurselor sau </w:t>
      </w:r>
      <w:r w:rsidR="009F4F65" w:rsidRPr="00444D8F">
        <w:t>ameliora</w:t>
      </w:r>
      <w:r w:rsidR="000F093A" w:rsidRPr="00444D8F">
        <w:t>rea eficienţei şi productivităţii.</w:t>
      </w:r>
    </w:p>
    <w:p w:rsidR="00EA755C" w:rsidRPr="00444D8F" w:rsidRDefault="00EA755C" w:rsidP="009D1756">
      <w:pPr>
        <w:jc w:val="both"/>
      </w:pPr>
    </w:p>
    <w:p w:rsidR="008904D5" w:rsidRPr="00444D8F" w:rsidRDefault="008904D5" w:rsidP="009D1756">
      <w:pPr>
        <w:jc w:val="both"/>
        <w:rPr>
          <w:b/>
        </w:rPr>
      </w:pPr>
    </w:p>
    <w:p w:rsidR="008904D5" w:rsidRPr="00444D8F" w:rsidRDefault="008904D5" w:rsidP="009D1756">
      <w:pPr>
        <w:jc w:val="both"/>
        <w:rPr>
          <w:b/>
        </w:rPr>
      </w:pPr>
    </w:p>
    <w:p w:rsidR="008904D5" w:rsidRPr="00444D8F" w:rsidRDefault="008904D5" w:rsidP="009D1756">
      <w:pPr>
        <w:jc w:val="both"/>
        <w:rPr>
          <w:b/>
        </w:rPr>
      </w:pPr>
    </w:p>
    <w:p w:rsidR="00FF774A" w:rsidRPr="00444D8F" w:rsidRDefault="00FF774A" w:rsidP="009D1756">
      <w:pPr>
        <w:jc w:val="both"/>
        <w:rPr>
          <w:b/>
        </w:rPr>
      </w:pPr>
      <w:r w:rsidRPr="00444D8F">
        <w:rPr>
          <w:b/>
        </w:rPr>
        <w:t>Refer</w:t>
      </w:r>
      <w:r w:rsidR="00F3160C" w:rsidRPr="00444D8F">
        <w:rPr>
          <w:b/>
        </w:rPr>
        <w:t>inţe</w:t>
      </w:r>
    </w:p>
    <w:p w:rsidR="00FF774A" w:rsidRPr="00444D8F" w:rsidRDefault="00FF774A" w:rsidP="009D1756">
      <w:pPr>
        <w:jc w:val="both"/>
      </w:pPr>
      <w:r w:rsidRPr="00444D8F">
        <w:t xml:space="preserve">Adema, W., P. Fron and M. Ladaique (2011), “Is the European Welfare State Really More Expensive? Indicators on Social Spending, 1980–2012,” OECD Social, Employment and Migration Working Paper No. 124. </w:t>
      </w:r>
    </w:p>
    <w:p w:rsidR="00FF774A" w:rsidRPr="00444D8F" w:rsidRDefault="00FF774A" w:rsidP="009D1756">
      <w:pPr>
        <w:jc w:val="both"/>
      </w:pPr>
      <w:r w:rsidRPr="00444D8F">
        <w:t>Andersen, T. M. (2015a), “The Welfare State and Economic Performance,” Bilaga Långtidsutredningen 2015, SOU 2015:53, Minis try of Finance, Stockholm.</w:t>
      </w:r>
    </w:p>
    <w:p w:rsidR="00FF774A" w:rsidRPr="00444D8F" w:rsidRDefault="00FF774A" w:rsidP="009D1756">
      <w:pPr>
        <w:jc w:val="both"/>
      </w:pPr>
      <w:r w:rsidRPr="00444D8F">
        <w:t>Andersen, T. M. (2015b), “The Danish Flexicurity Labour Market during the Great Recession,” De Economist 163, pp. 473–90.</w:t>
      </w:r>
    </w:p>
    <w:p w:rsidR="00FF774A" w:rsidRPr="00444D8F" w:rsidRDefault="00FF774A" w:rsidP="009D1756">
      <w:pPr>
        <w:jc w:val="both"/>
      </w:pPr>
      <w:r w:rsidRPr="00444D8F">
        <w:t>Arnold, J., B. Brys, C. Heady, A. Johannson, C. Schwellnus and L. Vartia (2011), “Tax Policy for Economic Recovery and Growth,” Economic Journal 121, pp. F59–80.</w:t>
      </w:r>
    </w:p>
    <w:p w:rsidR="00FF774A" w:rsidRPr="00444D8F" w:rsidRDefault="00FF774A" w:rsidP="009D1756">
      <w:pPr>
        <w:jc w:val="both"/>
      </w:pPr>
      <w:r w:rsidRPr="00444D8F">
        <w:t>Bogetoft, P., E. Heinesen and T. Tranæs (2015), “The Efficiency of Educational Production: A Comparison of the Nordic Countries with other OECD Countries,” CESifo Working Paper No. 5514.</w:t>
      </w:r>
    </w:p>
    <w:p w:rsidR="00FF774A" w:rsidRPr="00444D8F" w:rsidRDefault="00FF774A" w:rsidP="009D1756">
      <w:pPr>
        <w:jc w:val="both"/>
      </w:pPr>
      <w:r w:rsidRPr="00444D8F">
        <w:t>Blanchard, O. and J. Tirole (2003), “Contours of Employment Protection Reform,” MIT Department of Economics Working Paper No. 03-35.</w:t>
      </w:r>
    </w:p>
    <w:p w:rsidR="00FF774A" w:rsidRPr="00444D8F" w:rsidRDefault="00FF774A" w:rsidP="009D1756">
      <w:pPr>
        <w:jc w:val="both"/>
      </w:pPr>
      <w:r w:rsidRPr="00444D8F">
        <w:t>Chaloff, J. and G. Lemaître (2009), “Managing Highly Skilled Labour Migration: A Comparative Analysis of Migration Policies and Challenges in OECD Countries,” OECD Working Paper No. 79.</w:t>
      </w:r>
    </w:p>
    <w:p w:rsidR="00FF774A" w:rsidRPr="00444D8F" w:rsidRDefault="00FF774A" w:rsidP="009D1756">
      <w:pPr>
        <w:jc w:val="both"/>
      </w:pPr>
      <w:r w:rsidRPr="00444D8F">
        <w:lastRenderedPageBreak/>
        <w:t>Danish Economic Council (2014), The Danish Economy – Autumn (Dansk Økonomi – Efterår 2014), Copenhagen.</w:t>
      </w:r>
    </w:p>
    <w:p w:rsidR="00FF774A" w:rsidRPr="00444D8F" w:rsidRDefault="00FF774A" w:rsidP="009D1756">
      <w:pPr>
        <w:jc w:val="both"/>
      </w:pPr>
      <w:r w:rsidRPr="00444D8F">
        <w:t>Danish Economic Council (2015), The Danish Economy – Autumn (Dansk Økonomi – Forår 2015), Copenhagen.</w:t>
      </w:r>
    </w:p>
    <w:p w:rsidR="00FF774A" w:rsidRPr="00444D8F" w:rsidRDefault="00FF774A" w:rsidP="009D1756">
      <w:pPr>
        <w:jc w:val="both"/>
      </w:pPr>
      <w:r w:rsidRPr="00444D8F">
        <w:t>Danish Ministry of Finance (2015), Danish Convergence Programme, Copenhagen.</w:t>
      </w:r>
    </w:p>
    <w:p w:rsidR="00FF774A" w:rsidRPr="00444D8F" w:rsidRDefault="00FF774A" w:rsidP="009D1756">
      <w:pPr>
        <w:jc w:val="both"/>
      </w:pPr>
      <w:r w:rsidRPr="00444D8F">
        <w:t>De Girogi, G. and M. Pellizzari (2013), “Welfare Migration in Europe,” Labour Economics 16, pp. 353–63.</w:t>
      </w:r>
    </w:p>
    <w:p w:rsidR="00FF774A" w:rsidRPr="00444D8F" w:rsidRDefault="00FF774A" w:rsidP="009D1756">
      <w:pPr>
        <w:jc w:val="both"/>
      </w:pPr>
      <w:r w:rsidRPr="00444D8F">
        <w:t>Gemmell, N., R. Kneller and I. Sanz (2011), “The Timing and Persistence of Fiscal Policy Impacts on Growth: Evidence from OECD Countries,” Economic Journal 121, pp. F33–58.</w:t>
      </w:r>
    </w:p>
    <w:p w:rsidR="00FF774A" w:rsidRPr="00444D8F" w:rsidRDefault="00FF774A" w:rsidP="009D1756">
      <w:pPr>
        <w:jc w:val="both"/>
      </w:pPr>
      <w:r w:rsidRPr="00444D8F">
        <w:t>Giulietti, C., M. Guzi., M. Kahanec and K. F. Zimmermann (2013), “Unemployment Benefits and Immigration: Evidence from the EU,” International Journal of Manpower 34, pp. 24–38.</w:t>
      </w:r>
    </w:p>
    <w:p w:rsidR="00FF774A" w:rsidRPr="00444D8F" w:rsidRDefault="00FF774A" w:rsidP="009D1756">
      <w:pPr>
        <w:jc w:val="both"/>
      </w:pPr>
      <w:r w:rsidRPr="00444D8F">
        <w:t>Gordon, R. (2007), “Issues in the Comparison of Welfare between Europe and the United States,” Working Paper, North-Western University.</w:t>
      </w:r>
    </w:p>
    <w:p w:rsidR="00FF774A" w:rsidRPr="00444D8F" w:rsidRDefault="00FF774A" w:rsidP="009D1756">
      <w:pPr>
        <w:jc w:val="both"/>
      </w:pPr>
      <w:r w:rsidRPr="00444D8F">
        <w:t>Hansen, M. F., M.L. Schultz-Nielsen and T. Tranæs (2015), “The Impact of Immigrants on Public Finances – A Forecast Analysis for Denmark,” Rockwool Foundation Research Unit Study Paper No. 90.</w:t>
      </w:r>
    </w:p>
    <w:p w:rsidR="00FF774A" w:rsidRPr="00444D8F" w:rsidRDefault="00FF774A" w:rsidP="009D1756">
      <w:pPr>
        <w:jc w:val="both"/>
      </w:pPr>
      <w:r w:rsidRPr="00444D8F">
        <w:t xml:space="preserve">Helliwell, J. F., H. Huang and S. Wang (2015), “The Geography of World Happiness,” in: J. Helliwell, R. Layard and J. Sachs, eds., World Happiness Report 2015, Sustainable Development Solutions Network, New York, pp. 12–41. </w:t>
      </w:r>
    </w:p>
    <w:p w:rsidR="00FF774A" w:rsidRPr="00444D8F" w:rsidRDefault="00FF774A" w:rsidP="009D1756">
      <w:pPr>
        <w:jc w:val="both"/>
      </w:pPr>
      <w:r w:rsidRPr="00444D8F">
        <w:t>Mercer (2015), Melbourne Mercer Global Pension Index, Australian Centre for Financial Studies, Melbourne.</w:t>
      </w:r>
    </w:p>
    <w:p w:rsidR="00FF774A" w:rsidRPr="00444D8F" w:rsidRDefault="00FF774A" w:rsidP="009D1756">
      <w:pPr>
        <w:jc w:val="both"/>
      </w:pPr>
      <w:r w:rsidRPr="00444D8F">
        <w:t>OECD (2013), “The Fiscal Impact of Immigration in OECD Countries,” in: International Migration Outlook 2013, OECD, Paris.</w:t>
      </w:r>
    </w:p>
    <w:p w:rsidR="00FF774A" w:rsidRPr="00444D8F" w:rsidRDefault="00FF774A" w:rsidP="009D1756">
      <w:pPr>
        <w:jc w:val="both"/>
      </w:pPr>
      <w:r w:rsidRPr="00444D8F">
        <w:t>OECD (2015), OECD Employment Outlook 2015, OECD Publishing, Paris.</w:t>
      </w:r>
    </w:p>
    <w:p w:rsidR="00FF774A" w:rsidRPr="00444D8F" w:rsidRDefault="00FF774A" w:rsidP="009D1756">
      <w:pPr>
        <w:jc w:val="both"/>
      </w:pPr>
      <w:r w:rsidRPr="00444D8F">
        <w:t>Parrotta, P. and D. Pozzoli (2012), “The Effect of Learning by Hiring on Productivity,” The RAND Journal of Economics 43, pp. 167–85.</w:t>
      </w:r>
    </w:p>
    <w:p w:rsidR="00FF774A" w:rsidRPr="00444D8F" w:rsidRDefault="00FF774A" w:rsidP="009D1756">
      <w:pPr>
        <w:jc w:val="both"/>
      </w:pPr>
      <w:r w:rsidRPr="00444D8F">
        <w:t>Pedersen, P. J., M. Pytlikova and N. Smith (2008), “Selection and Network Effects: Migration Flows into OECD Countries 1990– 2000,” European Economic Review 52, pp. 1160–86.</w:t>
      </w:r>
    </w:p>
    <w:p w:rsidR="00FF774A" w:rsidRPr="00444D8F" w:rsidRDefault="00FF774A" w:rsidP="009D1756">
      <w:pPr>
        <w:jc w:val="both"/>
      </w:pPr>
      <w:r w:rsidRPr="00444D8F">
        <w:t>Sala-i-Martin, X., B. Bilbao-Osorio, A. Di Battista, M. Drzeniek Hanouz, C. Galvan and T. Geiger (2014), “The Global Competitiveness Index 2014–2015: Accelerating a Robust Recovery to Create Productive Jobs and Support Inclusive Growth,” in: K. Schwab, ed., The Global Competitiveness Report 2014–2015, World Economic Forum, Geneva, pp. 3–52.</w:t>
      </w:r>
    </w:p>
    <w:p w:rsidR="00FF774A" w:rsidRPr="00444D8F" w:rsidRDefault="00FF774A" w:rsidP="009D1756">
      <w:pPr>
        <w:jc w:val="both"/>
      </w:pPr>
      <w:r w:rsidRPr="00444D8F">
        <w:t xml:space="preserve">Skupnik, C. (2014), “EU Enlargement and the Race to the Bottom of Welfare States,” IZA Journal of Migration 3:15, pp. 1–21. </w:t>
      </w:r>
    </w:p>
    <w:p w:rsidR="00FF774A" w:rsidRPr="00444D8F" w:rsidRDefault="00FF774A" w:rsidP="009D1756">
      <w:pPr>
        <w:jc w:val="both"/>
      </w:pPr>
      <w:r w:rsidRPr="00444D8F">
        <w:lastRenderedPageBreak/>
        <w:t>Sinn, H.-W. (2006), “Scandinavia’s Accounting Trick,” Ifo Viewpoint No. 80.</w:t>
      </w:r>
    </w:p>
    <w:p w:rsidR="00FF774A" w:rsidRPr="00444D8F" w:rsidRDefault="00FF774A" w:rsidP="009D1756">
      <w:pPr>
        <w:jc w:val="both"/>
      </w:pPr>
      <w:r w:rsidRPr="00444D8F">
        <w:t xml:space="preserve">Statistics Denmark (2014), Offentlig production og effektivitet 2005– 2012 (Public Production and Efficiency 2005–2012), Copenhagen. </w:t>
      </w:r>
    </w:p>
    <w:p w:rsidR="00FF774A" w:rsidRPr="00444D8F" w:rsidRDefault="00FF774A" w:rsidP="009D1756">
      <w:pPr>
        <w:jc w:val="both"/>
      </w:pPr>
      <w:r w:rsidRPr="00444D8F">
        <w:t>Stiglitz, J. E., A. Sen and J.-P. Fitoussi (2009), Report by the Commission on the Measurement of Economic Performance, and Social Progress, Paris.</w:t>
      </w:r>
    </w:p>
    <w:p w:rsidR="00FF774A" w:rsidRPr="00444D8F" w:rsidRDefault="00FF774A" w:rsidP="009D1756">
      <w:pPr>
        <w:jc w:val="both"/>
      </w:pPr>
      <w:r w:rsidRPr="00444D8F">
        <w:t>World Bank (2015), Doing Business 2015 – Going Beyond Efficiency, The World Bank Group, Washington, D.C.</w:t>
      </w:r>
    </w:p>
    <w:p w:rsidR="00FF774A" w:rsidRPr="00444D8F" w:rsidRDefault="00FF774A" w:rsidP="009D1756">
      <w:pPr>
        <w:jc w:val="both"/>
      </w:pPr>
      <w:r w:rsidRPr="00444D8F">
        <w:t xml:space="preserve"> </w:t>
      </w:r>
    </w:p>
    <w:p w:rsidR="00F85489" w:rsidRPr="00444D8F" w:rsidRDefault="00F85489" w:rsidP="009D1756">
      <w:pPr>
        <w:jc w:val="both"/>
        <w:rPr>
          <w:b/>
        </w:rPr>
      </w:pPr>
    </w:p>
    <w:p w:rsidR="00F85489" w:rsidRPr="00444D8F" w:rsidRDefault="00F85489" w:rsidP="009D1756">
      <w:pPr>
        <w:jc w:val="both"/>
        <w:rPr>
          <w:b/>
        </w:rPr>
      </w:pPr>
    </w:p>
    <w:p w:rsidR="00F85489" w:rsidRPr="00444D8F" w:rsidRDefault="00F85489" w:rsidP="009D1756">
      <w:pPr>
        <w:jc w:val="both"/>
        <w:rPr>
          <w:b/>
        </w:rPr>
      </w:pPr>
    </w:p>
    <w:p w:rsidR="00F85489" w:rsidRPr="00444D8F" w:rsidRDefault="00F85489" w:rsidP="009D1756">
      <w:pPr>
        <w:jc w:val="both"/>
        <w:rPr>
          <w:b/>
        </w:rPr>
      </w:pPr>
    </w:p>
    <w:p w:rsidR="009D1756" w:rsidRPr="00444D8F" w:rsidRDefault="00806853" w:rsidP="009D1756">
      <w:pPr>
        <w:jc w:val="both"/>
        <w:rPr>
          <w:b/>
        </w:rPr>
      </w:pPr>
      <w:r w:rsidRPr="00444D8F">
        <w:rPr>
          <w:b/>
        </w:rPr>
        <w:t xml:space="preserve">NOTE EXPLICATIVE </w:t>
      </w:r>
    </w:p>
    <w:p w:rsidR="00D4376B" w:rsidRPr="00444D8F" w:rsidRDefault="00D4376B" w:rsidP="00D4376B">
      <w:pPr>
        <w:jc w:val="both"/>
        <w:rPr>
          <w:b/>
        </w:rPr>
      </w:pPr>
      <w:r w:rsidRPr="00444D8F">
        <w:rPr>
          <w:b/>
        </w:rPr>
        <w:t>OCDE- Organizaţia pentru Cooperare şi Dezvoltare Economică</w:t>
      </w:r>
    </w:p>
    <w:p w:rsidR="00806853" w:rsidRPr="00444D8F" w:rsidRDefault="00806853" w:rsidP="00806853">
      <w:pPr>
        <w:rPr>
          <w:b/>
        </w:rPr>
      </w:pPr>
      <w:r w:rsidRPr="00444D8F">
        <w:rPr>
          <w:b/>
        </w:rPr>
        <w:t xml:space="preserve">Ce este un "ciclu </w:t>
      </w:r>
      <w:r w:rsidRPr="00444D8F">
        <w:rPr>
          <w:b/>
          <w:i/>
        </w:rPr>
        <w:t>boom and bust</w:t>
      </w:r>
      <w:r w:rsidRPr="00444D8F">
        <w:rPr>
          <w:b/>
        </w:rPr>
        <w:t>"</w:t>
      </w:r>
      <w:r w:rsidR="00D4376B" w:rsidRPr="00444D8F">
        <w:rPr>
          <w:b/>
        </w:rPr>
        <w:t>?</w:t>
      </w:r>
    </w:p>
    <w:p w:rsidR="00806853" w:rsidRPr="00444D8F" w:rsidRDefault="00806853" w:rsidP="00806853">
      <w:r w:rsidRPr="00444D8F">
        <w:t xml:space="preserve">Un ciclu </w:t>
      </w:r>
      <w:r w:rsidRPr="00444D8F">
        <w:rPr>
          <w:i/>
        </w:rPr>
        <w:t>boom and bust</w:t>
      </w:r>
      <w:r w:rsidRPr="00444D8F">
        <w:t xml:space="preserve"> este un proces de expansiune şi contracţie economică care apare în mod repetat. Ciclul </w:t>
      </w:r>
      <w:r w:rsidRPr="00444D8F">
        <w:rPr>
          <w:b/>
        </w:rPr>
        <w:t>boom and bust</w:t>
      </w:r>
      <w:r w:rsidRPr="00444D8F">
        <w:t xml:space="preserve"> este o caracteristică esenţială a economiilor capitaliste de astăzi. În timpul </w:t>
      </w:r>
      <w:r w:rsidRPr="00444D8F">
        <w:rPr>
          <w:b/>
        </w:rPr>
        <w:t>boom-ului</w:t>
      </w:r>
      <w:r w:rsidRPr="00444D8F">
        <w:t xml:space="preserve"> economia creşte, locurile de muncă sunt abundente, iar piaţa aduce profituri ridicate investitorilor. În </w:t>
      </w:r>
      <w:r w:rsidRPr="00444D8F">
        <w:rPr>
          <w:b/>
        </w:rPr>
        <w:t>bustul ulterior</w:t>
      </w:r>
      <w:r w:rsidRPr="00444D8F">
        <w:t xml:space="preserve"> e</w:t>
      </w:r>
      <w:r w:rsidR="001F4C26" w:rsidRPr="00444D8F">
        <w:t xml:space="preserve">conomia se micşorează, oamenii </w:t>
      </w:r>
      <w:r w:rsidRPr="00444D8F">
        <w:t xml:space="preserve">îşi pierd locurile de muncă şi investitorii îşi pierd banii. Ciclurile </w:t>
      </w:r>
      <w:r w:rsidRPr="00444D8F">
        <w:rPr>
          <w:i/>
        </w:rPr>
        <w:t>boom-bust</w:t>
      </w:r>
      <w:r w:rsidRPr="00444D8F">
        <w:t xml:space="preserve"> durează perioade diferite de timp; de asemenea, ele variază în severitate.</w:t>
      </w:r>
    </w:p>
    <w:p w:rsidR="00806853" w:rsidRPr="00444D8F" w:rsidRDefault="00806853" w:rsidP="00806853">
      <w:pPr>
        <w:rPr>
          <w:b/>
        </w:rPr>
      </w:pPr>
      <w:r w:rsidRPr="00444D8F">
        <w:rPr>
          <w:b/>
        </w:rPr>
        <w:t>Flexicuritatea</w:t>
      </w:r>
    </w:p>
    <w:p w:rsidR="00806853" w:rsidRPr="00444D8F" w:rsidRDefault="00806853" w:rsidP="00806853">
      <w:r w:rsidRPr="00444D8F">
        <w:t xml:space="preserve">"Flexicuritatea poate fi definită ca o strategie integrată care are ca scop sporirea, în acelaşi timp, a flexibilitatii şi securitatii pe piaţa forţei de muncă" </w:t>
      </w:r>
    </w:p>
    <w:p w:rsidR="00806853" w:rsidRPr="00444D8F" w:rsidRDefault="00806853" w:rsidP="00806853">
      <w:r w:rsidRPr="00444D8F">
        <w:t>"Flexicuritatea” reprezint</w:t>
      </w:r>
      <w:r w:rsidRPr="00444D8F">
        <w:rPr>
          <w:lang w:val="ro-RO"/>
        </w:rPr>
        <w:t>ă</w:t>
      </w:r>
      <w:r w:rsidRPr="00444D8F">
        <w:t xml:space="preserve"> atingerea echilibrului corect între acordurile flexibile şi tranziţia sigură c</w:t>
      </w:r>
      <w:r w:rsidRPr="00444D8F">
        <w:rPr>
          <w:lang w:val="ro-RO"/>
        </w:rPr>
        <w:t>ă</w:t>
      </w:r>
      <w:r w:rsidRPr="00444D8F">
        <w:t xml:space="preserve">tre locurile de muncă, astfel încât să poată fi create mai multe locuri de muncă mai bune. Ideea este că flexibilitatea şi securitatea nu ar trebui să fie privite ca opuse, ci complementare. </w:t>
      </w:r>
    </w:p>
    <w:p w:rsidR="00D4376B" w:rsidRPr="00444D8F" w:rsidRDefault="00D4376B" w:rsidP="00D4376B">
      <w:r w:rsidRPr="00444D8F">
        <w:rPr>
          <w:b/>
        </w:rPr>
        <w:t>Workfare</w:t>
      </w:r>
      <w:r w:rsidRPr="00444D8F">
        <w:t xml:space="preserve"> este numele dat schemelor guvernamentale în cazul în care persoanele aflate în </w:t>
      </w:r>
      <w:r w:rsidR="00F85489" w:rsidRPr="00444D8F">
        <w:t>ş</w:t>
      </w:r>
      <w:r w:rsidRPr="00444D8F">
        <w:t xml:space="preserve">omaj </w:t>
      </w:r>
      <w:r w:rsidR="00F85489" w:rsidRPr="00444D8F">
        <w:t>ş</w:t>
      </w:r>
      <w:r w:rsidRPr="00444D8F">
        <w:t>i persoanele cu dizabilită</w:t>
      </w:r>
      <w:r w:rsidR="00F85489" w:rsidRPr="00444D8F">
        <w:t>ţ</w:t>
      </w:r>
      <w:r w:rsidRPr="00444D8F">
        <w:t>i trebuie să lucreze în schimbul beneficiilor lor.</w:t>
      </w:r>
    </w:p>
    <w:p w:rsidR="00A6697F" w:rsidRPr="00444D8F" w:rsidRDefault="00A6697F" w:rsidP="009D1756">
      <w:pPr>
        <w:jc w:val="both"/>
      </w:pPr>
    </w:p>
    <w:sectPr w:rsidR="00A6697F" w:rsidRPr="00444D8F">
      <w:footerReference w:type="default" r:id="rId1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26" w:rsidRDefault="001F4C26" w:rsidP="00C467F5">
      <w:pPr>
        <w:spacing w:after="0" w:line="240" w:lineRule="auto"/>
      </w:pPr>
      <w:r>
        <w:separator/>
      </w:r>
    </w:p>
  </w:endnote>
  <w:endnote w:type="continuationSeparator" w:id="0">
    <w:p w:rsidR="001F4C26" w:rsidRDefault="001F4C26" w:rsidP="00C4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89410"/>
      <w:docPartObj>
        <w:docPartGallery w:val="Page Numbers (Bottom of Page)"/>
        <w:docPartUnique/>
      </w:docPartObj>
    </w:sdtPr>
    <w:sdtEndPr>
      <w:rPr>
        <w:noProof/>
      </w:rPr>
    </w:sdtEndPr>
    <w:sdtContent>
      <w:p w:rsidR="001F4C26" w:rsidRDefault="001F4C26">
        <w:pPr>
          <w:pStyle w:val="Footer"/>
          <w:jc w:val="center"/>
        </w:pPr>
        <w:r>
          <w:fldChar w:fldCharType="begin"/>
        </w:r>
        <w:r>
          <w:instrText xml:space="preserve"> PAGE   \* MERGEFORMAT </w:instrText>
        </w:r>
        <w:r>
          <w:fldChar w:fldCharType="separate"/>
        </w:r>
        <w:r w:rsidR="005A37BE">
          <w:rPr>
            <w:noProof/>
          </w:rPr>
          <w:t>1</w:t>
        </w:r>
        <w:r>
          <w:rPr>
            <w:noProof/>
          </w:rPr>
          <w:fldChar w:fldCharType="end"/>
        </w:r>
      </w:p>
    </w:sdtContent>
  </w:sdt>
  <w:p w:rsidR="001F4C26" w:rsidRDefault="001F4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26" w:rsidRDefault="001F4C26" w:rsidP="00C467F5">
      <w:pPr>
        <w:spacing w:after="0" w:line="240" w:lineRule="auto"/>
      </w:pPr>
      <w:r>
        <w:separator/>
      </w:r>
    </w:p>
  </w:footnote>
  <w:footnote w:type="continuationSeparator" w:id="0">
    <w:p w:rsidR="001F4C26" w:rsidRDefault="001F4C26" w:rsidP="00C467F5">
      <w:pPr>
        <w:spacing w:after="0" w:line="240" w:lineRule="auto"/>
      </w:pPr>
      <w:r>
        <w:continuationSeparator/>
      </w:r>
    </w:p>
  </w:footnote>
  <w:footnote w:id="1">
    <w:p w:rsidR="001F4C26" w:rsidRPr="001F4C26" w:rsidRDefault="001F4C26" w:rsidP="00E55993">
      <w:pPr>
        <w:pStyle w:val="ListParagraph"/>
        <w:ind w:left="900"/>
        <w:jc w:val="both"/>
        <w:rPr>
          <w:sz w:val="16"/>
          <w:szCs w:val="16"/>
        </w:rPr>
      </w:pPr>
      <w:r w:rsidRPr="001F4C26">
        <w:rPr>
          <w:rStyle w:val="FootnoteReference"/>
        </w:rPr>
        <w:footnoteRef/>
      </w:r>
      <w:r w:rsidRPr="001F4C26">
        <w:t xml:space="preserve"> </w:t>
      </w:r>
      <w:r w:rsidRPr="001F4C26">
        <w:rPr>
          <w:sz w:val="16"/>
          <w:szCs w:val="16"/>
        </w:rPr>
        <w:t xml:space="preserve">În conformitate cu Indicele </w:t>
      </w:r>
      <w:r>
        <w:rPr>
          <w:sz w:val="16"/>
          <w:szCs w:val="16"/>
        </w:rPr>
        <w:t xml:space="preserve">pentru </w:t>
      </w:r>
      <w:r w:rsidRPr="001F4C26">
        <w:rPr>
          <w:sz w:val="16"/>
          <w:szCs w:val="16"/>
        </w:rPr>
        <w:t>Pensii Melbourne Mercer Global, cf. Mercer (2015).</w:t>
      </w:r>
    </w:p>
  </w:footnote>
  <w:footnote w:id="2">
    <w:p w:rsidR="001F4C26" w:rsidRPr="001F4C26" w:rsidRDefault="001F4C26" w:rsidP="003A65ED">
      <w:pPr>
        <w:pStyle w:val="ListParagraph"/>
        <w:ind w:left="900"/>
        <w:jc w:val="both"/>
        <w:rPr>
          <w:sz w:val="16"/>
          <w:szCs w:val="16"/>
        </w:rPr>
      </w:pPr>
      <w:r w:rsidRPr="001F4C26">
        <w:rPr>
          <w:rStyle w:val="FootnoteReference"/>
        </w:rPr>
        <w:footnoteRef/>
      </w:r>
      <w:r w:rsidRPr="001F4C26">
        <w:t xml:space="preserve"> </w:t>
      </w:r>
      <w:r w:rsidRPr="001F4C26">
        <w:rPr>
          <w:sz w:val="16"/>
          <w:szCs w:val="16"/>
        </w:rPr>
        <w:t>Clasată pe locul 3 din 158 în World Happiness Report 2015, cf. Helliwell şi colab. (2015)</w:t>
      </w:r>
    </w:p>
  </w:footnote>
  <w:footnote w:id="3">
    <w:p w:rsidR="001F4C26" w:rsidRPr="001F4C26" w:rsidRDefault="001F4C26" w:rsidP="003A65ED">
      <w:pPr>
        <w:jc w:val="both"/>
        <w:rPr>
          <w:sz w:val="16"/>
          <w:szCs w:val="16"/>
        </w:rPr>
      </w:pPr>
      <w:r w:rsidRPr="001F4C26">
        <w:rPr>
          <w:rStyle w:val="FootnoteReference"/>
          <w:sz w:val="16"/>
          <w:szCs w:val="16"/>
        </w:rPr>
        <w:footnoteRef/>
      </w:r>
      <w:r w:rsidRPr="001F4C26">
        <w:rPr>
          <w:sz w:val="16"/>
          <w:szCs w:val="16"/>
        </w:rPr>
        <w:t xml:space="preserve"> Sistemul cuprinde şi o serie de verificări şi balanţe, de exemplu numerele de identificare individual/codurile pentru a asigura că toate veniturile sunt declarate pentru impozitare. Acest lucru ridică problema de tip "Big Brother". Dar este şi motivul pentru care ţările nordice au la dispoziţie date individualizate bogate pentru cercetare!</w:t>
      </w:r>
    </w:p>
  </w:footnote>
  <w:footnote w:id="4">
    <w:p w:rsidR="001F4C26" w:rsidRPr="001F4C26" w:rsidRDefault="001F4C26" w:rsidP="003A65ED">
      <w:pPr>
        <w:spacing w:after="0" w:line="274" w:lineRule="auto"/>
        <w:jc w:val="both"/>
        <w:rPr>
          <w:rFonts w:eastAsia="Times New Roman" w:cstheme="minorHAnsi"/>
          <w:sz w:val="16"/>
          <w:szCs w:val="16"/>
        </w:rPr>
      </w:pPr>
      <w:r w:rsidRPr="001F4C26">
        <w:rPr>
          <w:rStyle w:val="FootnoteReference"/>
          <w:sz w:val="16"/>
          <w:szCs w:val="16"/>
        </w:rPr>
        <w:footnoteRef/>
      </w:r>
      <w:r w:rsidRPr="001F4C26">
        <w:rPr>
          <w:sz w:val="16"/>
          <w:szCs w:val="16"/>
        </w:rPr>
        <w:t xml:space="preserve"> </w:t>
      </w:r>
      <w:r w:rsidRPr="001F4C26">
        <w:rPr>
          <w:rFonts w:eastAsia="Times New Roman" w:cstheme="minorHAnsi"/>
          <w:sz w:val="16"/>
          <w:szCs w:val="16"/>
        </w:rPr>
        <w:t>A se vedea OCDE, “Economy-wide Regulation,” Statistica OCDE Regulamentul privind piaţa produselor (baza de date), ultima accesare 31 decembrie 2015.</w:t>
      </w:r>
    </w:p>
  </w:footnote>
  <w:footnote w:id="5">
    <w:p w:rsidR="001F4C26" w:rsidRPr="001F4C26" w:rsidRDefault="001F4C26" w:rsidP="003A65ED">
      <w:pPr>
        <w:tabs>
          <w:tab w:val="center" w:pos="869"/>
        </w:tabs>
        <w:spacing w:after="0" w:line="259" w:lineRule="auto"/>
        <w:jc w:val="both"/>
        <w:rPr>
          <w:rFonts w:eastAsia="Times New Roman" w:cstheme="minorHAnsi"/>
          <w:sz w:val="16"/>
          <w:szCs w:val="16"/>
        </w:rPr>
      </w:pPr>
      <w:r w:rsidRPr="001F4C26">
        <w:rPr>
          <w:rStyle w:val="FootnoteReference"/>
          <w:sz w:val="16"/>
          <w:szCs w:val="16"/>
        </w:rPr>
        <w:footnoteRef/>
      </w:r>
      <w:r w:rsidRPr="001F4C26">
        <w:rPr>
          <w:sz w:val="16"/>
          <w:szCs w:val="16"/>
        </w:rPr>
        <w:t xml:space="preserve"> </w:t>
      </w:r>
      <w:r w:rsidRPr="001F4C26">
        <w:rPr>
          <w:rFonts w:eastAsia="Times New Roman" w:cstheme="minorHAnsi"/>
          <w:sz w:val="16"/>
          <w:szCs w:val="16"/>
          <w:vertAlign w:val="superscript"/>
        </w:rPr>
        <w:t xml:space="preserve"> </w:t>
      </w:r>
      <w:r w:rsidRPr="001F4C26">
        <w:rPr>
          <w:rFonts w:eastAsia="Times New Roman" w:cstheme="minorHAnsi"/>
          <w:sz w:val="16"/>
          <w:szCs w:val="16"/>
        </w:rPr>
        <w:t>A se vedea Banca Mondială (2015).</w:t>
      </w:r>
    </w:p>
  </w:footnote>
  <w:footnote w:id="6">
    <w:p w:rsidR="001F4C26" w:rsidRPr="001F4C26" w:rsidRDefault="001F4C26" w:rsidP="003A65ED">
      <w:pPr>
        <w:tabs>
          <w:tab w:val="center" w:pos="1075"/>
        </w:tabs>
        <w:spacing w:after="0" w:line="259" w:lineRule="auto"/>
        <w:jc w:val="both"/>
        <w:rPr>
          <w:rFonts w:eastAsia="Times New Roman" w:cstheme="minorHAnsi"/>
          <w:sz w:val="16"/>
          <w:szCs w:val="16"/>
        </w:rPr>
      </w:pPr>
      <w:r w:rsidRPr="001F4C26">
        <w:rPr>
          <w:rStyle w:val="FootnoteReference"/>
          <w:sz w:val="16"/>
          <w:szCs w:val="16"/>
        </w:rPr>
        <w:footnoteRef/>
      </w:r>
      <w:r w:rsidRPr="001F4C26">
        <w:rPr>
          <w:sz w:val="16"/>
          <w:szCs w:val="16"/>
        </w:rPr>
        <w:t xml:space="preserve"> </w:t>
      </w:r>
      <w:r w:rsidRPr="001F4C26">
        <w:rPr>
          <w:rFonts w:eastAsia="Times New Roman" w:cstheme="minorHAnsi"/>
          <w:sz w:val="16"/>
          <w:szCs w:val="16"/>
        </w:rPr>
        <w:t xml:space="preserve"> A se vedea Sala-i-Martin şi colab. (2014).</w:t>
      </w:r>
    </w:p>
  </w:footnote>
  <w:footnote w:id="7">
    <w:p w:rsidR="001F4C26" w:rsidRPr="001F4C26" w:rsidRDefault="001F4C26" w:rsidP="003A65ED">
      <w:pPr>
        <w:jc w:val="both"/>
        <w:rPr>
          <w:rFonts w:eastAsia="Times New Roman" w:cstheme="minorHAnsi"/>
          <w:sz w:val="16"/>
          <w:szCs w:val="16"/>
        </w:rPr>
      </w:pPr>
      <w:r w:rsidRPr="001F4C26">
        <w:rPr>
          <w:rStyle w:val="FootnoteReference"/>
        </w:rPr>
        <w:footnoteRef/>
      </w:r>
      <w:r w:rsidRPr="001F4C26">
        <w:t xml:space="preserve"> </w:t>
      </w:r>
      <w:r w:rsidRPr="001F4C26">
        <w:rPr>
          <w:rFonts w:eastAsia="Times New Roman" w:cstheme="minorHAnsi"/>
          <w:sz w:val="16"/>
          <w:szCs w:val="16"/>
        </w:rPr>
        <w:t>Cf. Indicatorului de globalizare KOF, http://globalization.kof. ethz.ch/media/filer_public/2015/03/04/rankings_2015.pdf, ultima accesare 31 decembrie 2015.</w:t>
      </w:r>
    </w:p>
  </w:footnote>
  <w:footnote w:id="8">
    <w:p w:rsidR="001F4C26" w:rsidRPr="007E2393" w:rsidRDefault="001F4C26">
      <w:pPr>
        <w:pStyle w:val="FootnoteText"/>
        <w:rPr>
          <w:sz w:val="16"/>
          <w:szCs w:val="16"/>
        </w:rPr>
      </w:pPr>
      <w:r>
        <w:rPr>
          <w:rStyle w:val="FootnoteReference"/>
        </w:rPr>
        <w:footnoteRef/>
      </w:r>
      <w:r>
        <w:t xml:space="preserve"> </w:t>
      </w:r>
      <w:r w:rsidRPr="007E2393">
        <w:rPr>
          <w:sz w:val="16"/>
          <w:szCs w:val="16"/>
        </w:rPr>
        <w:t>Dreptul la sistemul social de securitate de bază este universal, în sensul că acesta nu se bazează pe contribuţie. Cu toate acestea, acest lucru nu este echivalent cu transferurile fiind asemănător cu un sistem de venituri de bază, deoarece se aplică diferite condiții de eligibilitate.</w:t>
      </w:r>
    </w:p>
  </w:footnote>
  <w:footnote w:id="9">
    <w:p w:rsidR="001F4C26" w:rsidRPr="00964B1A" w:rsidRDefault="001F4C26">
      <w:pPr>
        <w:pStyle w:val="FootnoteText"/>
        <w:rPr>
          <w:sz w:val="16"/>
          <w:szCs w:val="16"/>
        </w:rPr>
      </w:pPr>
      <w:r w:rsidRPr="00964B1A">
        <w:rPr>
          <w:rStyle w:val="FootnoteReference"/>
        </w:rPr>
        <w:footnoteRef/>
      </w:r>
      <w:r w:rsidRPr="00964B1A">
        <w:t xml:space="preserve"> </w:t>
      </w:r>
      <w:r w:rsidRPr="00964B1A">
        <w:rPr>
          <w:sz w:val="16"/>
          <w:szCs w:val="16"/>
        </w:rPr>
        <w:t>Conform Indexului  Melbourne Mercer Global Pension Index, cf. Mercer (2015).</w:t>
      </w:r>
    </w:p>
  </w:footnote>
  <w:footnote w:id="10">
    <w:p w:rsidR="001F4C26" w:rsidRPr="00964B1A" w:rsidRDefault="001F4C26" w:rsidP="003A65ED">
      <w:pPr>
        <w:jc w:val="both"/>
        <w:rPr>
          <w:sz w:val="16"/>
          <w:szCs w:val="16"/>
        </w:rPr>
      </w:pPr>
      <w:r w:rsidRPr="00964B1A">
        <w:rPr>
          <w:rStyle w:val="FootnoteReference"/>
        </w:rPr>
        <w:footnoteRef/>
      </w:r>
      <w:r w:rsidRPr="00964B1A">
        <w:t xml:space="preserve"> </w:t>
      </w:r>
      <w:r w:rsidRPr="00964B1A">
        <w:rPr>
          <w:sz w:val="16"/>
          <w:szCs w:val="16"/>
        </w:rPr>
        <w:t xml:space="preserve">Rata de schimb a fost foarte apropiată de paritatea sa. Paritatea este la 746.038 iar ratele de schimb zilnice au fost în banda de ± 1 la sută pe întreaga perioadă din ianuarie 1999 până în iunie 2015. În perioada 2 ianuarie 1999-la 14 august 2015, cursul de schimb Coroana daneză-euro a atins un vârf de 747.17 şi a coborât la un nivel scăzut de 742.32. Deviaţia standard în cursul perioadei este 1.1. </w:t>
      </w:r>
    </w:p>
  </w:footnote>
  <w:footnote w:id="11">
    <w:p w:rsidR="001F4C26" w:rsidRPr="00964B1A" w:rsidRDefault="001F4C26" w:rsidP="003A65ED">
      <w:pPr>
        <w:jc w:val="both"/>
        <w:rPr>
          <w:sz w:val="16"/>
          <w:szCs w:val="16"/>
        </w:rPr>
      </w:pPr>
      <w:r w:rsidRPr="00964B1A">
        <w:rPr>
          <w:rStyle w:val="FootnoteReference"/>
        </w:rPr>
        <w:footnoteRef/>
      </w:r>
      <w:r w:rsidRPr="00964B1A">
        <w:rPr>
          <w:sz w:val="16"/>
          <w:szCs w:val="16"/>
        </w:rPr>
        <w:t xml:space="preserve"> Au existat presiuni de devalorizare ocazionale asupra Coroanei daneze. De exemplu, la începutul Marii Recesiuni, au existat ieşiri de capital (determinate în principal de faptul că o mare bancă daneză</w:t>
      </w:r>
      <w:r w:rsidRPr="00964B1A">
        <w:rPr>
          <w:rFonts w:eastAsia="Times New Roman" w:cstheme="minorHAnsi"/>
          <w:sz w:val="18"/>
          <w:szCs w:val="18"/>
        </w:rPr>
        <w:t xml:space="preserve"> </w:t>
      </w:r>
      <w:r w:rsidRPr="00964B1A">
        <w:rPr>
          <w:rFonts w:eastAsia="Times New Roman" w:cstheme="minorHAnsi"/>
          <w:sz w:val="16"/>
          <w:szCs w:val="16"/>
        </w:rPr>
        <w:t>şi-a finanţat operaţiunile prin împrumuturi externe pe ter</w:t>
      </w:r>
      <w:r>
        <w:rPr>
          <w:rFonts w:eastAsia="Times New Roman" w:cstheme="minorHAnsi"/>
          <w:sz w:val="16"/>
          <w:szCs w:val="16"/>
        </w:rPr>
        <w:t xml:space="preserve">men scurt), iar banca centrală </w:t>
      </w:r>
      <w:r w:rsidRPr="00964B1A">
        <w:rPr>
          <w:rFonts w:eastAsia="Times New Roman" w:cstheme="minorHAnsi"/>
          <w:sz w:val="16"/>
          <w:szCs w:val="16"/>
        </w:rPr>
        <w:t>a ridicat dobânzile bancare, dar pieţele s-au calmat repede. Acum</w:t>
      </w:r>
      <w:r>
        <w:rPr>
          <w:rFonts w:eastAsia="Times New Roman" w:cstheme="minorHAnsi"/>
          <w:sz w:val="16"/>
          <w:szCs w:val="16"/>
        </w:rPr>
        <w:t>,</w:t>
      </w:r>
      <w:r w:rsidRPr="00964B1A">
        <w:rPr>
          <w:rFonts w:eastAsia="Times New Roman" w:cstheme="minorHAnsi"/>
          <w:sz w:val="16"/>
          <w:szCs w:val="16"/>
        </w:rPr>
        <w:t xml:space="preserve"> </w:t>
      </w:r>
      <w:r>
        <w:rPr>
          <w:rFonts w:eastAsia="Times New Roman" w:cstheme="minorHAnsi"/>
          <w:sz w:val="16"/>
          <w:szCs w:val="16"/>
        </w:rPr>
        <w:t>i</w:t>
      </w:r>
      <w:r w:rsidRPr="00964B1A">
        <w:rPr>
          <w:rFonts w:eastAsia="Times New Roman" w:cstheme="minorHAnsi"/>
          <w:sz w:val="16"/>
          <w:szCs w:val="16"/>
        </w:rPr>
        <w:t>nteresant şi de necrezut</w:t>
      </w:r>
      <w:r>
        <w:rPr>
          <w:rFonts w:eastAsia="Times New Roman" w:cstheme="minorHAnsi"/>
          <w:sz w:val="16"/>
          <w:szCs w:val="16"/>
        </w:rPr>
        <w:t>,</w:t>
      </w:r>
      <w:r w:rsidRPr="00964B1A">
        <w:rPr>
          <w:rFonts w:eastAsia="Times New Roman" w:cstheme="minorHAnsi"/>
          <w:sz w:val="16"/>
          <w:szCs w:val="16"/>
        </w:rPr>
        <w:t xml:space="preserve"> cu doar câţiva ani în urmă şi coroana daneză s-a aflat sub o presiune de apreciere. Acest lucru s-a întâmplat în timpul crizei datoriilor suverane din 2011-12 şi</w:t>
      </w:r>
      <w:r>
        <w:rPr>
          <w:rFonts w:eastAsia="Times New Roman" w:cstheme="minorHAnsi"/>
          <w:sz w:val="16"/>
          <w:szCs w:val="16"/>
        </w:rPr>
        <w:t>,</w:t>
      </w:r>
      <w:r w:rsidRPr="00964B1A">
        <w:rPr>
          <w:rFonts w:eastAsia="Times New Roman" w:cstheme="minorHAnsi"/>
          <w:sz w:val="16"/>
          <w:szCs w:val="16"/>
        </w:rPr>
        <w:t xml:space="preserve"> mai intens</w:t>
      </w:r>
      <w:r>
        <w:rPr>
          <w:rFonts w:eastAsia="Times New Roman" w:cstheme="minorHAnsi"/>
          <w:sz w:val="16"/>
          <w:szCs w:val="16"/>
        </w:rPr>
        <w:t>,</w:t>
      </w:r>
      <w:r w:rsidRPr="00964B1A">
        <w:rPr>
          <w:rFonts w:eastAsia="Times New Roman" w:cstheme="minorHAnsi"/>
          <w:sz w:val="16"/>
          <w:szCs w:val="16"/>
        </w:rPr>
        <w:t xml:space="preserve"> la începutul anului 2015, când banca centrală a Elveţiei a abandonat "pragul" vis-à-vis de euro şi a permis francului elveţian să se aprecieze.</w:t>
      </w:r>
    </w:p>
  </w:footnote>
  <w:footnote w:id="12">
    <w:p w:rsidR="001F4C26" w:rsidRPr="001F4C26" w:rsidRDefault="001F4C26" w:rsidP="003A65ED">
      <w:pPr>
        <w:spacing w:after="0" w:line="249" w:lineRule="auto"/>
        <w:ind w:left="-5" w:right="31" w:hanging="10"/>
        <w:jc w:val="both"/>
        <w:rPr>
          <w:rFonts w:eastAsia="Times New Roman" w:cstheme="minorHAnsi"/>
          <w:sz w:val="16"/>
          <w:szCs w:val="16"/>
        </w:rPr>
      </w:pPr>
      <w:r w:rsidRPr="001F4C26">
        <w:rPr>
          <w:rStyle w:val="FootnoteReference"/>
        </w:rPr>
        <w:footnoteRef/>
      </w:r>
      <w:r w:rsidRPr="001F4C26">
        <w:rPr>
          <w:rFonts w:eastAsia="Times New Roman" w:cstheme="minorHAnsi"/>
          <w:sz w:val="16"/>
          <w:szCs w:val="16"/>
        </w:rPr>
        <w:t xml:space="preserve"> Tratatul de la Maastricht nu a fost aprobat printr-un referendum în 1992. În 1993, un referendum a aprobat aşa-numitul acord Edinburgh care permite Danemarcei să iasă nu doar din uniunea economică şi monetară, dar, şi din capitolele, care vizau cooperarea cum ar fi în domeniul militar, sistemul judiciar şi poliţie, precum şi cetăţenia Uniunii. Un referendum din 2000 a avut 53, 2 % din voturile împotriva aderării la UEM.</w:t>
      </w:r>
    </w:p>
  </w:footnote>
  <w:footnote w:id="13">
    <w:p w:rsidR="001F4C26" w:rsidRPr="001F4C26" w:rsidRDefault="001F4C26" w:rsidP="003A65ED">
      <w:pPr>
        <w:spacing w:after="0" w:line="249" w:lineRule="auto"/>
        <w:ind w:left="-5" w:right="31" w:hanging="10"/>
        <w:jc w:val="both"/>
        <w:rPr>
          <w:rFonts w:eastAsia="Times New Roman" w:cstheme="minorHAnsi"/>
          <w:sz w:val="16"/>
          <w:szCs w:val="16"/>
        </w:rPr>
      </w:pPr>
      <w:r w:rsidRPr="001F4C26">
        <w:rPr>
          <w:rStyle w:val="FootnoteReference"/>
        </w:rPr>
        <w:footnoteRef/>
      </w:r>
      <w:r w:rsidRPr="001F4C26">
        <w:t xml:space="preserve"> </w:t>
      </w:r>
      <w:r w:rsidRPr="001F4C26">
        <w:rPr>
          <w:rFonts w:eastAsia="Times New Roman" w:cstheme="minorHAnsi"/>
          <w:sz w:val="16"/>
          <w:szCs w:val="16"/>
        </w:rPr>
        <w:t xml:space="preserve"> În referendumurile anterioare, majoritatea celor care nu doreau aderarea a fost mai mică la referendum.</w:t>
      </w:r>
    </w:p>
  </w:footnote>
  <w:footnote w:id="14">
    <w:p w:rsidR="001F4C26" w:rsidRPr="001F4C26" w:rsidRDefault="001F4C26" w:rsidP="003A65ED">
      <w:pPr>
        <w:jc w:val="both"/>
        <w:rPr>
          <w:sz w:val="16"/>
          <w:szCs w:val="16"/>
        </w:rPr>
      </w:pPr>
      <w:r w:rsidRPr="001F4C26">
        <w:rPr>
          <w:rStyle w:val="FootnoteReference"/>
        </w:rPr>
        <w:footnoteRef/>
      </w:r>
      <w:r w:rsidRPr="001F4C26">
        <w:t xml:space="preserve"> </w:t>
      </w:r>
      <w:r w:rsidRPr="001F4C26">
        <w:rPr>
          <w:sz w:val="16"/>
          <w:szCs w:val="16"/>
        </w:rPr>
        <w:t xml:space="preserve">Impozitarea proprietăţii are două părţi: o taxă pe valoarea proprietăţii statului şi un impozit funciar (impozitul pe proprietate municipală) către municipalităţi. Taxa pe valoarea proprietăţii de stat este de 1 % din valoarea locuinţelor evaluate (3 % din valoarea peste un anumit prag, în 2015 3.040.000 coroane daneze). O aşa-numită îngheţare fiscală implică faptul că valoarea locuinţelor pentru majoritatea proprietarilor rămâne la evaluarea anului 2002. Taxa pe proprietate municipală decisă de către municipalităţi se situează în intervalul de 0, 16 la sută şi 0, 34 la sută din valoarea terenului evaluat. O îngheţare temporară a impozitului pe teren a fost lansat în 2016. </w:t>
      </w:r>
    </w:p>
  </w:footnote>
  <w:footnote w:id="15">
    <w:p w:rsidR="001F4C26" w:rsidRPr="001F4C26" w:rsidRDefault="001F4C26" w:rsidP="00486A8F">
      <w:pPr>
        <w:jc w:val="both"/>
      </w:pPr>
      <w:r w:rsidRPr="001F4C26">
        <w:rPr>
          <w:rStyle w:val="FootnoteReference"/>
        </w:rPr>
        <w:footnoteRef/>
      </w:r>
      <w:r w:rsidRPr="001F4C26">
        <w:t xml:space="preserve"> </w:t>
      </w:r>
      <w:r w:rsidRPr="001F4C26">
        <w:rPr>
          <w:sz w:val="16"/>
          <w:szCs w:val="16"/>
        </w:rPr>
        <w:t>Această secţiune se bazează parţial pe Andersen (2015b).</w:t>
      </w:r>
      <w:r w:rsidRPr="001F4C26">
        <w:rPr>
          <w:sz w:val="12"/>
          <w:vertAlign w:val="superscript"/>
        </w:rPr>
        <w:t xml:space="preserve"> </w:t>
      </w:r>
    </w:p>
  </w:footnote>
  <w:footnote w:id="16">
    <w:p w:rsidR="001F4C26" w:rsidRPr="001F4C26" w:rsidRDefault="001F4C26" w:rsidP="00486A8F">
      <w:pPr>
        <w:jc w:val="both"/>
        <w:rPr>
          <w:rFonts w:cstheme="minorHAnsi"/>
          <w:sz w:val="16"/>
          <w:szCs w:val="16"/>
        </w:rPr>
      </w:pPr>
      <w:r w:rsidRPr="001F4C26">
        <w:rPr>
          <w:rStyle w:val="FootnoteReference"/>
        </w:rPr>
        <w:footnoteRef/>
      </w:r>
      <w:r w:rsidRPr="001F4C26">
        <w:t xml:space="preserve"> </w:t>
      </w:r>
      <w:r w:rsidRPr="001F4C26">
        <w:rPr>
          <w:rFonts w:cstheme="minorHAnsi"/>
          <w:sz w:val="16"/>
          <w:szCs w:val="16"/>
        </w:rPr>
        <w:t>Durata beneficiului a fost redus şi mai mult de la patru la doi ani. O reformă recentă, ca urmare a activităţii Comisiei de asigurări de şomaj, a permis reguli mai flexibile de eligibilitate în muncă legate de acordarea de beneficii.</w:t>
      </w:r>
    </w:p>
  </w:footnote>
  <w:footnote w:id="17">
    <w:p w:rsidR="001F4C26" w:rsidRPr="001F4C26" w:rsidRDefault="001F4C26" w:rsidP="00486A8F">
      <w:pPr>
        <w:jc w:val="both"/>
        <w:rPr>
          <w:rFonts w:cstheme="minorHAnsi"/>
          <w:sz w:val="16"/>
          <w:szCs w:val="16"/>
        </w:rPr>
      </w:pPr>
      <w:r w:rsidRPr="001F4C26">
        <w:rPr>
          <w:rStyle w:val="FootnoteReference"/>
        </w:rPr>
        <w:footnoteRef/>
      </w:r>
      <w:r w:rsidRPr="001F4C26">
        <w:t xml:space="preserve"> </w:t>
      </w:r>
      <w:r w:rsidRPr="001F4C26">
        <w:rPr>
          <w:rFonts w:cstheme="minorHAnsi"/>
          <w:sz w:val="16"/>
          <w:szCs w:val="16"/>
        </w:rPr>
        <w:t>O nouă statistică care cuprinde întreaga piaţă a muncii prezintă rata cifrei de afaceri la acelaşi nivel şi o tendinţă de creştere a locurilor de muncă (intrările) din 2009 până în 2014. Această statistică este disponibilă numai începând cu anul 2009 şi nu afişează modificările induse de Marea Recesiune.</w:t>
      </w:r>
    </w:p>
  </w:footnote>
  <w:footnote w:id="18">
    <w:p w:rsidR="001F4C26" w:rsidRPr="001F4C26" w:rsidRDefault="001F4C26" w:rsidP="00486A8F">
      <w:pPr>
        <w:jc w:val="both"/>
        <w:rPr>
          <w:rFonts w:cstheme="minorHAnsi"/>
          <w:sz w:val="16"/>
          <w:szCs w:val="16"/>
        </w:rPr>
      </w:pPr>
      <w:r>
        <w:rPr>
          <w:rStyle w:val="FootnoteReference"/>
        </w:rPr>
        <w:footnoteRef/>
      </w:r>
      <w:r>
        <w:t xml:space="preserve"> </w:t>
      </w:r>
      <w:r w:rsidRPr="001F4C26">
        <w:rPr>
          <w:rFonts w:cstheme="minorHAnsi"/>
          <w:sz w:val="16"/>
          <w:szCs w:val="16"/>
        </w:rPr>
        <w:t>Pentru persoanele fără loc de muncă care au dreptul la asigurarea de şomaj.</w:t>
      </w:r>
    </w:p>
  </w:footnote>
  <w:footnote w:id="19">
    <w:p w:rsidR="001F4C26" w:rsidRPr="001F4C26" w:rsidRDefault="001F4C26" w:rsidP="00486A8F">
      <w:pPr>
        <w:jc w:val="both"/>
        <w:rPr>
          <w:rFonts w:cstheme="minorHAnsi"/>
          <w:sz w:val="16"/>
          <w:szCs w:val="16"/>
        </w:rPr>
      </w:pPr>
      <w:r w:rsidRPr="001F4C26">
        <w:rPr>
          <w:rStyle w:val="FootnoteReference"/>
        </w:rPr>
        <w:footnoteRef/>
      </w:r>
      <w:r w:rsidRPr="001F4C26">
        <w:t xml:space="preserve"> </w:t>
      </w:r>
      <w:r w:rsidRPr="001F4C26">
        <w:rPr>
          <w:rFonts w:cstheme="minorHAnsi"/>
          <w:sz w:val="16"/>
          <w:szCs w:val="16"/>
        </w:rPr>
        <w:t>Ponderea persoanelor din grupa de vârstă 24-70 de ani care beneficiază de educaţie pe tot parcursul vieţii este mult peste media UE, potrivit datelor Eurostat.</w:t>
      </w:r>
    </w:p>
  </w:footnote>
  <w:footnote w:id="20">
    <w:p w:rsidR="001F4C26" w:rsidRPr="001F4C26" w:rsidRDefault="001F4C26" w:rsidP="00486A8F">
      <w:pPr>
        <w:jc w:val="both"/>
        <w:rPr>
          <w:rFonts w:cstheme="minorHAnsi"/>
          <w:sz w:val="16"/>
          <w:szCs w:val="16"/>
        </w:rPr>
      </w:pPr>
      <w:r>
        <w:rPr>
          <w:rStyle w:val="FootnoteReference"/>
        </w:rPr>
        <w:footnoteRef/>
      </w:r>
      <w:r>
        <w:t xml:space="preserve"> </w:t>
      </w:r>
      <w:r w:rsidRPr="00D148AD">
        <w:rPr>
          <w:rFonts w:cstheme="minorHAnsi"/>
          <w:color w:val="00B050"/>
          <w:sz w:val="16"/>
          <w:szCs w:val="16"/>
          <w:vertAlign w:val="superscript"/>
        </w:rPr>
        <w:t xml:space="preserve"> </w:t>
      </w:r>
      <w:r w:rsidRPr="001F4C26">
        <w:rPr>
          <w:rFonts w:cstheme="minorHAnsi"/>
          <w:sz w:val="16"/>
          <w:szCs w:val="16"/>
        </w:rPr>
        <w:t>Nucleul sistemului de pensii danez este o combinaţie de pensii finanţate public prin impozite si taxe şi pensii de pe piaţa forţei de muncă. Acesta din urmă este un sistem finanţat prin diferite contribuţii, negociate între partenerii sociali (participarea este, prin urmare, obligatorie pentru individ).</w:t>
      </w:r>
    </w:p>
  </w:footnote>
  <w:footnote w:id="21">
    <w:p w:rsidR="001F4C26" w:rsidRPr="001F4C26" w:rsidRDefault="001F4C26" w:rsidP="00486A8F">
      <w:pPr>
        <w:jc w:val="both"/>
        <w:rPr>
          <w:rFonts w:cstheme="minorHAnsi"/>
          <w:sz w:val="16"/>
          <w:szCs w:val="16"/>
        </w:rPr>
      </w:pPr>
      <w:r w:rsidRPr="001F4C26">
        <w:rPr>
          <w:rStyle w:val="FootnoteReference"/>
        </w:rPr>
        <w:footnoteRef/>
      </w:r>
      <w:r w:rsidRPr="001F4C26">
        <w:t xml:space="preserve"> </w:t>
      </w:r>
      <w:r w:rsidRPr="001F4C26">
        <w:rPr>
          <w:rFonts w:cstheme="minorHAnsi"/>
          <w:sz w:val="16"/>
          <w:szCs w:val="16"/>
        </w:rPr>
        <w:t>Perioada de pensionare anticipată este redusă de la cinci la trei ani.</w:t>
      </w:r>
    </w:p>
  </w:footnote>
  <w:footnote w:id="22">
    <w:p w:rsidR="001F4C26" w:rsidRPr="001F4C26" w:rsidRDefault="001F4C26" w:rsidP="00486A8F">
      <w:pPr>
        <w:jc w:val="both"/>
        <w:rPr>
          <w:rFonts w:cstheme="minorHAnsi"/>
          <w:sz w:val="16"/>
          <w:szCs w:val="16"/>
        </w:rPr>
      </w:pPr>
      <w:r>
        <w:rPr>
          <w:rStyle w:val="FootnoteReference"/>
        </w:rPr>
        <w:footnoteRef/>
      </w:r>
      <w:r w:rsidRPr="00D148AD">
        <w:rPr>
          <w:rFonts w:cstheme="minorHAnsi"/>
          <w:color w:val="00B050"/>
          <w:sz w:val="16"/>
          <w:szCs w:val="16"/>
          <w:vertAlign w:val="superscript"/>
        </w:rPr>
        <w:t xml:space="preserve"> </w:t>
      </w:r>
      <w:r w:rsidRPr="001F4C26">
        <w:rPr>
          <w:rFonts w:cstheme="minorHAnsi"/>
          <w:sz w:val="16"/>
          <w:szCs w:val="16"/>
        </w:rPr>
        <w:t>Este definită astfel încât valoarea actualizată a veniturilor prognozate, este cel puţin la fel de mare ca valoarea efectivă a cheltuielilor proiectate, plus datoria netă iniţială pentru sectorul public.</w:t>
      </w:r>
    </w:p>
  </w:footnote>
  <w:footnote w:id="23">
    <w:p w:rsidR="001F4C26" w:rsidRPr="001F4C26" w:rsidRDefault="001F4C26" w:rsidP="00A77498">
      <w:pPr>
        <w:spacing w:after="0" w:line="261" w:lineRule="auto"/>
        <w:ind w:right="45"/>
        <w:jc w:val="both"/>
        <w:rPr>
          <w:rFonts w:cstheme="minorHAnsi"/>
          <w:sz w:val="16"/>
          <w:szCs w:val="16"/>
        </w:rPr>
      </w:pPr>
      <w:r w:rsidRPr="001F4C26">
        <w:rPr>
          <w:rStyle w:val="FootnoteReference"/>
        </w:rPr>
        <w:footnoteRef/>
      </w:r>
      <w:r w:rsidRPr="001F4C26">
        <w:t xml:space="preserve"> </w:t>
      </w:r>
      <w:r w:rsidRPr="001F4C26">
        <w:rPr>
          <w:rFonts w:eastAsia="Times New Roman" w:cstheme="minorHAnsi"/>
          <w:sz w:val="16"/>
          <w:szCs w:val="16"/>
        </w:rPr>
        <w:t xml:space="preserve">Comparativ cu mărimea </w:t>
      </w:r>
      <w:r w:rsidRPr="001F4C26">
        <w:rPr>
          <w:rFonts w:cstheme="minorHAnsi"/>
          <w:sz w:val="16"/>
          <w:szCs w:val="16"/>
        </w:rPr>
        <w:t>populaţiei, Danemarca a primit în 2014 a cincea majoritate de solicitanţi de azil între ţările UE. Poziţia aferentă anului 2015 va fi mai mică.</w:t>
      </w:r>
    </w:p>
    <w:p w:rsidR="001F4C26" w:rsidRPr="001F4C26" w:rsidRDefault="001F4C26">
      <w:pPr>
        <w:pStyle w:val="FootnoteText"/>
      </w:pPr>
    </w:p>
  </w:footnote>
  <w:footnote w:id="24">
    <w:p w:rsidR="001F4C26" w:rsidRPr="00444D8F" w:rsidRDefault="001F4C26" w:rsidP="00486A8F">
      <w:pPr>
        <w:jc w:val="both"/>
        <w:rPr>
          <w:rFonts w:cstheme="minorHAnsi"/>
          <w:sz w:val="16"/>
          <w:szCs w:val="16"/>
        </w:rPr>
      </w:pPr>
      <w:r w:rsidRPr="00444D8F">
        <w:rPr>
          <w:rStyle w:val="FootnoteReference"/>
        </w:rPr>
        <w:footnoteRef/>
      </w:r>
      <w:r w:rsidRPr="00444D8F">
        <w:t xml:space="preserve"> </w:t>
      </w:r>
      <w:r w:rsidRPr="00444D8F">
        <w:rPr>
          <w:rFonts w:cstheme="minorHAnsi"/>
          <w:sz w:val="16"/>
          <w:szCs w:val="16"/>
        </w:rPr>
        <w:t>Dovezile empirice că mecanismele de protecţie socială funcţionează ca magneţi de atragere a migranţilor</w:t>
      </w:r>
      <w:r w:rsidRPr="00444D8F">
        <w:t xml:space="preserve"> </w:t>
      </w:r>
      <w:r w:rsidRPr="00444D8F">
        <w:rPr>
          <w:rFonts w:cstheme="minorHAnsi"/>
          <w:sz w:val="16"/>
          <w:szCs w:val="16"/>
        </w:rPr>
        <w:t>nu se susţin; vezi Pedersen şi colab. (2008) şi Giuletti și colab. (2013). Există o anumită indicaţie privind efectul "magnetului de bunăstare" între statele membre UE "vechi" şi "noi"  (a se vedea De Giorgi şi Pellizzari, 2013), dar neinfluenţând mai general migraţia fluxurilor</w:t>
      </w:r>
      <w:r w:rsidRPr="00444D8F">
        <w:t xml:space="preserve"> </w:t>
      </w:r>
      <w:r w:rsidRPr="00444D8F">
        <w:rPr>
          <w:rFonts w:cstheme="minorHAnsi"/>
          <w:sz w:val="16"/>
          <w:szCs w:val="16"/>
        </w:rPr>
        <w:t>UE; a se vedea Skupnik (2014).</w:t>
      </w:r>
    </w:p>
  </w:footnote>
  <w:footnote w:id="25">
    <w:p w:rsidR="001F4C26" w:rsidRPr="00444D8F" w:rsidRDefault="001F4C26" w:rsidP="00486A8F">
      <w:pPr>
        <w:jc w:val="both"/>
        <w:rPr>
          <w:rFonts w:cstheme="minorHAnsi"/>
          <w:sz w:val="16"/>
          <w:szCs w:val="16"/>
        </w:rPr>
      </w:pPr>
      <w:r w:rsidRPr="00444D8F">
        <w:rPr>
          <w:rStyle w:val="FootnoteReference"/>
        </w:rPr>
        <w:footnoteRef/>
      </w:r>
      <w:r w:rsidRPr="00444D8F">
        <w:t xml:space="preserve"> </w:t>
      </w:r>
      <w:r w:rsidRPr="00444D8F">
        <w:rPr>
          <w:rFonts w:cstheme="minorHAnsi"/>
          <w:sz w:val="16"/>
          <w:szCs w:val="16"/>
        </w:rPr>
        <w:t xml:space="preserve"> Aşa-numita regulă de 24 de ani este larg dezbătută. Ea prevede ca ambii soţi să aibă vârsta de cel puţin 24 de ani. În plus, legătura cuplului în Danemarca trebuie să fie mai puternică decât în ţara de origine, cu excepţia cazului în care unul dintre soţi a trăit în Danemarca mai mult de 26 de ani.</w:t>
      </w:r>
    </w:p>
  </w:footnote>
  <w:footnote w:id="26">
    <w:p w:rsidR="001F4C26" w:rsidRPr="00444D8F" w:rsidRDefault="001F4C26" w:rsidP="00486A8F">
      <w:pPr>
        <w:jc w:val="both"/>
        <w:rPr>
          <w:rFonts w:cstheme="minorHAnsi"/>
          <w:sz w:val="16"/>
          <w:szCs w:val="16"/>
        </w:rPr>
      </w:pPr>
      <w:r w:rsidRPr="00444D8F">
        <w:rPr>
          <w:rStyle w:val="FootnoteReference"/>
        </w:rPr>
        <w:footnoteRef/>
      </w:r>
      <w:r w:rsidRPr="00444D8F">
        <w:t xml:space="preserve"> </w:t>
      </w:r>
      <w:r w:rsidRPr="00444D8F">
        <w:rPr>
          <w:rFonts w:cstheme="minorHAnsi"/>
          <w:sz w:val="16"/>
          <w:szCs w:val="16"/>
        </w:rPr>
        <w:t xml:space="preserve"> A mai fost adăugat un criteriu de muncă privind cuplurile ţintă, implicând niveluri mai mici de asistenţă socială (pentru cei care îndeplinesc criteriul menţionat mai sus), pentru cuplurile care nu au o perioadă suficientă de angajare.</w:t>
      </w:r>
    </w:p>
  </w:footnote>
  <w:footnote w:id="27">
    <w:p w:rsidR="001F4C26" w:rsidRPr="00444D8F" w:rsidRDefault="001F4C26" w:rsidP="00A77498">
      <w:pPr>
        <w:jc w:val="both"/>
        <w:rPr>
          <w:rFonts w:cstheme="minorHAnsi"/>
          <w:sz w:val="16"/>
          <w:szCs w:val="16"/>
          <w:vertAlign w:val="superscript"/>
        </w:rPr>
      </w:pPr>
      <w:r w:rsidRPr="00444D8F">
        <w:rPr>
          <w:rStyle w:val="FootnoteReference"/>
        </w:rPr>
        <w:footnoteRef/>
      </w:r>
      <w:r w:rsidRPr="00444D8F">
        <w:t xml:space="preserve"> </w:t>
      </w:r>
      <w:r w:rsidRPr="00444D8F">
        <w:rPr>
          <w:rFonts w:cstheme="minorHAnsi"/>
          <w:sz w:val="16"/>
          <w:szCs w:val="16"/>
        </w:rPr>
        <w:t>Productivitatea în acest context se referă la faptul că o anumită sarcină este realizată rentabil şi în condiţiile celei mai bune calităţi posibile pentru anumite costuri, iar eficienţa se referă la faptul că sarcinile au fost abordate corespunzător.</w:t>
      </w:r>
      <w:r w:rsidRPr="00444D8F">
        <w:rPr>
          <w:rFonts w:cstheme="minorHAnsi"/>
          <w:sz w:val="16"/>
          <w:szCs w:val="16"/>
          <w:vertAlign w:val="superscript"/>
        </w:rPr>
        <w:t xml:space="preserve"> </w:t>
      </w:r>
    </w:p>
    <w:p w:rsidR="001F4C26" w:rsidRDefault="001F4C2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82246"/>
    <w:multiLevelType w:val="hybridMultilevel"/>
    <w:tmpl w:val="A3B27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775EE"/>
    <w:multiLevelType w:val="hybridMultilevel"/>
    <w:tmpl w:val="E7F894B0"/>
    <w:lvl w:ilvl="0" w:tplc="BBBE0F74">
      <w:start w:val="12"/>
      <w:numFmt w:val="decimal"/>
      <w:lvlText w:val="%1"/>
      <w:lvlJc w:val="left"/>
      <w:pPr>
        <w:ind w:left="10"/>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superscript"/>
      </w:rPr>
    </w:lvl>
    <w:lvl w:ilvl="1" w:tplc="460220FE">
      <w:start w:val="1"/>
      <w:numFmt w:val="lowerLetter"/>
      <w:lvlText w:val="%2"/>
      <w:lvlJc w:val="left"/>
      <w:pPr>
        <w:ind w:left="1080"/>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superscript"/>
      </w:rPr>
    </w:lvl>
    <w:lvl w:ilvl="2" w:tplc="00A893E2">
      <w:start w:val="1"/>
      <w:numFmt w:val="lowerRoman"/>
      <w:lvlText w:val="%3"/>
      <w:lvlJc w:val="left"/>
      <w:pPr>
        <w:ind w:left="1800"/>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superscript"/>
      </w:rPr>
    </w:lvl>
    <w:lvl w:ilvl="3" w:tplc="B61CE278">
      <w:start w:val="1"/>
      <w:numFmt w:val="decimal"/>
      <w:lvlText w:val="%4"/>
      <w:lvlJc w:val="left"/>
      <w:pPr>
        <w:ind w:left="2520"/>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superscript"/>
      </w:rPr>
    </w:lvl>
    <w:lvl w:ilvl="4" w:tplc="D8DE8002">
      <w:start w:val="1"/>
      <w:numFmt w:val="lowerLetter"/>
      <w:lvlText w:val="%5"/>
      <w:lvlJc w:val="left"/>
      <w:pPr>
        <w:ind w:left="3240"/>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superscript"/>
      </w:rPr>
    </w:lvl>
    <w:lvl w:ilvl="5" w:tplc="38884A50">
      <w:start w:val="1"/>
      <w:numFmt w:val="lowerRoman"/>
      <w:lvlText w:val="%6"/>
      <w:lvlJc w:val="left"/>
      <w:pPr>
        <w:ind w:left="3960"/>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superscript"/>
      </w:rPr>
    </w:lvl>
    <w:lvl w:ilvl="6" w:tplc="67E2D626">
      <w:start w:val="1"/>
      <w:numFmt w:val="decimal"/>
      <w:lvlText w:val="%7"/>
      <w:lvlJc w:val="left"/>
      <w:pPr>
        <w:ind w:left="4680"/>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superscript"/>
      </w:rPr>
    </w:lvl>
    <w:lvl w:ilvl="7" w:tplc="1E3C4DFE">
      <w:start w:val="1"/>
      <w:numFmt w:val="lowerLetter"/>
      <w:lvlText w:val="%8"/>
      <w:lvlJc w:val="left"/>
      <w:pPr>
        <w:ind w:left="5400"/>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superscript"/>
      </w:rPr>
    </w:lvl>
    <w:lvl w:ilvl="8" w:tplc="98789D3C">
      <w:start w:val="1"/>
      <w:numFmt w:val="lowerRoman"/>
      <w:lvlText w:val="%9"/>
      <w:lvlJc w:val="left"/>
      <w:pPr>
        <w:ind w:left="6120"/>
      </w:pPr>
      <w:rPr>
        <w:rFonts w:ascii="Times New Roman" w:eastAsia="Times New Roman" w:hAnsi="Times New Roman" w:cs="Times New Roman"/>
        <w:b w:val="0"/>
        <w:i w:val="0"/>
        <w:strike w:val="0"/>
        <w:dstrike w:val="0"/>
        <w:color w:val="181717"/>
        <w:sz w:val="12"/>
        <w:szCs w:val="12"/>
        <w:u w:val="none" w:color="000000"/>
        <w:bdr w:val="none" w:sz="0" w:space="0" w:color="auto"/>
        <w:shd w:val="clear" w:color="auto" w:fill="auto"/>
        <w:vertAlign w:val="superscript"/>
      </w:rPr>
    </w:lvl>
  </w:abstractNum>
  <w:abstractNum w:abstractNumId="2" w15:restartNumberingAfterBreak="0">
    <w:nsid w:val="4F5B245B"/>
    <w:multiLevelType w:val="hybridMultilevel"/>
    <w:tmpl w:val="EC4A6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C4D88"/>
    <w:multiLevelType w:val="hybridMultilevel"/>
    <w:tmpl w:val="0CE29C28"/>
    <w:lvl w:ilvl="0" w:tplc="2E78FDBA">
      <w:start w:val="1"/>
      <w:numFmt w:val="decimal"/>
      <w:lvlText w:val="%1."/>
      <w:lvlJc w:val="left"/>
      <w:pPr>
        <w:ind w:left="900" w:hanging="360"/>
      </w:pPr>
      <w:rPr>
        <w:rFonts w:hint="default"/>
        <w:vertAlign w:val="superscrip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D38133B"/>
    <w:multiLevelType w:val="hybridMultilevel"/>
    <w:tmpl w:val="B928E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4A"/>
    <w:rsid w:val="000127C4"/>
    <w:rsid w:val="00025C55"/>
    <w:rsid w:val="000460E5"/>
    <w:rsid w:val="0004610E"/>
    <w:rsid w:val="00047ED2"/>
    <w:rsid w:val="000730BA"/>
    <w:rsid w:val="00095519"/>
    <w:rsid w:val="00095DE7"/>
    <w:rsid w:val="00096D00"/>
    <w:rsid w:val="00097196"/>
    <w:rsid w:val="000A519E"/>
    <w:rsid w:val="000B111B"/>
    <w:rsid w:val="000B6347"/>
    <w:rsid w:val="000B70A6"/>
    <w:rsid w:val="000F093A"/>
    <w:rsid w:val="0011054D"/>
    <w:rsid w:val="0012544D"/>
    <w:rsid w:val="00125EE4"/>
    <w:rsid w:val="00127050"/>
    <w:rsid w:val="00140825"/>
    <w:rsid w:val="00151016"/>
    <w:rsid w:val="00155164"/>
    <w:rsid w:val="00172B04"/>
    <w:rsid w:val="00172F30"/>
    <w:rsid w:val="001730D1"/>
    <w:rsid w:val="00180625"/>
    <w:rsid w:val="00182621"/>
    <w:rsid w:val="001A0F98"/>
    <w:rsid w:val="001B435B"/>
    <w:rsid w:val="001B5EA2"/>
    <w:rsid w:val="001E7852"/>
    <w:rsid w:val="001F1158"/>
    <w:rsid w:val="001F4C26"/>
    <w:rsid w:val="00202E9D"/>
    <w:rsid w:val="00242A26"/>
    <w:rsid w:val="00246EBB"/>
    <w:rsid w:val="00257626"/>
    <w:rsid w:val="00266AF9"/>
    <w:rsid w:val="002677C5"/>
    <w:rsid w:val="002B5753"/>
    <w:rsid w:val="002C3188"/>
    <w:rsid w:val="002D1DF9"/>
    <w:rsid w:val="002D4D8C"/>
    <w:rsid w:val="002E0769"/>
    <w:rsid w:val="002E7BC0"/>
    <w:rsid w:val="00302F3C"/>
    <w:rsid w:val="0032016C"/>
    <w:rsid w:val="003339C0"/>
    <w:rsid w:val="00342B3D"/>
    <w:rsid w:val="00342B5A"/>
    <w:rsid w:val="00350194"/>
    <w:rsid w:val="003532F0"/>
    <w:rsid w:val="00375C54"/>
    <w:rsid w:val="003775CF"/>
    <w:rsid w:val="00380A2F"/>
    <w:rsid w:val="00397706"/>
    <w:rsid w:val="003A0D12"/>
    <w:rsid w:val="003A4956"/>
    <w:rsid w:val="003A65ED"/>
    <w:rsid w:val="003B261C"/>
    <w:rsid w:val="003C5F7D"/>
    <w:rsid w:val="003D5D46"/>
    <w:rsid w:val="003E0864"/>
    <w:rsid w:val="003E1B89"/>
    <w:rsid w:val="003E6E80"/>
    <w:rsid w:val="0040203F"/>
    <w:rsid w:val="00405270"/>
    <w:rsid w:val="004145D4"/>
    <w:rsid w:val="0042264F"/>
    <w:rsid w:val="004338DE"/>
    <w:rsid w:val="004449F4"/>
    <w:rsid w:val="00444D8F"/>
    <w:rsid w:val="0045500E"/>
    <w:rsid w:val="00456BAC"/>
    <w:rsid w:val="004627C3"/>
    <w:rsid w:val="00465F34"/>
    <w:rsid w:val="00470928"/>
    <w:rsid w:val="00483C45"/>
    <w:rsid w:val="00486A8F"/>
    <w:rsid w:val="00497AB3"/>
    <w:rsid w:val="004A090F"/>
    <w:rsid w:val="004B24AC"/>
    <w:rsid w:val="004B4B68"/>
    <w:rsid w:val="004C0E34"/>
    <w:rsid w:val="004C1539"/>
    <w:rsid w:val="004C1B25"/>
    <w:rsid w:val="004E1903"/>
    <w:rsid w:val="004E6F8E"/>
    <w:rsid w:val="004F2F1F"/>
    <w:rsid w:val="005023CD"/>
    <w:rsid w:val="00502B85"/>
    <w:rsid w:val="005039C1"/>
    <w:rsid w:val="00531C3E"/>
    <w:rsid w:val="00534B5B"/>
    <w:rsid w:val="00541289"/>
    <w:rsid w:val="00542150"/>
    <w:rsid w:val="00543A90"/>
    <w:rsid w:val="005529EE"/>
    <w:rsid w:val="00554222"/>
    <w:rsid w:val="0056166E"/>
    <w:rsid w:val="00576D4A"/>
    <w:rsid w:val="0058245B"/>
    <w:rsid w:val="005837C9"/>
    <w:rsid w:val="005852B4"/>
    <w:rsid w:val="00585419"/>
    <w:rsid w:val="00586B6F"/>
    <w:rsid w:val="005A37BE"/>
    <w:rsid w:val="005B18E1"/>
    <w:rsid w:val="005F4698"/>
    <w:rsid w:val="005F670E"/>
    <w:rsid w:val="00605759"/>
    <w:rsid w:val="006170D5"/>
    <w:rsid w:val="00625B8D"/>
    <w:rsid w:val="0064255B"/>
    <w:rsid w:val="006A058B"/>
    <w:rsid w:val="006A0D05"/>
    <w:rsid w:val="006A34D1"/>
    <w:rsid w:val="006A6C49"/>
    <w:rsid w:val="006E5077"/>
    <w:rsid w:val="006E5B63"/>
    <w:rsid w:val="006F1D86"/>
    <w:rsid w:val="007016F5"/>
    <w:rsid w:val="00701BA4"/>
    <w:rsid w:val="00747216"/>
    <w:rsid w:val="0074774D"/>
    <w:rsid w:val="00763950"/>
    <w:rsid w:val="00765151"/>
    <w:rsid w:val="007758CC"/>
    <w:rsid w:val="00790521"/>
    <w:rsid w:val="00796FF1"/>
    <w:rsid w:val="007A2FF0"/>
    <w:rsid w:val="007B7B97"/>
    <w:rsid w:val="007C1678"/>
    <w:rsid w:val="007C4697"/>
    <w:rsid w:val="007C67BD"/>
    <w:rsid w:val="007D3AD3"/>
    <w:rsid w:val="007D3C6B"/>
    <w:rsid w:val="007E2393"/>
    <w:rsid w:val="00800657"/>
    <w:rsid w:val="00804243"/>
    <w:rsid w:val="00805100"/>
    <w:rsid w:val="00806853"/>
    <w:rsid w:val="008072DC"/>
    <w:rsid w:val="008129D2"/>
    <w:rsid w:val="00820A43"/>
    <w:rsid w:val="008234A3"/>
    <w:rsid w:val="008277A7"/>
    <w:rsid w:val="0083308D"/>
    <w:rsid w:val="00841946"/>
    <w:rsid w:val="00856B5E"/>
    <w:rsid w:val="00861B84"/>
    <w:rsid w:val="008700EC"/>
    <w:rsid w:val="00873798"/>
    <w:rsid w:val="00877347"/>
    <w:rsid w:val="008821C5"/>
    <w:rsid w:val="0088639B"/>
    <w:rsid w:val="008904D5"/>
    <w:rsid w:val="00890AD0"/>
    <w:rsid w:val="00891FEF"/>
    <w:rsid w:val="008A0278"/>
    <w:rsid w:val="008A2591"/>
    <w:rsid w:val="008A30E1"/>
    <w:rsid w:val="008A7DF6"/>
    <w:rsid w:val="008C7F75"/>
    <w:rsid w:val="008D2D20"/>
    <w:rsid w:val="008D412F"/>
    <w:rsid w:val="008E74F3"/>
    <w:rsid w:val="008F7264"/>
    <w:rsid w:val="00961993"/>
    <w:rsid w:val="00964B1A"/>
    <w:rsid w:val="00967125"/>
    <w:rsid w:val="00975880"/>
    <w:rsid w:val="0097705E"/>
    <w:rsid w:val="009828FA"/>
    <w:rsid w:val="00986AE1"/>
    <w:rsid w:val="00990D25"/>
    <w:rsid w:val="00996508"/>
    <w:rsid w:val="009B23D9"/>
    <w:rsid w:val="009C19DB"/>
    <w:rsid w:val="009C54E1"/>
    <w:rsid w:val="009C6E0D"/>
    <w:rsid w:val="009D1756"/>
    <w:rsid w:val="009D7B9D"/>
    <w:rsid w:val="009E5207"/>
    <w:rsid w:val="009E6C45"/>
    <w:rsid w:val="009F3080"/>
    <w:rsid w:val="009F488A"/>
    <w:rsid w:val="009F4F65"/>
    <w:rsid w:val="009F5D9B"/>
    <w:rsid w:val="00A01105"/>
    <w:rsid w:val="00A024C4"/>
    <w:rsid w:val="00A03228"/>
    <w:rsid w:val="00A27DA5"/>
    <w:rsid w:val="00A31FCB"/>
    <w:rsid w:val="00A335F1"/>
    <w:rsid w:val="00A35DAC"/>
    <w:rsid w:val="00A43164"/>
    <w:rsid w:val="00A61FE6"/>
    <w:rsid w:val="00A6697F"/>
    <w:rsid w:val="00A77498"/>
    <w:rsid w:val="00AB1A73"/>
    <w:rsid w:val="00AC6411"/>
    <w:rsid w:val="00B06A79"/>
    <w:rsid w:val="00B14070"/>
    <w:rsid w:val="00B20370"/>
    <w:rsid w:val="00B33CC1"/>
    <w:rsid w:val="00B55BAB"/>
    <w:rsid w:val="00B74D0D"/>
    <w:rsid w:val="00B7555F"/>
    <w:rsid w:val="00B75E19"/>
    <w:rsid w:val="00B833D1"/>
    <w:rsid w:val="00B83C9A"/>
    <w:rsid w:val="00B84881"/>
    <w:rsid w:val="00B92E04"/>
    <w:rsid w:val="00B97AD2"/>
    <w:rsid w:val="00BA0059"/>
    <w:rsid w:val="00BA0FBA"/>
    <w:rsid w:val="00BB2498"/>
    <w:rsid w:val="00BB3C06"/>
    <w:rsid w:val="00BC15CD"/>
    <w:rsid w:val="00BC35E8"/>
    <w:rsid w:val="00BD3FDA"/>
    <w:rsid w:val="00BD448B"/>
    <w:rsid w:val="00C1179A"/>
    <w:rsid w:val="00C33CE5"/>
    <w:rsid w:val="00C3729E"/>
    <w:rsid w:val="00C467F5"/>
    <w:rsid w:val="00C554CD"/>
    <w:rsid w:val="00C57935"/>
    <w:rsid w:val="00C57B5E"/>
    <w:rsid w:val="00C60711"/>
    <w:rsid w:val="00C6499F"/>
    <w:rsid w:val="00C65CB6"/>
    <w:rsid w:val="00C80F21"/>
    <w:rsid w:val="00C83C54"/>
    <w:rsid w:val="00CA06E9"/>
    <w:rsid w:val="00CB1AA1"/>
    <w:rsid w:val="00CB4F79"/>
    <w:rsid w:val="00CB59F0"/>
    <w:rsid w:val="00D0385D"/>
    <w:rsid w:val="00D148AD"/>
    <w:rsid w:val="00D2369C"/>
    <w:rsid w:val="00D31F7A"/>
    <w:rsid w:val="00D3378B"/>
    <w:rsid w:val="00D34D91"/>
    <w:rsid w:val="00D36D8B"/>
    <w:rsid w:val="00D37865"/>
    <w:rsid w:val="00D41018"/>
    <w:rsid w:val="00D4376B"/>
    <w:rsid w:val="00D655FF"/>
    <w:rsid w:val="00D85372"/>
    <w:rsid w:val="00D8596D"/>
    <w:rsid w:val="00D95C00"/>
    <w:rsid w:val="00DD041F"/>
    <w:rsid w:val="00DD30E4"/>
    <w:rsid w:val="00DE0D91"/>
    <w:rsid w:val="00DE0F1E"/>
    <w:rsid w:val="00DE1F47"/>
    <w:rsid w:val="00DE71A9"/>
    <w:rsid w:val="00E01C2D"/>
    <w:rsid w:val="00E02974"/>
    <w:rsid w:val="00E55993"/>
    <w:rsid w:val="00E56FBE"/>
    <w:rsid w:val="00E606FF"/>
    <w:rsid w:val="00E72171"/>
    <w:rsid w:val="00E84F4C"/>
    <w:rsid w:val="00E8533D"/>
    <w:rsid w:val="00E974A7"/>
    <w:rsid w:val="00EA755C"/>
    <w:rsid w:val="00EB60EC"/>
    <w:rsid w:val="00EB6654"/>
    <w:rsid w:val="00EC4075"/>
    <w:rsid w:val="00EC4C01"/>
    <w:rsid w:val="00F06BCD"/>
    <w:rsid w:val="00F27CA1"/>
    <w:rsid w:val="00F3160C"/>
    <w:rsid w:val="00F343F0"/>
    <w:rsid w:val="00F65BB3"/>
    <w:rsid w:val="00F764D6"/>
    <w:rsid w:val="00F85489"/>
    <w:rsid w:val="00F87BA4"/>
    <w:rsid w:val="00F90FF4"/>
    <w:rsid w:val="00F93D89"/>
    <w:rsid w:val="00FA0214"/>
    <w:rsid w:val="00FA38D2"/>
    <w:rsid w:val="00FB5D9A"/>
    <w:rsid w:val="00FE6C22"/>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2E24D0-A2D7-4E11-8D21-A9B54ADD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8A"/>
    <w:rPr>
      <w:rFonts w:ascii="Tahoma" w:hAnsi="Tahoma" w:cs="Tahoma"/>
      <w:sz w:val="16"/>
      <w:szCs w:val="16"/>
    </w:rPr>
  </w:style>
  <w:style w:type="paragraph" w:customStyle="1" w:styleId="footnotedescription">
    <w:name w:val="footnote description"/>
    <w:next w:val="Normal"/>
    <w:link w:val="footnotedescriptionChar"/>
    <w:hidden/>
    <w:rsid w:val="0045500E"/>
    <w:pPr>
      <w:spacing w:after="0" w:line="259" w:lineRule="auto"/>
      <w:ind w:right="45"/>
      <w:jc w:val="both"/>
    </w:pPr>
    <w:rPr>
      <w:rFonts w:ascii="Times New Roman" w:eastAsia="Times New Roman" w:hAnsi="Times New Roman" w:cs="Times New Roman"/>
      <w:color w:val="181717"/>
      <w:sz w:val="14"/>
    </w:rPr>
  </w:style>
  <w:style w:type="character" w:customStyle="1" w:styleId="footnotedescriptionChar">
    <w:name w:val="footnote description Char"/>
    <w:link w:val="footnotedescription"/>
    <w:rsid w:val="0045500E"/>
    <w:rPr>
      <w:rFonts w:ascii="Times New Roman" w:eastAsia="Times New Roman" w:hAnsi="Times New Roman" w:cs="Times New Roman"/>
      <w:color w:val="181717"/>
      <w:sz w:val="14"/>
    </w:rPr>
  </w:style>
  <w:style w:type="character" w:customStyle="1" w:styleId="footnotemark">
    <w:name w:val="footnote mark"/>
    <w:hidden/>
    <w:rsid w:val="0045500E"/>
    <w:rPr>
      <w:rFonts w:ascii="Times New Roman" w:eastAsia="Times New Roman" w:hAnsi="Times New Roman" w:cs="Times New Roman"/>
      <w:color w:val="181717"/>
      <w:sz w:val="12"/>
      <w:vertAlign w:val="superscript"/>
    </w:rPr>
  </w:style>
  <w:style w:type="paragraph" w:styleId="ListParagraph">
    <w:name w:val="List Paragraph"/>
    <w:basedOn w:val="Normal"/>
    <w:uiPriority w:val="34"/>
    <w:qFormat/>
    <w:rsid w:val="001B5EA2"/>
    <w:pPr>
      <w:ind w:left="720"/>
      <w:contextualSpacing/>
    </w:pPr>
  </w:style>
  <w:style w:type="table" w:styleId="TableGrid">
    <w:name w:val="Table Grid"/>
    <w:basedOn w:val="TableNormal"/>
    <w:uiPriority w:val="39"/>
    <w:rsid w:val="00DE0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3378B"/>
  </w:style>
  <w:style w:type="character" w:styleId="Hyperlink">
    <w:name w:val="Hyperlink"/>
    <w:basedOn w:val="DefaultParagraphFont"/>
    <w:uiPriority w:val="99"/>
    <w:semiHidden/>
    <w:unhideWhenUsed/>
    <w:rsid w:val="007A2FF0"/>
    <w:rPr>
      <w:color w:val="0000FF"/>
      <w:u w:val="single"/>
    </w:rPr>
  </w:style>
  <w:style w:type="paragraph" w:styleId="Header">
    <w:name w:val="header"/>
    <w:basedOn w:val="Normal"/>
    <w:link w:val="HeaderChar"/>
    <w:uiPriority w:val="99"/>
    <w:unhideWhenUsed/>
    <w:rsid w:val="00342B5A"/>
    <w:pPr>
      <w:tabs>
        <w:tab w:val="center" w:pos="4703"/>
        <w:tab w:val="right" w:pos="9406"/>
      </w:tabs>
      <w:spacing w:after="0" w:line="240" w:lineRule="auto"/>
    </w:pPr>
  </w:style>
  <w:style w:type="character" w:customStyle="1" w:styleId="HeaderChar">
    <w:name w:val="Header Char"/>
    <w:basedOn w:val="DefaultParagraphFont"/>
    <w:link w:val="Header"/>
    <w:uiPriority w:val="99"/>
    <w:rsid w:val="00342B5A"/>
  </w:style>
  <w:style w:type="paragraph" w:styleId="Footer">
    <w:name w:val="footer"/>
    <w:basedOn w:val="Normal"/>
    <w:link w:val="FooterChar"/>
    <w:uiPriority w:val="99"/>
    <w:unhideWhenUsed/>
    <w:rsid w:val="00342B5A"/>
    <w:pPr>
      <w:tabs>
        <w:tab w:val="center" w:pos="4703"/>
        <w:tab w:val="right" w:pos="9406"/>
      </w:tabs>
      <w:spacing w:after="0" w:line="240" w:lineRule="auto"/>
    </w:pPr>
  </w:style>
  <w:style w:type="character" w:customStyle="1" w:styleId="FooterChar">
    <w:name w:val="Footer Char"/>
    <w:basedOn w:val="DefaultParagraphFont"/>
    <w:link w:val="Footer"/>
    <w:uiPriority w:val="99"/>
    <w:rsid w:val="00342B5A"/>
  </w:style>
  <w:style w:type="paragraph" w:styleId="FootnoteText">
    <w:name w:val="footnote text"/>
    <w:basedOn w:val="Normal"/>
    <w:link w:val="FootnoteTextChar"/>
    <w:uiPriority w:val="99"/>
    <w:semiHidden/>
    <w:unhideWhenUsed/>
    <w:rsid w:val="00E55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993"/>
    <w:rPr>
      <w:sz w:val="20"/>
      <w:szCs w:val="20"/>
    </w:rPr>
  </w:style>
  <w:style w:type="character" w:styleId="FootnoteReference">
    <w:name w:val="footnote reference"/>
    <w:basedOn w:val="DefaultParagraphFont"/>
    <w:uiPriority w:val="99"/>
    <w:semiHidden/>
    <w:unhideWhenUsed/>
    <w:rsid w:val="00E55993"/>
    <w:rPr>
      <w:vertAlign w:val="superscript"/>
    </w:rPr>
  </w:style>
  <w:style w:type="paragraph" w:styleId="EndnoteText">
    <w:name w:val="endnote text"/>
    <w:basedOn w:val="Normal"/>
    <w:link w:val="EndnoteTextChar"/>
    <w:uiPriority w:val="99"/>
    <w:semiHidden/>
    <w:unhideWhenUsed/>
    <w:rsid w:val="009F4F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4F65"/>
    <w:rPr>
      <w:sz w:val="20"/>
      <w:szCs w:val="20"/>
    </w:rPr>
  </w:style>
  <w:style w:type="character" w:styleId="EndnoteReference">
    <w:name w:val="endnote reference"/>
    <w:basedOn w:val="DefaultParagraphFont"/>
    <w:uiPriority w:val="99"/>
    <w:semiHidden/>
    <w:unhideWhenUsed/>
    <w:rsid w:val="009F4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2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0EA1-8787-408B-ABEB-36659DF2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9AA09B1C</Template>
  <TotalTime>2</TotalTime>
  <Pages>24</Pages>
  <Words>9197</Words>
  <Characters>52424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Muresan Maria</cp:lastModifiedBy>
  <cp:revision>2</cp:revision>
  <dcterms:created xsi:type="dcterms:W3CDTF">2016-06-23T13:18:00Z</dcterms:created>
  <dcterms:modified xsi:type="dcterms:W3CDTF">2016-06-23T13:18:00Z</dcterms:modified>
</cp:coreProperties>
</file>