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93" w:rsidRPr="004A7025" w:rsidRDefault="008C6493" w:rsidP="00DA1CC5">
      <w:pPr>
        <w:spacing w:after="0" w:line="240" w:lineRule="auto"/>
        <w:jc w:val="right"/>
        <w:rPr>
          <w:sz w:val="24"/>
          <w:szCs w:val="24"/>
          <w:lang w:val="ro-RO"/>
        </w:rPr>
      </w:pPr>
      <w:r w:rsidRPr="004A7025">
        <w:rPr>
          <w:noProof/>
          <w:sz w:val="24"/>
          <w:szCs w:val="24"/>
          <w:lang w:val="ro-RO"/>
        </w:rPr>
        <w:pict>
          <v:shapetype id="_x0000_t202" coordsize="21600,21600" o:spt="202" path="m,l,21600r21600,l21600,xe">
            <v:stroke joinstyle="miter"/>
            <v:path gradientshapeok="t" o:connecttype="rect"/>
          </v:shapetype>
          <v:shape id="_x0000_s1026" type="#_x0000_t202" style="position:absolute;left:0;text-align:left;margin-left:-76.7pt;margin-top:-2.8pt;width:621pt;height:27.1pt;z-index:251657728" fillcolor="#06c" strokecolor="blue">
            <v:textbox style="mso-next-textbox:#_x0000_s1026">
              <w:txbxContent>
                <w:p w:rsidR="008C6493" w:rsidRPr="00F6748C" w:rsidRDefault="00F6748C" w:rsidP="008C6493">
                  <w:pPr>
                    <w:jc w:val="center"/>
                    <w:rPr>
                      <w:rFonts w:ascii="Arial" w:hAnsi="Arial" w:cs="Arial"/>
                      <w:color w:val="FFFFFF"/>
                      <w:sz w:val="40"/>
                      <w:szCs w:val="40"/>
                    </w:rPr>
                  </w:pPr>
                  <w:r>
                    <w:rPr>
                      <w:rFonts w:ascii="Arial" w:hAnsi="Arial" w:cs="Arial"/>
                      <w:color w:val="FFFFFF"/>
                      <w:sz w:val="40"/>
                      <w:szCs w:val="40"/>
                    </w:rPr>
                    <w:t>Comitetul de monitorizare POCU 2014-2020</w:t>
                  </w:r>
                </w:p>
              </w:txbxContent>
            </v:textbox>
          </v:shape>
        </w:pict>
      </w:r>
    </w:p>
    <w:p w:rsidR="008C6493" w:rsidRPr="004A7025" w:rsidRDefault="008C6493" w:rsidP="00DA1CC5">
      <w:pPr>
        <w:spacing w:after="0" w:line="240" w:lineRule="auto"/>
        <w:jc w:val="right"/>
        <w:rPr>
          <w:sz w:val="24"/>
          <w:szCs w:val="24"/>
          <w:lang w:val="ro-RO"/>
        </w:rPr>
      </w:pPr>
    </w:p>
    <w:p w:rsidR="006F2056" w:rsidRPr="004A7025" w:rsidRDefault="006624D1" w:rsidP="00DA1CC5">
      <w:pPr>
        <w:spacing w:after="0" w:line="240" w:lineRule="auto"/>
        <w:jc w:val="right"/>
        <w:rPr>
          <w:sz w:val="24"/>
          <w:szCs w:val="24"/>
          <w:lang w:val="ro-RO"/>
        </w:rPr>
      </w:pPr>
      <w:r w:rsidRPr="004A7025">
        <w:rPr>
          <w:sz w:val="24"/>
          <w:szCs w:val="24"/>
          <w:lang w:val="ro-RO"/>
        </w:rPr>
        <w:t xml:space="preserve">București, </w:t>
      </w:r>
      <w:r w:rsidR="00F6748C" w:rsidRPr="004A7025">
        <w:rPr>
          <w:sz w:val="24"/>
          <w:szCs w:val="24"/>
          <w:lang w:val="ro-RO"/>
        </w:rPr>
        <w:t>8</w:t>
      </w:r>
      <w:r w:rsidR="000728D5" w:rsidRPr="004A7025">
        <w:rPr>
          <w:sz w:val="24"/>
          <w:szCs w:val="24"/>
          <w:lang w:val="ro-RO"/>
        </w:rPr>
        <w:t xml:space="preserve"> </w:t>
      </w:r>
      <w:r w:rsidR="00F6748C" w:rsidRPr="004A7025">
        <w:rPr>
          <w:sz w:val="24"/>
          <w:szCs w:val="24"/>
          <w:lang w:val="ro-RO"/>
        </w:rPr>
        <w:t>iun</w:t>
      </w:r>
      <w:r w:rsidR="00B11E64" w:rsidRPr="004A7025">
        <w:rPr>
          <w:sz w:val="24"/>
          <w:szCs w:val="24"/>
          <w:lang w:val="ro-RO"/>
        </w:rPr>
        <w:t>ie</w:t>
      </w:r>
      <w:r w:rsidR="000728D5" w:rsidRPr="004A7025">
        <w:rPr>
          <w:sz w:val="24"/>
          <w:szCs w:val="24"/>
          <w:lang w:val="ro-RO"/>
        </w:rPr>
        <w:t xml:space="preserve"> 201</w:t>
      </w:r>
      <w:r w:rsidR="00F6748C" w:rsidRPr="004A7025">
        <w:rPr>
          <w:sz w:val="24"/>
          <w:szCs w:val="24"/>
          <w:lang w:val="ro-RO"/>
        </w:rPr>
        <w:t>6</w:t>
      </w:r>
    </w:p>
    <w:p w:rsidR="00EB2FE7" w:rsidRPr="004A7025" w:rsidRDefault="00EB2FE7" w:rsidP="00DA1CC5">
      <w:pPr>
        <w:spacing w:after="0" w:line="240" w:lineRule="auto"/>
        <w:jc w:val="right"/>
        <w:rPr>
          <w:rStyle w:val="yiv5109588034"/>
          <w:sz w:val="24"/>
          <w:szCs w:val="24"/>
          <w:lang w:val="ro-RO"/>
        </w:rPr>
      </w:pPr>
    </w:p>
    <w:p w:rsidR="00116DB4" w:rsidRPr="004A7025" w:rsidRDefault="00116DB4" w:rsidP="00116DB4">
      <w:pPr>
        <w:shd w:val="clear" w:color="auto" w:fill="FFFFFF"/>
        <w:spacing w:after="0"/>
        <w:jc w:val="center"/>
        <w:rPr>
          <w:rFonts w:ascii="Times New Roman" w:eastAsia="Times New Roman" w:hAnsi="Times New Roman"/>
          <w:b/>
          <w:bCs/>
          <w:color w:val="000000"/>
          <w:sz w:val="24"/>
          <w:szCs w:val="24"/>
          <w:lang w:val="ro-RO"/>
        </w:rPr>
      </w:pPr>
    </w:p>
    <w:p w:rsidR="006E6A47" w:rsidRPr="004A7025" w:rsidRDefault="006E6A47" w:rsidP="006E6A47">
      <w:pPr>
        <w:spacing w:after="0" w:line="240" w:lineRule="auto"/>
        <w:jc w:val="center"/>
        <w:rPr>
          <w:rFonts w:ascii="Cambria" w:hAnsi="Cambria" w:cs="Arial"/>
          <w:b/>
          <w:color w:val="000000"/>
          <w:sz w:val="28"/>
          <w:szCs w:val="28"/>
          <w:lang w:val="ro-RO"/>
        </w:rPr>
      </w:pPr>
      <w:r w:rsidRPr="004A7025">
        <w:rPr>
          <w:rFonts w:cs="Arial"/>
          <w:b/>
          <w:sz w:val="28"/>
          <w:szCs w:val="28"/>
          <w:lang w:val="ro-RO"/>
        </w:rPr>
        <w:t>Îmbunătățiri aduse regulilor de implementare și monitorizare a POCU</w:t>
      </w:r>
    </w:p>
    <w:p w:rsidR="00754568" w:rsidRPr="004A7025" w:rsidRDefault="00754568" w:rsidP="00754568">
      <w:pPr>
        <w:rPr>
          <w:rFonts w:cs="Arial"/>
          <w:b/>
          <w:color w:val="2E74B5"/>
          <w:sz w:val="24"/>
          <w:szCs w:val="24"/>
          <w:lang w:val="ro-RO"/>
        </w:rPr>
      </w:pPr>
    </w:p>
    <w:p w:rsidR="006E6A47" w:rsidRPr="004A7025" w:rsidRDefault="006E6A47" w:rsidP="006E6A47">
      <w:pPr>
        <w:spacing w:after="0" w:line="240" w:lineRule="auto"/>
        <w:jc w:val="center"/>
        <w:rPr>
          <w:rFonts w:ascii="Cambria" w:hAnsi="Cambria" w:cs="Arial"/>
          <w:b/>
          <w:color w:val="000000"/>
          <w:sz w:val="28"/>
          <w:szCs w:val="28"/>
          <w:lang w:val="ro-RO"/>
        </w:rPr>
      </w:pPr>
    </w:p>
    <w:tbl>
      <w:tblP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tblPr>
      <w:tblGrid>
        <w:gridCol w:w="4698"/>
        <w:gridCol w:w="5310"/>
      </w:tblGrid>
      <w:tr w:rsidR="006E6A47" w:rsidRPr="004A7025" w:rsidTr="006E6A47">
        <w:trPr>
          <w:tblHeader/>
        </w:trPr>
        <w:tc>
          <w:tcPr>
            <w:tcW w:w="4698" w:type="dxa"/>
            <w:shd w:val="clear" w:color="auto" w:fill="C0C0C0"/>
          </w:tcPr>
          <w:p w:rsidR="006E6A47" w:rsidRPr="004A7025" w:rsidRDefault="006E6A47" w:rsidP="004F0D13">
            <w:pPr>
              <w:autoSpaceDE w:val="0"/>
              <w:autoSpaceDN w:val="0"/>
              <w:adjustRightInd w:val="0"/>
              <w:jc w:val="center"/>
              <w:rPr>
                <w:b/>
                <w:lang w:val="ro-RO"/>
              </w:rPr>
            </w:pPr>
            <w:r w:rsidRPr="004A7025">
              <w:rPr>
                <w:b/>
                <w:lang w:val="ro-RO"/>
              </w:rPr>
              <w:t>Constatări 2007-2013</w:t>
            </w:r>
          </w:p>
        </w:tc>
        <w:tc>
          <w:tcPr>
            <w:tcW w:w="5310" w:type="dxa"/>
            <w:shd w:val="clear" w:color="auto" w:fill="C0C0C0"/>
          </w:tcPr>
          <w:p w:rsidR="006E6A47" w:rsidRPr="004A7025" w:rsidRDefault="006E6A47" w:rsidP="00E63297">
            <w:pPr>
              <w:jc w:val="center"/>
              <w:rPr>
                <w:b/>
                <w:lang w:val="ro-RO"/>
              </w:rPr>
            </w:pPr>
            <w:r w:rsidRPr="004A7025">
              <w:rPr>
                <w:b/>
                <w:lang w:val="ro-RO"/>
              </w:rPr>
              <w:t>M</w:t>
            </w:r>
            <w:r w:rsidR="00E63297">
              <w:rPr>
                <w:b/>
                <w:lang w:val="ro-RO"/>
              </w:rPr>
              <w:t>ă</w:t>
            </w:r>
            <w:r w:rsidRPr="004A7025">
              <w:rPr>
                <w:b/>
                <w:lang w:val="ro-RO"/>
              </w:rPr>
              <w:t>suri implementate de AM</w:t>
            </w:r>
          </w:p>
        </w:tc>
      </w:tr>
      <w:tr w:rsidR="006E6A47" w:rsidRPr="004A7025" w:rsidTr="006E6A47">
        <w:tc>
          <w:tcPr>
            <w:tcW w:w="4698" w:type="dxa"/>
            <w:shd w:val="clear" w:color="auto" w:fill="auto"/>
          </w:tcPr>
          <w:p w:rsidR="006E6A47" w:rsidRPr="004A7025" w:rsidRDefault="006E6A47" w:rsidP="004F0D13">
            <w:pPr>
              <w:autoSpaceDE w:val="0"/>
              <w:autoSpaceDN w:val="0"/>
              <w:adjustRightInd w:val="0"/>
              <w:jc w:val="both"/>
              <w:rPr>
                <w:rFonts w:ascii="Times New Roman" w:hAnsi="Times New Roman"/>
                <w:b/>
                <w:lang w:val="ro-RO"/>
              </w:rPr>
            </w:pPr>
            <w:r w:rsidRPr="004A7025">
              <w:rPr>
                <w:u w:val="single"/>
                <w:lang w:val="ro-RO"/>
              </w:rPr>
              <w:t>1. Modificarea bugetului:</w:t>
            </w:r>
            <w:r w:rsidRPr="004A7025">
              <w:rPr>
                <w:lang w:val="ro-RO"/>
              </w:rPr>
              <w:t xml:space="preserve"> </w:t>
            </w:r>
            <w:r w:rsidRPr="004A7025">
              <w:rPr>
                <w:i/>
                <w:lang w:val="ro-RO"/>
              </w:rPr>
              <w:t>Bugetele iniţiale</w:t>
            </w:r>
            <w:r w:rsidRPr="004A7025">
              <w:rPr>
                <w:b/>
                <w:i/>
                <w:lang w:val="ro-RO"/>
              </w:rPr>
              <w:t xml:space="preserve"> </w:t>
            </w:r>
            <w:r w:rsidRPr="004A7025">
              <w:rPr>
                <w:i/>
                <w:lang w:val="ro-RO"/>
              </w:rPr>
              <w:t>ale mai multor proiecte au suportat modificări semnificative în urma constatărilor</w:t>
            </w:r>
            <w:r w:rsidRPr="004A7025">
              <w:rPr>
                <w:b/>
                <w:i/>
                <w:lang w:val="ro-RO"/>
              </w:rPr>
              <w:t xml:space="preserve"> </w:t>
            </w:r>
            <w:r w:rsidRPr="004A7025">
              <w:rPr>
                <w:i/>
                <w:lang w:val="ro-RO"/>
              </w:rPr>
              <w:t>evaluatorilor, în special în ceea ce priveşte finanţarea încrucişată din FEDR. Deşi astfel de</w:t>
            </w:r>
            <w:r w:rsidRPr="004A7025">
              <w:rPr>
                <w:b/>
                <w:i/>
                <w:lang w:val="ro-RO"/>
              </w:rPr>
              <w:t xml:space="preserve"> </w:t>
            </w:r>
            <w:r w:rsidRPr="004A7025">
              <w:rPr>
                <w:i/>
                <w:lang w:val="ro-RO"/>
              </w:rPr>
              <w:t xml:space="preserve">achiziţii au fost eliminate iniţial de către evaluatori, fiind considerate nerelevante, în timpul executării proiectului au fost acceptate </w:t>
            </w:r>
            <w:r w:rsidR="00E63297" w:rsidRPr="004A7025">
              <w:rPr>
                <w:i/>
                <w:lang w:val="ro-RO"/>
              </w:rPr>
              <w:t>modificări</w:t>
            </w:r>
            <w:r w:rsidRPr="004A7025">
              <w:rPr>
                <w:i/>
                <w:lang w:val="ro-RO"/>
              </w:rPr>
              <w:t xml:space="preserve"> ale bugetului, care au permis achiziţia elementelor eliminate initial. </w:t>
            </w:r>
          </w:p>
          <w:p w:rsidR="006E6A47" w:rsidRPr="004A7025" w:rsidRDefault="006E6A47" w:rsidP="004F0D13">
            <w:pPr>
              <w:autoSpaceDE w:val="0"/>
              <w:autoSpaceDN w:val="0"/>
              <w:adjustRightInd w:val="0"/>
              <w:jc w:val="both"/>
              <w:rPr>
                <w:rFonts w:ascii="Times New Roman" w:hAnsi="Times New Roman"/>
                <w:b/>
                <w:lang w:val="ro-RO"/>
              </w:rPr>
            </w:pPr>
          </w:p>
        </w:tc>
        <w:tc>
          <w:tcPr>
            <w:tcW w:w="5310" w:type="dxa"/>
            <w:shd w:val="clear" w:color="auto" w:fill="auto"/>
          </w:tcPr>
          <w:p w:rsidR="006E6A47" w:rsidRPr="004A7025" w:rsidRDefault="006E6A47" w:rsidP="004F0D13">
            <w:pPr>
              <w:spacing w:after="0" w:line="240" w:lineRule="auto"/>
              <w:jc w:val="both"/>
              <w:rPr>
                <w:lang w:val="ro-RO"/>
              </w:rPr>
            </w:pPr>
            <w:r w:rsidRPr="004A7025">
              <w:rPr>
                <w:lang w:val="ro-RO"/>
              </w:rPr>
              <w:t xml:space="preserve">OI vor verifica în situația solicitărilor de modificare a cheltuielilor de tip FEDR, </w:t>
            </w:r>
            <w:r w:rsidR="004A7025" w:rsidRPr="004A7025">
              <w:rPr>
                <w:lang w:val="ro-RO"/>
              </w:rPr>
              <w:t>următoarele</w:t>
            </w:r>
            <w:r w:rsidRPr="004A7025">
              <w:rPr>
                <w:lang w:val="ro-RO"/>
              </w:rPr>
              <w:t xml:space="preserve"> aspecte: </w:t>
            </w:r>
          </w:p>
          <w:p w:rsidR="006E6A47" w:rsidRPr="004A7025" w:rsidRDefault="006E6A47" w:rsidP="006E6A47">
            <w:pPr>
              <w:numPr>
                <w:ilvl w:val="0"/>
                <w:numId w:val="29"/>
              </w:numPr>
              <w:spacing w:after="0" w:line="240" w:lineRule="auto"/>
              <w:contextualSpacing/>
              <w:jc w:val="both"/>
              <w:rPr>
                <w:lang w:val="ro-RO"/>
              </w:rPr>
            </w:pPr>
            <w:r w:rsidRPr="004A7025">
              <w:rPr>
                <w:lang w:val="ro-RO"/>
              </w:rPr>
              <w:t xml:space="preserve">verificarea relevanței, utilității cheltuielilor  de tip FEDR precum si </w:t>
            </w:r>
            <w:r w:rsidR="004A7025" w:rsidRPr="004A7025">
              <w:rPr>
                <w:lang w:val="ro-RO"/>
              </w:rPr>
              <w:t>necesității</w:t>
            </w:r>
            <w:r w:rsidRPr="004A7025">
              <w:rPr>
                <w:lang w:val="ro-RO"/>
              </w:rPr>
              <w:t xml:space="preserve"> </w:t>
            </w:r>
            <w:r w:rsidR="004A7025" w:rsidRPr="004A7025">
              <w:rPr>
                <w:lang w:val="ro-RO"/>
              </w:rPr>
              <w:t>utilizării</w:t>
            </w:r>
            <w:r w:rsidRPr="004A7025">
              <w:rPr>
                <w:lang w:val="ro-RO"/>
              </w:rPr>
              <w:t xml:space="preserve"> bunurilor față de scopul proiectului finanțat;</w:t>
            </w:r>
          </w:p>
          <w:p w:rsidR="006E6A47" w:rsidRPr="004A7025" w:rsidRDefault="006E6A47" w:rsidP="006E6A47">
            <w:pPr>
              <w:numPr>
                <w:ilvl w:val="0"/>
                <w:numId w:val="29"/>
              </w:numPr>
              <w:spacing w:after="0" w:line="240" w:lineRule="auto"/>
              <w:contextualSpacing/>
              <w:jc w:val="both"/>
              <w:rPr>
                <w:lang w:val="ro-RO"/>
              </w:rPr>
            </w:pPr>
            <w:r w:rsidRPr="004A7025">
              <w:rPr>
                <w:lang w:val="ro-RO"/>
              </w:rPr>
              <w:t>verificarea cheltuielilor de tip FEDR solicitate a fi introduse în buget cu rezultatul procesului de evaluare, astfel încât să nu poată fi solicitate în implementare aceleași cheltuieli, sau similare cu cele eliminate în faza de evaluare.</w:t>
            </w:r>
          </w:p>
          <w:p w:rsidR="006E6A47" w:rsidRPr="004A7025" w:rsidRDefault="006E6A47" w:rsidP="004A7025">
            <w:pPr>
              <w:jc w:val="both"/>
              <w:rPr>
                <w:lang w:val="ro-RO"/>
              </w:rPr>
            </w:pPr>
            <w:r w:rsidRPr="004A7025">
              <w:rPr>
                <w:lang w:val="ro-RO"/>
              </w:rPr>
              <w:t xml:space="preserve">Suplimentar, prin sistemul IT SMIS-MySMIS 2014, </w:t>
            </w:r>
            <w:r w:rsidR="004A7025" w:rsidRPr="004A7025">
              <w:rPr>
                <w:lang w:val="ro-RO"/>
              </w:rPr>
              <w:t>încă</w:t>
            </w:r>
            <w:r w:rsidRPr="004A7025">
              <w:rPr>
                <w:lang w:val="ro-RO"/>
              </w:rPr>
              <w:t xml:space="preserve"> de la depunerea cererii de </w:t>
            </w:r>
            <w:r w:rsidR="004A7025" w:rsidRPr="004A7025">
              <w:rPr>
                <w:lang w:val="ro-RO"/>
              </w:rPr>
              <w:t>finanțare</w:t>
            </w:r>
            <w:r w:rsidRPr="004A7025">
              <w:rPr>
                <w:lang w:val="ro-RO"/>
              </w:rPr>
              <w:t>, aplican</w:t>
            </w:r>
            <w:r w:rsidR="004A7025">
              <w:rPr>
                <w:lang w:val="ro-RO"/>
              </w:rPr>
              <w:t>ț</w:t>
            </w:r>
            <w:r w:rsidRPr="004A7025">
              <w:rPr>
                <w:lang w:val="ro-RO"/>
              </w:rPr>
              <w:t xml:space="preserve">ii sunt </w:t>
            </w:r>
            <w:r w:rsidR="004A7025" w:rsidRPr="004A7025">
              <w:rPr>
                <w:lang w:val="ro-RO"/>
              </w:rPr>
              <w:t>obligați</w:t>
            </w:r>
            <w:r w:rsidRPr="004A7025">
              <w:rPr>
                <w:lang w:val="ro-RO"/>
              </w:rPr>
              <w:t xml:space="preserve"> sa </w:t>
            </w:r>
            <w:r w:rsidR="00E63297" w:rsidRPr="004A7025">
              <w:rPr>
                <w:lang w:val="ro-RO"/>
              </w:rPr>
              <w:t>facă</w:t>
            </w:r>
            <w:r w:rsidRPr="004A7025">
              <w:rPr>
                <w:lang w:val="ro-RO"/>
              </w:rPr>
              <w:t xml:space="preserve"> </w:t>
            </w:r>
            <w:r w:rsidR="00E63297" w:rsidRPr="004A7025">
              <w:rPr>
                <w:lang w:val="ro-RO"/>
              </w:rPr>
              <w:t>legătura</w:t>
            </w:r>
            <w:r w:rsidRPr="004A7025">
              <w:rPr>
                <w:lang w:val="ro-RO"/>
              </w:rPr>
              <w:t xml:space="preserve"> intre Buget, </w:t>
            </w:r>
            <w:r w:rsidR="00E63297" w:rsidRPr="004A7025">
              <w:rPr>
                <w:lang w:val="ro-RO"/>
              </w:rPr>
              <w:t>Activități</w:t>
            </w:r>
            <w:r w:rsidRPr="004A7025">
              <w:rPr>
                <w:lang w:val="ro-RO"/>
              </w:rPr>
              <w:t xml:space="preserve"> si resursele umane si materiale implicate.</w:t>
            </w:r>
          </w:p>
        </w:tc>
      </w:tr>
      <w:tr w:rsidR="006E6A47" w:rsidRPr="004A7025" w:rsidTr="006E6A47">
        <w:tc>
          <w:tcPr>
            <w:tcW w:w="4698" w:type="dxa"/>
            <w:shd w:val="clear" w:color="auto" w:fill="auto"/>
          </w:tcPr>
          <w:p w:rsidR="006E6A47" w:rsidRPr="004A7025" w:rsidRDefault="006E6A47" w:rsidP="004F0D13">
            <w:pPr>
              <w:jc w:val="both"/>
              <w:rPr>
                <w:b/>
                <w:i/>
                <w:lang w:val="ro-RO"/>
              </w:rPr>
            </w:pPr>
            <w:r w:rsidRPr="004A7025">
              <w:rPr>
                <w:u w:val="single"/>
                <w:lang w:val="ro-RO"/>
              </w:rPr>
              <w:t xml:space="preserve">2. Plăţile: </w:t>
            </w:r>
            <w:r w:rsidRPr="004A7025">
              <w:rPr>
                <w:i/>
                <w:lang w:val="ro-RO"/>
              </w:rPr>
              <w:t xml:space="preserve">S-а constatat că au fost autorizate plăţile în numerar, în mai multe cazuri. Deşi plăţile în numerar nu sunt interzise de legislaţia naţională, acestea ar trebui să fie limitate, întrucât presupun o multitudine de riscuri (de exemplu, plăţi false sau duble, plata către persoana greşită şi riscul de corupţie). Acestea ar trebui să fie permise doar în cazul sumelor foarte mici şi atunci când nu există </w:t>
            </w:r>
            <w:r w:rsidR="00E63297">
              <w:rPr>
                <w:i/>
                <w:lang w:val="ro-RO"/>
              </w:rPr>
              <w:t>nicio altă opţiune disponibilă.</w:t>
            </w:r>
          </w:p>
        </w:tc>
        <w:tc>
          <w:tcPr>
            <w:tcW w:w="5310" w:type="dxa"/>
            <w:shd w:val="clear" w:color="auto" w:fill="auto"/>
          </w:tcPr>
          <w:p w:rsidR="006E6A47" w:rsidRPr="004A7025" w:rsidRDefault="006E6A47" w:rsidP="004F0D13">
            <w:pPr>
              <w:jc w:val="both"/>
              <w:rPr>
                <w:lang w:val="ro-RO"/>
              </w:rPr>
            </w:pPr>
            <w:r w:rsidRPr="004A7025">
              <w:rPr>
                <w:lang w:val="ro-RO"/>
              </w:rPr>
              <w:t xml:space="preserve">În implementarea POCU, plățile în numerar au fost limitate. Cu toate acestea, </w:t>
            </w:r>
            <w:r w:rsidR="00E63297" w:rsidRPr="004A7025">
              <w:rPr>
                <w:lang w:val="ro-RO"/>
              </w:rPr>
              <w:t>având</w:t>
            </w:r>
            <w:r w:rsidRPr="004A7025">
              <w:rPr>
                <w:lang w:val="ro-RO"/>
              </w:rPr>
              <w:t xml:space="preserve"> in vedere specificul anumitor </w:t>
            </w:r>
            <w:r w:rsidR="00E63297" w:rsidRPr="004A7025">
              <w:rPr>
                <w:lang w:val="ro-RO"/>
              </w:rPr>
              <w:t>intervenții</w:t>
            </w:r>
            <w:r w:rsidRPr="004A7025">
              <w:rPr>
                <w:lang w:val="ro-RO"/>
              </w:rPr>
              <w:t xml:space="preserve"> FSE, AM a decis, ca plățile în numerar să </w:t>
            </w:r>
            <w:r w:rsidR="00E63297" w:rsidRPr="004A7025">
              <w:rPr>
                <w:lang w:val="ro-RO"/>
              </w:rPr>
              <w:t>poată</w:t>
            </w:r>
            <w:r w:rsidRPr="004A7025">
              <w:rPr>
                <w:lang w:val="ro-RO"/>
              </w:rPr>
              <w:t xml:space="preserve"> fi acceptate doar în condiții speciale (în general subvenții acordate persoanelor defavorizate) si doar acolo unde nu exista alte variante posibile.</w:t>
            </w:r>
          </w:p>
        </w:tc>
      </w:tr>
      <w:tr w:rsidR="006E6A47" w:rsidRPr="004A7025" w:rsidTr="006E6A47">
        <w:trPr>
          <w:trHeight w:val="6176"/>
        </w:trPr>
        <w:tc>
          <w:tcPr>
            <w:tcW w:w="4698" w:type="dxa"/>
            <w:tcBorders>
              <w:bottom w:val="single" w:sz="4" w:space="0" w:color="auto"/>
            </w:tcBorders>
            <w:shd w:val="clear" w:color="auto" w:fill="auto"/>
          </w:tcPr>
          <w:p w:rsidR="006E6A47" w:rsidRPr="004A7025" w:rsidRDefault="006E6A47" w:rsidP="004F0D13">
            <w:pPr>
              <w:jc w:val="both"/>
              <w:rPr>
                <w:i/>
                <w:lang w:val="ro-RO"/>
              </w:rPr>
            </w:pPr>
            <w:r w:rsidRPr="004A7025">
              <w:rPr>
                <w:u w:val="single"/>
                <w:lang w:val="ro-RO"/>
              </w:rPr>
              <w:lastRenderedPageBreak/>
              <w:t>3. Entităti cu proiecte multiple:</w:t>
            </w:r>
            <w:r w:rsidRPr="004A7025">
              <w:rPr>
                <w:lang w:val="ro-RO"/>
              </w:rPr>
              <w:t xml:space="preserve"> </w:t>
            </w:r>
            <w:r w:rsidRPr="004A7025">
              <w:rPr>
                <w:i/>
                <w:lang w:val="ro-RO"/>
              </w:rPr>
              <w:t xml:space="preserve">au fost implementate proiecte paralele în care sunt implicate aceleaşi părţi, cu beneficiari/parteneri care îşi schimbă rolurile. Această practică ridică semne de întrebare cu privire la capacităţile tehnice reale ale părţilor şi sugerează un potenţial risc de finanţare dublă. Asemenea proiecte ar trebui investigate mai amănunţit şi ar trebui comunicate informaţii complete legate de implicarea părţilor în alte proiecte înainte de acordarea finanţărilor. </w:t>
            </w:r>
          </w:p>
          <w:p w:rsidR="006E6A47" w:rsidRPr="004A7025" w:rsidRDefault="006E6A47" w:rsidP="004F0D13">
            <w:pPr>
              <w:jc w:val="both"/>
              <w:rPr>
                <w:i/>
                <w:lang w:val="ro-RO"/>
              </w:rPr>
            </w:pPr>
          </w:p>
          <w:p w:rsidR="006E6A47" w:rsidRPr="004A7025" w:rsidRDefault="006E6A47" w:rsidP="004F0D13">
            <w:pPr>
              <w:jc w:val="both"/>
              <w:rPr>
                <w:i/>
                <w:lang w:val="ro-RO"/>
              </w:rPr>
            </w:pPr>
          </w:p>
          <w:p w:rsidR="006E6A47" w:rsidRPr="004A7025" w:rsidRDefault="006E6A47" w:rsidP="004F0D13">
            <w:pPr>
              <w:jc w:val="both"/>
              <w:rPr>
                <w:b/>
                <w:lang w:val="ro-RO"/>
              </w:rPr>
            </w:pPr>
          </w:p>
        </w:tc>
        <w:tc>
          <w:tcPr>
            <w:tcW w:w="5310" w:type="dxa"/>
            <w:tcBorders>
              <w:bottom w:val="single" w:sz="4" w:space="0" w:color="auto"/>
            </w:tcBorders>
            <w:shd w:val="clear" w:color="auto" w:fill="auto"/>
          </w:tcPr>
          <w:p w:rsidR="006E6A47" w:rsidRPr="004A7025" w:rsidRDefault="006E6A47" w:rsidP="004F0D13">
            <w:pPr>
              <w:jc w:val="both"/>
              <w:rPr>
                <w:lang w:val="ro-RO"/>
              </w:rPr>
            </w:pPr>
            <w:r w:rsidRPr="004A7025">
              <w:rPr>
                <w:lang w:val="ro-RO"/>
              </w:rPr>
              <w:t>Acest aspect este tratat de către AM prin intermediul prevederilor Ghidului Solicitantului Condiții Generale. Mai exact, entitățile care implementează cel puțin 2 proiecte, indiferent de calitatea pe care o au (beneficiar sau partener) sunt evaluate suplimentar în faza de contractare, din punct de vedere al capacității financiare și tehnice. De asemenea, în vederea evitării dublei finanțări, sunt analizate și comparate cheltuielile cuprinse în bugetele proiectelor implementate de aceeași organizație. Mai mult, pentru perioada 2014-2020, atât bugetul proiectului cât și urmărirea și validarea cheltuielilor se face la nivelul fiecărei entități din parteneriat, ceea ce conduce la o mai bună monitorizare a activităților și resurselor alocate fiecărui partener.</w:t>
            </w:r>
          </w:p>
          <w:p w:rsidR="006E6A47" w:rsidRPr="004A7025" w:rsidRDefault="006E6A47" w:rsidP="004F0D13">
            <w:pPr>
              <w:jc w:val="both"/>
              <w:rPr>
                <w:lang w:val="ro-RO"/>
              </w:rPr>
            </w:pPr>
            <w:r w:rsidRPr="004A7025">
              <w:rPr>
                <w:lang w:val="ro-RO"/>
              </w:rPr>
              <w:t xml:space="preserve">Monitorizarea și evidențierea proiectelor implementate de aceleași entități se realizează prin intermediul sistemului informatic SMIS-MySMIS 2014. Mai exact, sistemul IT </w:t>
            </w:r>
            <w:r w:rsidR="00E63297" w:rsidRPr="004A7025">
              <w:rPr>
                <w:lang w:val="ro-RO"/>
              </w:rPr>
              <w:t>colectează</w:t>
            </w:r>
            <w:r w:rsidRPr="004A7025">
              <w:rPr>
                <w:lang w:val="ro-RO"/>
              </w:rPr>
              <w:t xml:space="preserve"> toate proiectele </w:t>
            </w:r>
            <w:r w:rsidR="00E63297" w:rsidRPr="004A7025">
              <w:rPr>
                <w:lang w:val="ro-RO"/>
              </w:rPr>
              <w:t>câștigate</w:t>
            </w:r>
            <w:r w:rsidRPr="004A7025">
              <w:rPr>
                <w:lang w:val="ro-RO"/>
              </w:rPr>
              <w:t xml:space="preserve"> de </w:t>
            </w:r>
            <w:r w:rsidR="00E63297" w:rsidRPr="004A7025">
              <w:rPr>
                <w:lang w:val="ro-RO"/>
              </w:rPr>
              <w:t>către</w:t>
            </w:r>
            <w:r w:rsidRPr="004A7025">
              <w:rPr>
                <w:lang w:val="ro-RO"/>
              </w:rPr>
              <w:t xml:space="preserve"> o entitate, indiferent de rolul sau in proiect (Beneficiar sau Partener) sau de Programul </w:t>
            </w:r>
            <w:r w:rsidR="00E63297" w:rsidRPr="004A7025">
              <w:rPr>
                <w:lang w:val="ro-RO"/>
              </w:rPr>
              <w:t>Operațional</w:t>
            </w:r>
            <w:r w:rsidRPr="004A7025">
              <w:rPr>
                <w:lang w:val="ro-RO"/>
              </w:rPr>
              <w:t xml:space="preserve"> care </w:t>
            </w:r>
            <w:r w:rsidR="00E63297" w:rsidRPr="004A7025">
              <w:rPr>
                <w:lang w:val="ro-RO"/>
              </w:rPr>
              <w:t>finanțează</w:t>
            </w:r>
            <w:r w:rsidRPr="004A7025">
              <w:rPr>
                <w:lang w:val="ro-RO"/>
              </w:rPr>
              <w:t xml:space="preserve"> proiectul.</w:t>
            </w:r>
          </w:p>
        </w:tc>
      </w:tr>
      <w:tr w:rsidR="006E6A47" w:rsidRPr="004A7025" w:rsidTr="006E6A47">
        <w:trPr>
          <w:trHeight w:val="7310"/>
        </w:trPr>
        <w:tc>
          <w:tcPr>
            <w:tcW w:w="4698" w:type="dxa"/>
            <w:tcBorders>
              <w:top w:val="single" w:sz="4" w:space="0" w:color="auto"/>
            </w:tcBorders>
            <w:shd w:val="clear" w:color="auto" w:fill="auto"/>
          </w:tcPr>
          <w:p w:rsidR="006E6A47" w:rsidRPr="004A7025" w:rsidRDefault="006E6A47" w:rsidP="004F0D13">
            <w:pPr>
              <w:jc w:val="both"/>
              <w:rPr>
                <w:i/>
                <w:lang w:val="ro-RO"/>
              </w:rPr>
            </w:pPr>
            <w:r w:rsidRPr="004A7025">
              <w:rPr>
                <w:i/>
                <w:lang w:val="ro-RO"/>
              </w:rPr>
              <w:lastRenderedPageBreak/>
              <w:t>4.</w:t>
            </w:r>
            <w:r w:rsidRPr="004A7025">
              <w:rPr>
                <w:i/>
                <w:u w:val="single"/>
                <w:lang w:val="ro-RO"/>
              </w:rPr>
              <w:t xml:space="preserve"> Parteneriatul:</w:t>
            </w:r>
            <w:r w:rsidRPr="004A7025">
              <w:rPr>
                <w:i/>
                <w:lang w:val="ro-RO"/>
              </w:rPr>
              <w:t xml:space="preserve"> în ceea ce priveşte chestiunea parteneriatului, in anumite cazuri, serviciile aduse în cadrul proiectului de către partenerii privaţi ar fi putut fi obţinute prin intermediul achiziţiilor. De asemenea, costurile generate de opţiunea parteneriatului sunt ridicate (mai ales în comparaţie cu rezultatele); este probabil ca achiziţia de pe piaţă să fi fost mai eficientă din punct de vedere al costurilor. În timp ce parteneriatele sunt încurajate, acestea ar trebui să fie realizate într-un mod care să sporească valoarea socială şi nu doar să genereze beneficii la nivelul entităţilor private. Pentru a se evita folosirea abuzivă a parteneriatelor în perioada de programare 2014-2020, autoritatea de management ar trebui să furnizeze orientări clare atât solicitanţilor, cât şi evaluatorilor, pentru a determina valoarea adăugată a parteneriatelor.</w:t>
            </w:r>
          </w:p>
        </w:tc>
        <w:tc>
          <w:tcPr>
            <w:tcW w:w="5310" w:type="dxa"/>
            <w:tcBorders>
              <w:top w:val="single" w:sz="4" w:space="0" w:color="auto"/>
            </w:tcBorders>
            <w:shd w:val="clear" w:color="auto" w:fill="auto"/>
          </w:tcPr>
          <w:p w:rsidR="006E6A47" w:rsidRPr="004A7025" w:rsidRDefault="006E6A47" w:rsidP="004F0D13">
            <w:pPr>
              <w:jc w:val="both"/>
              <w:rPr>
                <w:lang w:val="ro-RO"/>
              </w:rPr>
            </w:pPr>
            <w:r w:rsidRPr="004A7025">
              <w:rPr>
                <w:lang w:val="ro-RO"/>
              </w:rPr>
              <w:t xml:space="preserve"> Referitor la aspectele legate de parteneriate, prin intermediul Ghidului Solicitantului Condiții Generale, AM a decis excluderea parteneriatelor încheiate în scopul furnizării unor servicii de tipul aplicații IT, sisteme informatice, supervizarea activităților, furnizare de bunuri. Aceste servicii se vor achiziționa de pe piață, prin procedură transparentă de achiziție. </w:t>
            </w:r>
          </w:p>
          <w:p w:rsidR="006E6A47" w:rsidRPr="004A7025" w:rsidRDefault="006E6A47" w:rsidP="004F0D13">
            <w:pPr>
              <w:jc w:val="both"/>
              <w:rPr>
                <w:lang w:val="ro-RO"/>
              </w:rPr>
            </w:pPr>
            <w:r w:rsidRPr="004A7025">
              <w:rPr>
                <w:lang w:val="ro-RO"/>
              </w:rPr>
              <w:t>De asemenea, în vederea întăririi rolului liderului de parteneriat, AM a impus ca bugetul aferent activităților derulate de liderul de parteneriat să fie mai mare decât alocarea financiară aferentă oricărui alt membru al parteneriatului. În plus, partenerii sunt obligați să contribuie inclusiv financiar la implementarea proiectului.</w:t>
            </w:r>
            <w:r w:rsidRPr="004A7025">
              <w:rPr>
                <w:sz w:val="24"/>
                <w:szCs w:val="24"/>
                <w:lang w:val="ro-RO"/>
              </w:rPr>
              <w:t xml:space="preserve"> </w:t>
            </w:r>
          </w:p>
          <w:p w:rsidR="006E6A47" w:rsidRPr="004A7025" w:rsidRDefault="006E6A47" w:rsidP="004F0D13">
            <w:pPr>
              <w:jc w:val="both"/>
              <w:rPr>
                <w:lang w:val="ro-RO"/>
              </w:rPr>
            </w:pPr>
            <w:r w:rsidRPr="004A7025">
              <w:rPr>
                <w:lang w:val="ro-RO"/>
              </w:rPr>
              <w:t xml:space="preserve">Ghidul Solicitantului Condiții Generale prevede totodată că, în vederea stabilirii unui parteneriat, solicitanții </w:t>
            </w:r>
            <w:r w:rsidRPr="004A7025">
              <w:rPr>
                <w:b/>
                <w:lang w:val="ro-RO"/>
              </w:rPr>
              <w:t>– atât  publici, cât și privați –</w:t>
            </w:r>
            <w:r w:rsidRPr="004A7025">
              <w:rPr>
                <w:lang w:val="ro-RO"/>
              </w:rPr>
              <w:t xml:space="preserve"> care intenționează să intre într-o relație de parteneriat vor elabora o </w:t>
            </w:r>
            <w:r w:rsidRPr="004A7025">
              <w:rPr>
                <w:b/>
                <w:lang w:val="ro-RO"/>
              </w:rPr>
              <w:t>notă justificativă</w:t>
            </w:r>
            <w:r w:rsidRPr="004A7025">
              <w:rPr>
                <w:lang w:val="ro-RO"/>
              </w:rPr>
              <w:t xml:space="preserve"> care va conține o analiza a valorii adăugate a parteneriatului în ceea ce privește utilizarea eficientă a fondurilor, precum şi rolul fiecărui partener în implementarea proiectului.</w:t>
            </w:r>
          </w:p>
          <w:p w:rsidR="006E6A47" w:rsidRPr="004A7025" w:rsidRDefault="006E6A47" w:rsidP="004F0D13">
            <w:pPr>
              <w:jc w:val="both"/>
              <w:rPr>
                <w:lang w:val="ro-RO"/>
              </w:rPr>
            </w:pPr>
            <w:r w:rsidRPr="004A7025">
              <w:rPr>
                <w:lang w:val="ro-RO"/>
              </w:rPr>
              <w:t xml:space="preserve">Prin intermediul acestor masuri, AM </w:t>
            </w:r>
            <w:r w:rsidR="00E63297" w:rsidRPr="004A7025">
              <w:rPr>
                <w:lang w:val="ro-RO"/>
              </w:rPr>
              <w:t>dorește</w:t>
            </w:r>
            <w:r w:rsidRPr="004A7025">
              <w:rPr>
                <w:lang w:val="ro-RO"/>
              </w:rPr>
              <w:t xml:space="preserve"> sa a</w:t>
            </w:r>
            <w:r w:rsidR="00E63297">
              <w:rPr>
                <w:lang w:val="ro-RO"/>
              </w:rPr>
              <w:t>s</w:t>
            </w:r>
            <w:r w:rsidRPr="004A7025">
              <w:rPr>
                <w:lang w:val="ro-RO"/>
              </w:rPr>
              <w:t>igure valoare adăugată operațiunilor implementate in parteneriat, finanțate din FSE prin POCU.</w:t>
            </w:r>
          </w:p>
        </w:tc>
      </w:tr>
      <w:tr w:rsidR="006E6A47" w:rsidRPr="004A7025" w:rsidTr="006E6A47">
        <w:tc>
          <w:tcPr>
            <w:tcW w:w="4698" w:type="dxa"/>
            <w:shd w:val="clear" w:color="auto" w:fill="auto"/>
          </w:tcPr>
          <w:p w:rsidR="006E6A47" w:rsidRPr="004A7025" w:rsidRDefault="006E6A47" w:rsidP="004F0D13">
            <w:pPr>
              <w:jc w:val="both"/>
              <w:rPr>
                <w:b/>
                <w:i/>
                <w:lang w:val="ro-RO"/>
              </w:rPr>
            </w:pPr>
            <w:r w:rsidRPr="004A7025">
              <w:rPr>
                <w:u w:val="single"/>
                <w:lang w:val="ro-RO"/>
              </w:rPr>
              <w:t xml:space="preserve">5. Experienţa de muncă specifică: </w:t>
            </w:r>
            <w:r w:rsidRPr="004A7025">
              <w:rPr>
                <w:i/>
                <w:lang w:val="ro-RO"/>
              </w:rPr>
              <w:t>Experienţa specifică a personalului într-un domeniu determinat este calculată uneori într-un mod discutabil. De exemplu, în unele cazuri se consideră că un director al unei entităţi deţine experienţă simultană în toate funcţiile subordonate (marketing, comunicare, finanţe). În alte cazuri, experţii fară o experienţă relevantă şi/sau studii corespunzătoare au fost acceptaţi pe poziţii care erau vitale pentru</w:t>
            </w:r>
            <w:r w:rsidRPr="004A7025">
              <w:rPr>
                <w:b/>
                <w:i/>
                <w:lang w:val="ro-RO"/>
              </w:rPr>
              <w:t xml:space="preserve"> </w:t>
            </w:r>
            <w:r w:rsidRPr="004A7025">
              <w:rPr>
                <w:i/>
                <w:lang w:val="ro-RO"/>
              </w:rPr>
              <w:t xml:space="preserve">atingerea </w:t>
            </w:r>
            <w:r w:rsidRPr="004A7025">
              <w:rPr>
                <w:i/>
                <w:lang w:val="ro-RO"/>
              </w:rPr>
              <w:lastRenderedPageBreak/>
              <w:t xml:space="preserve">obiectivelor. Considerentele financiare (salariul sub pragul inferior) nu elimină problemele legate de realitatea activităţilor şi de capacitatea proiectului de a atinge obiectivele. Instrucţiunile pentru implementare ar trebui să fie actualizate astfel încât experienţa şi educaţia să fie factori decisivi pentru selectarea unui expert care să efectueze anumite cerinţe. </w:t>
            </w:r>
          </w:p>
        </w:tc>
        <w:tc>
          <w:tcPr>
            <w:tcW w:w="5310" w:type="dxa"/>
            <w:shd w:val="clear" w:color="auto" w:fill="auto"/>
          </w:tcPr>
          <w:p w:rsidR="006E6A47" w:rsidRPr="004A7025" w:rsidRDefault="006E6A47" w:rsidP="004F0D13">
            <w:pPr>
              <w:jc w:val="both"/>
              <w:rPr>
                <w:lang w:val="ro-RO"/>
              </w:rPr>
            </w:pPr>
            <w:r w:rsidRPr="004A7025">
              <w:rPr>
                <w:lang w:val="ro-RO"/>
              </w:rPr>
              <w:lastRenderedPageBreak/>
              <w:t>AM a detaliat în Ghidul Solicitantului Condiții Generale POCU atât aspectele cu privire la dimensionarea echipelor de proiect în raport cu anvergura operațiunii, cât și criteriile folosite în verificarea experienței specifice necesare personalului implicat în proiect.</w:t>
            </w:r>
          </w:p>
          <w:p w:rsidR="006E6A47" w:rsidRPr="004A7025" w:rsidRDefault="006E6A47" w:rsidP="004F0D13">
            <w:pPr>
              <w:jc w:val="both"/>
              <w:rPr>
                <w:lang w:val="ro-RO"/>
              </w:rPr>
            </w:pPr>
            <w:r w:rsidRPr="004A7025">
              <w:rPr>
                <w:lang w:val="ro-RO"/>
              </w:rPr>
              <w:t xml:space="preserve">Mai exact, pentru respectarea principiului cost-eficiență în evaluarea proiectelor, aplicanții se vor asigura că în cadrul aceluiași proiect nu sunt prevăzute/bugetate funcții ale căror atribuții sau responsabilități se suprapun </w:t>
            </w:r>
            <w:r w:rsidRPr="004A7025">
              <w:rPr>
                <w:lang w:val="ro-RO"/>
              </w:rPr>
              <w:lastRenderedPageBreak/>
              <w:t>sau se vor asigura că nu sunt prevăzute funcții care nu sunt justificate/fundamentate. Solicitantul va justifica includerea mai multor experți de același tip, în situația în care grupul țintă este în număr semnificativ sau sunt necesare activități ce urmează a fi desfășurate în paralel și necesită mai mulți experți de același tip care desfășoară activități în același timp (ex: număr mare de persoane de consiliat, grupe paralele de cursanți pentru formare sau practică, mediere sau campanii în mai multe orașe sau locații simultan, etc.) In plus, se solicită  pentru evaluarea exprienței de muncă specifice, pe lângă CV, și alte documente justificative relevante (de exemplu diplome de studii, certificate de absolvire, recomandări, contracte executate, etc). Experții cheie pentru implementarea proiectului (ex managerul de proiect, responsabilii cu derularea activităților proiectului – formare profesională, consiliere, etc) se nominalizează încă din faza de depunere a cererii de finanțare, evaluatorii putând evalua experiența relevantă a expertului propus precum și studiile acestuia.</w:t>
            </w:r>
          </w:p>
        </w:tc>
      </w:tr>
      <w:tr w:rsidR="006E6A47" w:rsidRPr="004A7025" w:rsidTr="006E6A47">
        <w:tc>
          <w:tcPr>
            <w:tcW w:w="4698" w:type="dxa"/>
            <w:shd w:val="clear" w:color="auto" w:fill="auto"/>
          </w:tcPr>
          <w:p w:rsidR="006E6A47" w:rsidRPr="004A7025" w:rsidRDefault="006E6A47" w:rsidP="004F0D13">
            <w:pPr>
              <w:jc w:val="both"/>
              <w:rPr>
                <w:b/>
                <w:i/>
                <w:lang w:val="ro-RO"/>
              </w:rPr>
            </w:pPr>
            <w:r w:rsidRPr="004A7025">
              <w:rPr>
                <w:u w:val="single"/>
                <w:lang w:val="ro-RO"/>
              </w:rPr>
              <w:lastRenderedPageBreak/>
              <w:t>6. Achiziţii:</w:t>
            </w:r>
            <w:r w:rsidRPr="004A7025">
              <w:rPr>
                <w:lang w:val="ro-RO"/>
              </w:rPr>
              <w:t xml:space="preserve"> </w:t>
            </w:r>
            <w:r w:rsidRPr="004A7025">
              <w:rPr>
                <w:i/>
                <w:lang w:val="ro-RO"/>
              </w:rPr>
              <w:t>Bunurile şi serviciile achiziţionate în cadrul anumitor proiecte au fost imediat sub pragul maxim de atribuire directă (30 000 EUR, fără TVA). Auditorii CE au constatat că justificarea costurilor unor astfel de achiziţii nu cuprindea o cercetare de piaţă corespunzătoare. în vederea creşterii</w:t>
            </w:r>
            <w:r w:rsidRPr="004A7025">
              <w:rPr>
                <w:b/>
                <w:i/>
                <w:lang w:val="ro-RO"/>
              </w:rPr>
              <w:t xml:space="preserve"> </w:t>
            </w:r>
            <w:r w:rsidRPr="004A7025">
              <w:rPr>
                <w:i/>
                <w:lang w:val="ro-RO"/>
              </w:rPr>
              <w:t>transparenţei, instrucţiunile pentru OI ar trebui să prevadă fundamentarea adecvată a</w:t>
            </w:r>
            <w:r w:rsidRPr="004A7025">
              <w:rPr>
                <w:b/>
                <w:i/>
                <w:lang w:val="ro-RO"/>
              </w:rPr>
              <w:t xml:space="preserve"> </w:t>
            </w:r>
            <w:r w:rsidRPr="004A7025">
              <w:rPr>
                <w:i/>
                <w:lang w:val="ro-RO"/>
              </w:rPr>
              <w:t>preţului, incluzând cereri de ofertă de la operatori relevanţi şi cunoscuţi de pe piaţă în domeniile respective. OI ar trebui să verifice cu atenţie necesitatea de a achiziţiona toate</w:t>
            </w:r>
            <w:r w:rsidRPr="004A7025">
              <w:rPr>
                <w:b/>
                <w:i/>
                <w:lang w:val="ro-RO"/>
              </w:rPr>
              <w:t xml:space="preserve"> </w:t>
            </w:r>
            <w:r w:rsidRPr="004A7025">
              <w:rPr>
                <w:i/>
                <w:lang w:val="ro-RO"/>
              </w:rPr>
              <w:t>resursele (mobilă, echipament IT etc.) prevăzute, teoretic, în buget.</w:t>
            </w:r>
          </w:p>
        </w:tc>
        <w:tc>
          <w:tcPr>
            <w:tcW w:w="5310" w:type="dxa"/>
            <w:shd w:val="clear" w:color="auto" w:fill="auto"/>
          </w:tcPr>
          <w:p w:rsidR="006E6A47" w:rsidRPr="004A7025" w:rsidRDefault="006E6A47" w:rsidP="004F0D13">
            <w:pPr>
              <w:jc w:val="both"/>
              <w:rPr>
                <w:lang w:val="ro-RO"/>
              </w:rPr>
            </w:pPr>
            <w:r w:rsidRPr="004A7025">
              <w:rPr>
                <w:lang w:val="ro-RO"/>
              </w:rPr>
              <w:t>AM a hotărât instruirea aplicanților și beneficiarilor, prin intermediul Ghidului Solicitantului Conditii Generale, în scopul justificării corespunzătoare a valorii estimate a bunurilor și serviciilor achiziționate. În acest sens, notele de fundamentare a valorii achiziției vor conține, pe cât posibil, cereri de ofertă de la operatori relevanţi şi cunoscuţi de pe piaţă în domeniile respective.</w:t>
            </w:r>
          </w:p>
          <w:p w:rsidR="006E6A47" w:rsidRPr="004A7025" w:rsidRDefault="006E6A47" w:rsidP="004F0D13">
            <w:pPr>
              <w:jc w:val="both"/>
              <w:rPr>
                <w:lang w:val="ro-RO"/>
              </w:rPr>
            </w:pPr>
            <w:r w:rsidRPr="004A7025">
              <w:rPr>
                <w:lang w:val="ro-RO"/>
              </w:rPr>
              <w:t xml:space="preserve">In sistemul informatic SMIS–MySMIS 2014, formatul cererii de finanțare prevede în secțiunea Buget ca aplicatul să fundamenteze fiecare element de cheltuială bugetară, inclusiv din punct de vedere al respectării principiului cost-eficiență. </w:t>
            </w:r>
          </w:p>
        </w:tc>
      </w:tr>
      <w:tr w:rsidR="006E6A47" w:rsidRPr="004A7025" w:rsidTr="006E6A47">
        <w:tc>
          <w:tcPr>
            <w:tcW w:w="4698" w:type="dxa"/>
            <w:shd w:val="clear" w:color="auto" w:fill="auto"/>
          </w:tcPr>
          <w:p w:rsidR="006E6A47" w:rsidRPr="004A7025" w:rsidRDefault="006E6A47" w:rsidP="004F0D13">
            <w:pPr>
              <w:rPr>
                <w:b/>
                <w:lang w:val="ro-RO"/>
              </w:rPr>
            </w:pPr>
            <w:r w:rsidRPr="004A7025">
              <w:rPr>
                <w:u w:val="single"/>
                <w:lang w:val="ro-RO"/>
              </w:rPr>
              <w:t>7. Programul de lucru:</w:t>
            </w:r>
            <w:r w:rsidRPr="004A7025">
              <w:rPr>
                <w:lang w:val="ro-RO"/>
              </w:rPr>
              <w:t xml:space="preserve"> </w:t>
            </w:r>
            <w:r w:rsidRPr="004A7025">
              <w:rPr>
                <w:i/>
                <w:lang w:val="ro-RO"/>
              </w:rPr>
              <w:t xml:space="preserve">Numărul orelor de muncă imputate proiectelor nu pare a fi real. Deşi sunt în </w:t>
            </w:r>
            <w:r w:rsidRPr="004A7025">
              <w:rPr>
                <w:i/>
                <w:lang w:val="ro-RO"/>
              </w:rPr>
              <w:lastRenderedPageBreak/>
              <w:t>conformitate cu legislaţia muncii la nivel naţional din punct de vedere al cantităţii (ore pe zi), în multe cazuri pare puţin probabil ca personalul implicat să fie apt din punct de vedere fizic să respecte programul de lucru declarat (fară pauze între locuri de muncă diferite, nu este luat în considerare timpul de deplasare), prin urmare, realitatea activităţilor este discutabilă. La revizuirea orelor alocate proiectului, evaluatorii ar trebui să ia în considerare programe de lucru realiste, şi nu doar respectarea formală a legii.</w:t>
            </w:r>
          </w:p>
        </w:tc>
        <w:tc>
          <w:tcPr>
            <w:tcW w:w="5310" w:type="dxa"/>
            <w:shd w:val="clear" w:color="auto" w:fill="auto"/>
          </w:tcPr>
          <w:p w:rsidR="006E6A47" w:rsidRPr="004A7025" w:rsidRDefault="006E6A47" w:rsidP="006E6A47">
            <w:pPr>
              <w:jc w:val="both"/>
              <w:rPr>
                <w:lang w:val="ro-RO"/>
              </w:rPr>
            </w:pPr>
            <w:r w:rsidRPr="004A7025">
              <w:rPr>
                <w:lang w:val="ro-RO"/>
              </w:rPr>
              <w:lastRenderedPageBreak/>
              <w:t xml:space="preserve">Prin Ghidurile Solicitantului sunt stabilite niveluri maxime de lucru pe zi și pe săptămână. Respectarea de </w:t>
            </w:r>
            <w:r w:rsidRPr="004A7025">
              <w:rPr>
                <w:lang w:val="ro-RO"/>
              </w:rPr>
              <w:lastRenderedPageBreak/>
              <w:t xml:space="preserve">către beneficiari a acestor reguli va fi monitorizată de către AM/OI cu ajutorul sistemului IT SMIS-MY SMIS 2014. In acest moment sistemul informatic My SMIS 2014 culege </w:t>
            </w:r>
            <w:r w:rsidR="00E63297" w:rsidRPr="004A7025">
              <w:rPr>
                <w:lang w:val="ro-RO"/>
              </w:rPr>
              <w:t>informații</w:t>
            </w:r>
            <w:r w:rsidRPr="004A7025">
              <w:rPr>
                <w:lang w:val="ro-RO"/>
              </w:rPr>
              <w:t xml:space="preserve"> referitoare la </w:t>
            </w:r>
            <w:r w:rsidR="00E63297" w:rsidRPr="004A7025">
              <w:rPr>
                <w:lang w:val="ro-RO"/>
              </w:rPr>
              <w:t>experții</w:t>
            </w:r>
            <w:r w:rsidRPr="004A7025">
              <w:rPr>
                <w:lang w:val="ro-RO"/>
              </w:rPr>
              <w:t xml:space="preserve"> </w:t>
            </w:r>
            <w:r w:rsidR="00E63297" w:rsidRPr="004A7025">
              <w:rPr>
                <w:lang w:val="ro-RO"/>
              </w:rPr>
              <w:t>implicați</w:t>
            </w:r>
            <w:r w:rsidRPr="004A7025">
              <w:rPr>
                <w:lang w:val="ro-RO"/>
              </w:rPr>
              <w:t xml:space="preserve"> in toate proiectele </w:t>
            </w:r>
            <w:r w:rsidR="00E63297" w:rsidRPr="004A7025">
              <w:rPr>
                <w:lang w:val="ro-RO"/>
              </w:rPr>
              <w:t>finanțate</w:t>
            </w:r>
            <w:r w:rsidRPr="004A7025">
              <w:rPr>
                <w:lang w:val="ro-RO"/>
              </w:rPr>
              <w:t xml:space="preserve"> prin Programele </w:t>
            </w:r>
            <w:r w:rsidR="00E63297" w:rsidRPr="004A7025">
              <w:rPr>
                <w:lang w:val="ro-RO"/>
              </w:rPr>
              <w:t>Operaționale</w:t>
            </w:r>
            <w:r w:rsidRPr="004A7025">
              <w:rPr>
                <w:lang w:val="ro-RO"/>
              </w:rPr>
              <w:t xml:space="preserve"> pentru perioada 2014-2020. In acest fel, sistemul IT poate furniza o lista a </w:t>
            </w:r>
            <w:r w:rsidR="00E63297" w:rsidRPr="004A7025">
              <w:rPr>
                <w:lang w:val="ro-RO"/>
              </w:rPr>
              <w:t>numărului</w:t>
            </w:r>
            <w:r w:rsidRPr="004A7025">
              <w:rPr>
                <w:lang w:val="ro-RO"/>
              </w:rPr>
              <w:t xml:space="preserve"> de ore de munca aferente </w:t>
            </w:r>
            <w:r w:rsidR="00E63297" w:rsidRPr="004A7025">
              <w:rPr>
                <w:lang w:val="ro-RO"/>
              </w:rPr>
              <w:t>fiecărui</w:t>
            </w:r>
            <w:r w:rsidRPr="004A7025">
              <w:rPr>
                <w:lang w:val="ro-RO"/>
              </w:rPr>
              <w:t xml:space="preserve"> expert implicat in implementarea PO. </w:t>
            </w:r>
            <w:r w:rsidR="00E63297" w:rsidRPr="004A7025">
              <w:rPr>
                <w:lang w:val="ro-RO"/>
              </w:rPr>
              <w:t>Următorul</w:t>
            </w:r>
            <w:r w:rsidRPr="004A7025">
              <w:rPr>
                <w:lang w:val="ro-RO"/>
              </w:rPr>
              <w:t xml:space="preserve"> pas in dezvoltarea </w:t>
            </w:r>
            <w:r w:rsidR="00E63297" w:rsidRPr="004A7025">
              <w:rPr>
                <w:lang w:val="ro-RO"/>
              </w:rPr>
              <w:t>aplicației</w:t>
            </w:r>
            <w:r w:rsidRPr="004A7025">
              <w:rPr>
                <w:lang w:val="ro-RO"/>
              </w:rPr>
              <w:t xml:space="preserve"> il </w:t>
            </w:r>
            <w:r w:rsidR="00E63297" w:rsidRPr="004A7025">
              <w:rPr>
                <w:lang w:val="ro-RO"/>
              </w:rPr>
              <w:t>reprezintă</w:t>
            </w:r>
            <w:r w:rsidRPr="004A7025">
              <w:rPr>
                <w:lang w:val="ro-RO"/>
              </w:rPr>
              <w:t xml:space="preserve"> </w:t>
            </w:r>
            <w:r w:rsidR="00E63297" w:rsidRPr="004A7025">
              <w:rPr>
                <w:lang w:val="ro-RO"/>
              </w:rPr>
              <w:t>legătura</w:t>
            </w:r>
            <w:r w:rsidRPr="004A7025">
              <w:rPr>
                <w:lang w:val="ro-RO"/>
              </w:rPr>
              <w:t xml:space="preserve"> My SMIS 2014 cu baza de date a Registrului General de Evidenta a </w:t>
            </w:r>
            <w:r w:rsidR="00E63297" w:rsidRPr="004A7025">
              <w:rPr>
                <w:lang w:val="ro-RO"/>
              </w:rPr>
              <w:t>Salariaților</w:t>
            </w:r>
            <w:r w:rsidRPr="004A7025">
              <w:rPr>
                <w:lang w:val="ro-RO"/>
              </w:rPr>
              <w:t xml:space="preserve"> (REVISAL) astfel </w:t>
            </w:r>
            <w:r w:rsidR="00E63297" w:rsidRPr="004A7025">
              <w:rPr>
                <w:lang w:val="ro-RO"/>
              </w:rPr>
              <w:t>încât</w:t>
            </w:r>
            <w:r w:rsidRPr="004A7025">
              <w:rPr>
                <w:lang w:val="ro-RO"/>
              </w:rPr>
              <w:t xml:space="preserve"> sa </w:t>
            </w:r>
            <w:r w:rsidR="00E63297" w:rsidRPr="004A7025">
              <w:rPr>
                <w:lang w:val="ro-RO"/>
              </w:rPr>
              <w:t>poată</w:t>
            </w:r>
            <w:r w:rsidRPr="004A7025">
              <w:rPr>
                <w:lang w:val="ro-RO"/>
              </w:rPr>
              <w:t xml:space="preserve"> fi asigurata </w:t>
            </w:r>
            <w:r w:rsidR="00E63297" w:rsidRPr="004A7025">
              <w:rPr>
                <w:lang w:val="ro-RO"/>
              </w:rPr>
              <w:t>legătura</w:t>
            </w:r>
            <w:r w:rsidRPr="004A7025">
              <w:rPr>
                <w:lang w:val="ro-RO"/>
              </w:rPr>
              <w:t xml:space="preserve"> intre orele lucrate de </w:t>
            </w:r>
            <w:r w:rsidR="00E63297" w:rsidRPr="004A7025">
              <w:rPr>
                <w:lang w:val="ro-RO"/>
              </w:rPr>
              <w:t>experți</w:t>
            </w:r>
            <w:r w:rsidRPr="004A7025">
              <w:rPr>
                <w:lang w:val="ro-RO"/>
              </w:rPr>
              <w:t xml:space="preserve"> in cadrul proiectelor cu eventuale alte contracte de munca pe care </w:t>
            </w:r>
            <w:r w:rsidR="00E63297" w:rsidRPr="004A7025">
              <w:rPr>
                <w:lang w:val="ro-RO"/>
              </w:rPr>
              <w:t>aceștia</w:t>
            </w:r>
            <w:r w:rsidRPr="004A7025">
              <w:rPr>
                <w:lang w:val="ro-RO"/>
              </w:rPr>
              <w:t xml:space="preserve"> le </w:t>
            </w:r>
            <w:r w:rsidR="00E63297" w:rsidRPr="004A7025">
              <w:rPr>
                <w:lang w:val="ro-RO"/>
              </w:rPr>
              <w:t>dețin</w:t>
            </w:r>
            <w:r w:rsidRPr="004A7025">
              <w:rPr>
                <w:lang w:val="ro-RO"/>
              </w:rPr>
              <w:t xml:space="preserve">. Aceasta </w:t>
            </w:r>
            <w:r w:rsidR="00E63297" w:rsidRPr="004A7025">
              <w:rPr>
                <w:lang w:val="ro-RO"/>
              </w:rPr>
              <w:t>legătura</w:t>
            </w:r>
            <w:r w:rsidRPr="004A7025">
              <w:rPr>
                <w:lang w:val="ro-RO"/>
              </w:rPr>
              <w:t xml:space="preserve"> intre cele doua sisteme va fi realizata in viitorul apropiat dar nu mai </w:t>
            </w:r>
            <w:r w:rsidR="00E63297" w:rsidRPr="004A7025">
              <w:rPr>
                <w:lang w:val="ro-RO"/>
              </w:rPr>
              <w:t>târziu</w:t>
            </w:r>
            <w:r w:rsidRPr="004A7025">
              <w:rPr>
                <w:lang w:val="ro-RO"/>
              </w:rPr>
              <w:t xml:space="preserve"> de demararea </w:t>
            </w:r>
            <w:r w:rsidR="00E63297" w:rsidRPr="004A7025">
              <w:rPr>
                <w:lang w:val="ro-RO"/>
              </w:rPr>
              <w:t>implementării</w:t>
            </w:r>
            <w:r w:rsidRPr="004A7025">
              <w:rPr>
                <w:lang w:val="ro-RO"/>
              </w:rPr>
              <w:t xml:space="preserve"> proiectelor </w:t>
            </w:r>
            <w:r w:rsidR="00E63297" w:rsidRPr="004A7025">
              <w:rPr>
                <w:lang w:val="ro-RO"/>
              </w:rPr>
              <w:t>finanțate</w:t>
            </w:r>
            <w:r w:rsidRPr="004A7025">
              <w:rPr>
                <w:lang w:val="ro-RO"/>
              </w:rPr>
              <w:t xml:space="preserve"> prin POCU.</w:t>
            </w:r>
          </w:p>
          <w:p w:rsidR="006E6A47" w:rsidRPr="004A7025" w:rsidRDefault="006E6A47" w:rsidP="006E6A47">
            <w:pPr>
              <w:jc w:val="both"/>
              <w:rPr>
                <w:lang w:val="ro-RO"/>
              </w:rPr>
            </w:pPr>
            <w:r w:rsidRPr="004A7025">
              <w:rPr>
                <w:lang w:val="ro-RO"/>
              </w:rPr>
              <w:t>În faza de evaluare, evaluatorii fac observații și dacă este cazul, diminuari de buget, acolo unde constată o încărcare nejustificată a programului de lucru  In faza de implementare AM/OI va monitoriza modul de respectare de catre Beneficiari a regulilor stabilite, prin efectuarea de controale încrucişate cu privire la personalul care este implicat in mai multe proiecte.</w:t>
            </w:r>
          </w:p>
        </w:tc>
      </w:tr>
      <w:tr w:rsidR="006E6A47" w:rsidRPr="004A7025" w:rsidTr="006E6A47">
        <w:tc>
          <w:tcPr>
            <w:tcW w:w="4698" w:type="dxa"/>
            <w:shd w:val="clear" w:color="auto" w:fill="auto"/>
          </w:tcPr>
          <w:p w:rsidR="006E6A47" w:rsidRPr="004A7025" w:rsidRDefault="006E6A47" w:rsidP="004F0D13">
            <w:pPr>
              <w:jc w:val="both"/>
              <w:rPr>
                <w:b/>
                <w:lang w:val="ro-RO"/>
              </w:rPr>
            </w:pPr>
            <w:r w:rsidRPr="004A7025">
              <w:rPr>
                <w:u w:val="single"/>
                <w:lang w:val="ro-RO"/>
              </w:rPr>
              <w:lastRenderedPageBreak/>
              <w:t>8. Angajare vs. Subcontractare:</w:t>
            </w:r>
            <w:r w:rsidRPr="004A7025">
              <w:rPr>
                <w:lang w:val="ro-RO"/>
              </w:rPr>
              <w:t xml:space="preserve"> </w:t>
            </w:r>
            <w:r w:rsidRPr="004A7025">
              <w:rPr>
                <w:i/>
                <w:lang w:val="ro-RO"/>
              </w:rPr>
              <w:t>Auditorii CE au observat că funcţii atribuite în mod normal prin contracte de muncă au fost subcontractate. Astfel, plafoanele aplicabile salariilor au fost evitate, fiind plătite sume mai mari prin subcontractare. Se recomandă ca autoritatea de management să instruiască OI să aplice principiul prevalentei fondului asupra formei şi să nu accepte tranzacţiile care vizează obţinerea unor sume mai mari</w:t>
            </w:r>
          </w:p>
        </w:tc>
        <w:tc>
          <w:tcPr>
            <w:tcW w:w="5310" w:type="dxa"/>
            <w:shd w:val="clear" w:color="auto" w:fill="auto"/>
          </w:tcPr>
          <w:p w:rsidR="006E6A47" w:rsidRPr="004A7025" w:rsidRDefault="006E6A47" w:rsidP="004F0D13">
            <w:pPr>
              <w:jc w:val="both"/>
              <w:rPr>
                <w:lang w:val="ro-RO"/>
              </w:rPr>
            </w:pPr>
            <w:r w:rsidRPr="004A7025">
              <w:rPr>
                <w:lang w:val="ro-RO"/>
              </w:rPr>
              <w:t>Acest aspect este reglementat pentru POCU prin Ghidurile Solicitantului. Mai exact, angajarea persoanelor este posibila doar cu Contract Individual de Munca. In situația în care Beneficiarul/partenerul dorește subcontractarea unei funcții în locul unui contract de muncă, în nota de fundamentare a achiziției (vezi pct. 7) va utiliza plafoanele maximale prevăzute pentru contractele de muncă. În acest fel, se evită</w:t>
            </w:r>
            <w:r w:rsidR="00E63297">
              <w:rPr>
                <w:lang w:val="ro-RO"/>
              </w:rPr>
              <w:t xml:space="preserve"> creșterea ar</w:t>
            </w:r>
            <w:r w:rsidRPr="004A7025">
              <w:rPr>
                <w:lang w:val="ro-RO"/>
              </w:rPr>
              <w:t xml:space="preserve">tificială a costurilor în cazul subcontractării.  </w:t>
            </w:r>
          </w:p>
        </w:tc>
      </w:tr>
      <w:tr w:rsidR="006E6A47" w:rsidRPr="004A7025" w:rsidTr="006E6A47">
        <w:tc>
          <w:tcPr>
            <w:tcW w:w="4698" w:type="dxa"/>
            <w:shd w:val="clear" w:color="auto" w:fill="auto"/>
          </w:tcPr>
          <w:p w:rsidR="006E6A47" w:rsidRPr="004A7025" w:rsidRDefault="006E6A47" w:rsidP="004F0D13">
            <w:pPr>
              <w:jc w:val="both"/>
              <w:rPr>
                <w:b/>
                <w:i/>
                <w:lang w:val="ro-RO"/>
              </w:rPr>
            </w:pPr>
            <w:r w:rsidRPr="004A7025">
              <w:rPr>
                <w:u w:val="single"/>
                <w:lang w:val="ro-RO"/>
              </w:rPr>
              <w:t xml:space="preserve">9. Corespondenta foii de pontaj cu rezultatele: </w:t>
            </w:r>
            <w:r w:rsidRPr="004A7025">
              <w:rPr>
                <w:i/>
                <w:lang w:val="ro-RO"/>
              </w:rPr>
              <w:t xml:space="preserve">Corespondenţa dintre timpul de lucru consumat </w:t>
            </w:r>
            <w:r w:rsidRPr="004A7025">
              <w:rPr>
                <w:i/>
                <w:lang w:val="ro-RO"/>
              </w:rPr>
              <w:lastRenderedPageBreak/>
              <w:t>de personal în cadrul proiectului şi rezultatele propriu-zise nu a fost întotdeauna posibil de stabilit. Prea multe ore de lucru au fost alocate pentru o activitate simplă sau aceleaşi rezultate au fost uneori creditate la mai multe persoane, fiind considerate muncă colectivă. Auditorii consideră că, în anumite cazuri, astfel de practici au fost utilizate excesiv, mai ales pentru managerii de proiect. Se recomandă ca OI să fie mai stricte în ceea ce priveşte substanţa rezultatelor şi să determine</w:t>
            </w:r>
            <w:r w:rsidRPr="004A7025">
              <w:rPr>
                <w:b/>
                <w:i/>
                <w:lang w:val="ro-RO"/>
              </w:rPr>
              <w:t xml:space="preserve"> </w:t>
            </w:r>
            <w:r w:rsidRPr="004A7025">
              <w:rPr>
                <w:i/>
                <w:lang w:val="ro-RO"/>
              </w:rPr>
              <w:t>un timp de lucru rezonabil, care să fie proporţional cu rezultatele.</w:t>
            </w:r>
          </w:p>
        </w:tc>
        <w:tc>
          <w:tcPr>
            <w:tcW w:w="5310" w:type="dxa"/>
            <w:shd w:val="clear" w:color="auto" w:fill="auto"/>
          </w:tcPr>
          <w:p w:rsidR="006E6A47" w:rsidRPr="004A7025" w:rsidRDefault="006E6A47" w:rsidP="004F0D13">
            <w:pPr>
              <w:jc w:val="both"/>
              <w:rPr>
                <w:lang w:val="ro-RO"/>
              </w:rPr>
            </w:pPr>
            <w:r w:rsidRPr="004A7025">
              <w:rPr>
                <w:lang w:val="ro-RO"/>
              </w:rPr>
              <w:lastRenderedPageBreak/>
              <w:t xml:space="preserve">AM va instruiri Beneficiarii cu privire la livrabilele ce nu vor fi acceptate ca și documente justificative pentru </w:t>
            </w:r>
            <w:r w:rsidRPr="004A7025">
              <w:rPr>
                <w:lang w:val="ro-RO"/>
              </w:rPr>
              <w:lastRenderedPageBreak/>
              <w:t xml:space="preserve">activitățile prestate (minute de ședință, întocmirea rapoartelor de activitate, studiul diverselor norme și reglementări, precum și alte documente fără impact asupra indicatorilor). De asemenea, nu vor fi acceptate ca livrabile documente care </w:t>
            </w:r>
            <w:r w:rsidR="00E63297" w:rsidRPr="004A7025">
              <w:rPr>
                <w:lang w:val="ro-RO"/>
              </w:rPr>
              <w:t>conțin</w:t>
            </w:r>
            <w:r w:rsidRPr="004A7025">
              <w:rPr>
                <w:lang w:val="ro-RO"/>
              </w:rPr>
              <w:t xml:space="preserve"> paragrafe si texte integrale preluate din documente deja existente (studii, analize, </w:t>
            </w:r>
            <w:r w:rsidR="00E63297" w:rsidRPr="004A7025">
              <w:rPr>
                <w:lang w:val="ro-RO"/>
              </w:rPr>
              <w:t>cercetări</w:t>
            </w:r>
            <w:r w:rsidRPr="004A7025">
              <w:rPr>
                <w:lang w:val="ro-RO"/>
              </w:rPr>
              <w:t xml:space="preserve">, acte normative, etc) Mai mult, AM/OI se  va asigura, prin verificări administrative și la fața locului asupra </w:t>
            </w:r>
            <w:r w:rsidR="00E63297" w:rsidRPr="004A7025">
              <w:rPr>
                <w:lang w:val="ro-RO"/>
              </w:rPr>
              <w:t>legalității</w:t>
            </w:r>
            <w:r w:rsidRPr="004A7025">
              <w:rPr>
                <w:lang w:val="ro-RO"/>
              </w:rPr>
              <w:t xml:space="preserve"> și realității activităților desfășurate  de personalul angajat în proiect. </w:t>
            </w:r>
          </w:p>
        </w:tc>
      </w:tr>
      <w:tr w:rsidR="006E6A47" w:rsidRPr="004A7025" w:rsidTr="006E6A47">
        <w:tc>
          <w:tcPr>
            <w:tcW w:w="4698" w:type="dxa"/>
            <w:shd w:val="clear" w:color="auto" w:fill="auto"/>
          </w:tcPr>
          <w:p w:rsidR="006E6A47" w:rsidRPr="004A7025" w:rsidRDefault="006E6A47" w:rsidP="004F0D13">
            <w:pPr>
              <w:jc w:val="both"/>
              <w:rPr>
                <w:b/>
                <w:lang w:val="ro-RO"/>
              </w:rPr>
            </w:pPr>
            <w:r w:rsidRPr="004A7025">
              <w:rPr>
                <w:u w:val="single"/>
                <w:lang w:val="ro-RO"/>
              </w:rPr>
              <w:lastRenderedPageBreak/>
              <w:t xml:space="preserve">10. Grupurile ţintă: </w:t>
            </w:r>
            <w:r w:rsidRPr="004A7025">
              <w:rPr>
                <w:i/>
                <w:lang w:val="ro-RO"/>
              </w:rPr>
              <w:t>Selectarea participanţilor din cadrul grupului ţintă nu este întotdeauna pe deplin relevantă în contextul proiectului. Deşi oficial respectau definiţia din ghid (din punct de vedere al etniei şi al genului), o parte din participanţi aveau deja o calificare sau/şi un loc de muncă stabil. în plus, în unele dintre cazuri, diploma eliberată în cadrul programului viza acelaşi domeniu şi era inferioară faţă de calificarea existentă a participanţilor. Ar trebui acordată prioritate categoriilor mai vulnerabile, şomerilor sau celor care nu au nicio calificare. Pentru participanţii calificaţi, diploma obţinută în cadrul programului ar trebui să sporească, în mod ideal, abilităţile deja dobândite sau să îi recalifice dacă acest lucru este dictat de dinamica socioeconomica a regiunii (a se vedea constatarea 14 de mai jos).</w:t>
            </w:r>
          </w:p>
        </w:tc>
        <w:tc>
          <w:tcPr>
            <w:tcW w:w="5310" w:type="dxa"/>
            <w:shd w:val="clear" w:color="auto" w:fill="auto"/>
          </w:tcPr>
          <w:p w:rsidR="006E6A47" w:rsidRPr="004A7025" w:rsidRDefault="006E6A47" w:rsidP="004F0D13">
            <w:pPr>
              <w:jc w:val="both"/>
              <w:rPr>
                <w:lang w:val="ro-RO"/>
              </w:rPr>
            </w:pPr>
            <w:r w:rsidRPr="004A7025">
              <w:rPr>
                <w:lang w:val="ro-RO"/>
              </w:rPr>
              <w:t xml:space="preserve">AM va implementa măsuri de responsabilizare a beneficiarilor in </w:t>
            </w:r>
            <w:r w:rsidR="00E63297" w:rsidRPr="004A7025">
              <w:rPr>
                <w:lang w:val="ro-RO"/>
              </w:rPr>
              <w:t>legătura</w:t>
            </w:r>
            <w:r w:rsidRPr="004A7025">
              <w:rPr>
                <w:lang w:val="ro-RO"/>
              </w:rPr>
              <w:t xml:space="preserve"> cu Grupul </w:t>
            </w:r>
            <w:r w:rsidR="00E63297" w:rsidRPr="004A7025">
              <w:rPr>
                <w:lang w:val="ro-RO"/>
              </w:rPr>
              <w:t>țintă</w:t>
            </w:r>
            <w:r w:rsidRPr="004A7025">
              <w:rPr>
                <w:lang w:val="ro-RO"/>
              </w:rPr>
              <w:t xml:space="preserve">, în sensul adecvării măsurilor la categoria și nevoile grupului țintă. Mai exact, AM a decis ca </w:t>
            </w:r>
            <w:r w:rsidR="00E63297" w:rsidRPr="004A7025">
              <w:rPr>
                <w:lang w:val="ro-RO"/>
              </w:rPr>
              <w:t>finanțările</w:t>
            </w:r>
            <w:r w:rsidRPr="004A7025">
              <w:rPr>
                <w:lang w:val="ro-RO"/>
              </w:rPr>
              <w:t xml:space="preserve"> lansate sa acorde prioritate, acolo unde este posibil, persoanelor vulnerabile, </w:t>
            </w:r>
            <w:r w:rsidR="00E63297" w:rsidRPr="004A7025">
              <w:rPr>
                <w:lang w:val="ro-RO"/>
              </w:rPr>
              <w:t>șomerilor</w:t>
            </w:r>
            <w:r w:rsidRPr="004A7025">
              <w:rPr>
                <w:lang w:val="ro-RO"/>
              </w:rPr>
              <w:t xml:space="preserve"> sau celor care nu </w:t>
            </w:r>
            <w:r w:rsidR="00E63297" w:rsidRPr="004A7025">
              <w:rPr>
                <w:lang w:val="ro-RO"/>
              </w:rPr>
              <w:t>dețin</w:t>
            </w:r>
            <w:r w:rsidRPr="004A7025">
              <w:rPr>
                <w:lang w:val="ro-RO"/>
              </w:rPr>
              <w:t xml:space="preserve"> o calificar</w:t>
            </w:r>
            <w:r w:rsidR="00E63297">
              <w:rPr>
                <w:lang w:val="ro-RO"/>
              </w:rPr>
              <w:t>e. Totodată, prin cererea de fi</w:t>
            </w:r>
            <w:r w:rsidR="00E63297" w:rsidRPr="004A7025">
              <w:rPr>
                <w:lang w:val="ro-RO"/>
              </w:rPr>
              <w:t>na</w:t>
            </w:r>
            <w:r w:rsidR="00E63297">
              <w:rPr>
                <w:lang w:val="ro-RO"/>
              </w:rPr>
              <w:t>n</w:t>
            </w:r>
            <w:r w:rsidR="00E63297" w:rsidRPr="004A7025">
              <w:rPr>
                <w:lang w:val="ro-RO"/>
              </w:rPr>
              <w:t>țare</w:t>
            </w:r>
            <w:r w:rsidRPr="004A7025">
              <w:rPr>
                <w:lang w:val="ro-RO"/>
              </w:rPr>
              <w:t xml:space="preserve"> se solicita </w:t>
            </w:r>
            <w:r w:rsidR="00E63297" w:rsidRPr="004A7025">
              <w:rPr>
                <w:lang w:val="ro-RO"/>
              </w:rPr>
              <w:t>Aplicaților</w:t>
            </w:r>
            <w:r w:rsidRPr="004A7025">
              <w:rPr>
                <w:lang w:val="ro-RO"/>
              </w:rPr>
              <w:t xml:space="preserve"> sa descrie metodologia de </w:t>
            </w:r>
            <w:r w:rsidR="00E63297" w:rsidRPr="004A7025">
              <w:rPr>
                <w:lang w:val="ro-RO"/>
              </w:rPr>
              <w:t>selecție</w:t>
            </w:r>
            <w:r w:rsidRPr="004A7025">
              <w:rPr>
                <w:lang w:val="ro-RO"/>
              </w:rPr>
              <w:t xml:space="preserve"> si identificare a Grupului </w:t>
            </w:r>
            <w:r w:rsidR="00E63297" w:rsidRPr="004A7025">
              <w:rPr>
                <w:lang w:val="ro-RO"/>
              </w:rPr>
              <w:t>Țintă</w:t>
            </w:r>
            <w:r w:rsidRPr="004A7025">
              <w:rPr>
                <w:lang w:val="ro-RO"/>
              </w:rPr>
              <w:t xml:space="preserve">, cu accent pe modalitatea in care persoanele identificate sunt selectate respectiv modalitatea de prioritizare in procesul de </w:t>
            </w:r>
            <w:r w:rsidR="00E63297" w:rsidRPr="004A7025">
              <w:rPr>
                <w:lang w:val="ro-RO"/>
              </w:rPr>
              <w:t>selecția</w:t>
            </w:r>
            <w:r w:rsidRPr="004A7025">
              <w:rPr>
                <w:lang w:val="ro-RO"/>
              </w:rPr>
              <w:t xml:space="preserve"> a celor care chiar au nevoie sa participe la </w:t>
            </w:r>
            <w:r w:rsidR="00E63297" w:rsidRPr="004A7025">
              <w:rPr>
                <w:lang w:val="ro-RO"/>
              </w:rPr>
              <w:t>activitățile</w:t>
            </w:r>
            <w:r w:rsidRPr="004A7025">
              <w:rPr>
                <w:lang w:val="ro-RO"/>
              </w:rPr>
              <w:t xml:space="preserve"> proiectului.</w:t>
            </w:r>
          </w:p>
          <w:p w:rsidR="006E6A47" w:rsidRPr="004A7025" w:rsidRDefault="006E6A47" w:rsidP="004F0D13">
            <w:pPr>
              <w:jc w:val="both"/>
              <w:rPr>
                <w:lang w:val="ro-RO"/>
              </w:rPr>
            </w:pPr>
            <w:r w:rsidRPr="004A7025">
              <w:rPr>
                <w:lang w:val="ro-RO"/>
              </w:rPr>
              <w:t xml:space="preserve">Majoritatea apelurilor ce urmează a fi lansate din POCU vor finanța măsuri integrate, ceea ce presupune faptul că accesul persoanelor din grupul țintă la un program sau altul de formare se realizează în urmă activității de orientare și consiliere în carieră, această abordare eliminând practic posibilitatea dublării măsurilor de formare pentru aceeași persoană din grupul țintă.  De asemenea, AM va limita, acolo unde este cazul, prin intermediul Ghidului Solicitantului aferent cererilor de propuneri de proiecte, accesul la cursurile de formare, a acelor persoane care </w:t>
            </w:r>
            <w:r w:rsidR="00E63297" w:rsidRPr="004A7025">
              <w:rPr>
                <w:lang w:val="ro-RO"/>
              </w:rPr>
              <w:t>dețin</w:t>
            </w:r>
            <w:r w:rsidRPr="004A7025">
              <w:rPr>
                <w:lang w:val="ro-RO"/>
              </w:rPr>
              <w:t xml:space="preserve"> deja o calificare in domeniul </w:t>
            </w:r>
            <w:r w:rsidRPr="004A7025">
              <w:rPr>
                <w:lang w:val="ro-RO"/>
              </w:rPr>
              <w:lastRenderedPageBreak/>
              <w:t xml:space="preserve">propus spre </w:t>
            </w:r>
            <w:r w:rsidR="00E63297" w:rsidRPr="004A7025">
              <w:rPr>
                <w:lang w:val="ro-RO"/>
              </w:rPr>
              <w:t>finanțare</w:t>
            </w:r>
            <w:r w:rsidRPr="004A7025">
              <w:rPr>
                <w:lang w:val="ro-RO"/>
              </w:rPr>
              <w:t>.</w:t>
            </w:r>
          </w:p>
          <w:p w:rsidR="006E6A47" w:rsidRPr="004A7025" w:rsidRDefault="006E6A47" w:rsidP="004F0D13">
            <w:pPr>
              <w:jc w:val="both"/>
              <w:rPr>
                <w:lang w:val="ro-RO"/>
              </w:rPr>
            </w:pPr>
            <w:r w:rsidRPr="004A7025">
              <w:rPr>
                <w:lang w:val="ro-RO"/>
              </w:rPr>
              <w:t>Mai mult, sistemul informatic MySMIS va putea furniza date referitoare la compoziția grupului țintă și rezultatele activităților de formare/calificare adresate acestora.</w:t>
            </w:r>
          </w:p>
        </w:tc>
      </w:tr>
      <w:tr w:rsidR="006E6A47" w:rsidRPr="004A7025" w:rsidTr="006E6A47">
        <w:tc>
          <w:tcPr>
            <w:tcW w:w="4698" w:type="dxa"/>
            <w:shd w:val="clear" w:color="auto" w:fill="auto"/>
          </w:tcPr>
          <w:p w:rsidR="006E6A47" w:rsidRPr="004A7025" w:rsidRDefault="006E6A47" w:rsidP="004F0D13">
            <w:pPr>
              <w:jc w:val="both"/>
              <w:rPr>
                <w:b/>
                <w:i/>
                <w:lang w:val="ro-RO"/>
              </w:rPr>
            </w:pPr>
            <w:r w:rsidRPr="004A7025">
              <w:rPr>
                <w:u w:val="single"/>
                <w:lang w:val="ro-RO"/>
              </w:rPr>
              <w:lastRenderedPageBreak/>
              <w:t>11. Valoarea adăugată a proiectelor:</w:t>
            </w:r>
            <w:r w:rsidRPr="004A7025">
              <w:rPr>
                <w:lang w:val="ro-RO"/>
              </w:rPr>
              <w:t xml:space="preserve"> </w:t>
            </w:r>
            <w:r w:rsidRPr="004A7025">
              <w:rPr>
                <w:i/>
                <w:lang w:val="ro-RO"/>
              </w:rPr>
              <w:t>Auditorii CE au constatat deficienţe în ceea ce priveşte procedurile OI de verificare a valorii adăugate globale a proiectelor şi a capacităţii tehnice a beneficiarilor dincolo de respectarea formală a normelor şi reglementărilor. OI ar trebui să vizeze corelarea formării oferite în cadrul proiectelor cu abilităţile grupurilor-ţintă şi cu cerinţele de pe piaţa locală a muncii, precum şi a rezultatelor oficiale ale formatorilor cu</w:t>
            </w:r>
            <w:r w:rsidRPr="004A7025">
              <w:rPr>
                <w:b/>
                <w:i/>
                <w:lang w:val="ro-RO"/>
              </w:rPr>
              <w:t xml:space="preserve"> </w:t>
            </w:r>
            <w:r w:rsidRPr="004A7025">
              <w:rPr>
                <w:i/>
                <w:lang w:val="ro-RO"/>
              </w:rPr>
              <w:t>îmbunătăţirea vieţii/locului de muncă pentru grupul-ţintă etc.</w:t>
            </w:r>
          </w:p>
        </w:tc>
        <w:tc>
          <w:tcPr>
            <w:tcW w:w="5310" w:type="dxa"/>
            <w:shd w:val="clear" w:color="auto" w:fill="auto"/>
          </w:tcPr>
          <w:p w:rsidR="006E6A47" w:rsidRPr="004A7025" w:rsidRDefault="006E6A47" w:rsidP="004F0D13">
            <w:pPr>
              <w:jc w:val="both"/>
              <w:rPr>
                <w:lang w:val="ro-RO"/>
              </w:rPr>
            </w:pPr>
            <w:r w:rsidRPr="004A7025">
              <w:rPr>
                <w:lang w:val="ro-RO"/>
              </w:rPr>
              <w:t xml:space="preserve">Se are în vedere ca Ghidurile Solicitantului, să includă, în funcție de obiectivele specifice, activități eligibile detaliate și orientate către rezultatele preconizate. De asemenea, </w:t>
            </w:r>
            <w:r w:rsidR="00E63297" w:rsidRPr="004A7025">
              <w:rPr>
                <w:lang w:val="ro-RO"/>
              </w:rPr>
              <w:t>Aplicații</w:t>
            </w:r>
            <w:r w:rsidRPr="004A7025">
              <w:rPr>
                <w:lang w:val="ro-RO"/>
              </w:rPr>
              <w:t xml:space="preserve"> vor detalia in cererea de </w:t>
            </w:r>
            <w:r w:rsidR="00E63297" w:rsidRPr="004A7025">
              <w:rPr>
                <w:lang w:val="ro-RO"/>
              </w:rPr>
              <w:t>finanțare</w:t>
            </w:r>
            <w:r w:rsidRPr="004A7025">
              <w:rPr>
                <w:lang w:val="ro-RO"/>
              </w:rPr>
              <w:t xml:space="preserve">, </w:t>
            </w:r>
            <w:r w:rsidR="00E63297" w:rsidRPr="004A7025">
              <w:rPr>
                <w:lang w:val="ro-RO"/>
              </w:rPr>
              <w:t>legăturile</w:t>
            </w:r>
            <w:r w:rsidRPr="004A7025">
              <w:rPr>
                <w:lang w:val="ro-RO"/>
              </w:rPr>
              <w:t xml:space="preserve"> dintre </w:t>
            </w:r>
            <w:r w:rsidR="00E63297" w:rsidRPr="004A7025">
              <w:rPr>
                <w:lang w:val="ro-RO"/>
              </w:rPr>
              <w:t>activitățile</w:t>
            </w:r>
            <w:r w:rsidRPr="004A7025">
              <w:rPr>
                <w:lang w:val="ro-RO"/>
              </w:rPr>
              <w:t xml:space="preserve"> de formare, Grupul </w:t>
            </w:r>
            <w:r w:rsidR="00E63297" w:rsidRPr="004A7025">
              <w:rPr>
                <w:lang w:val="ro-RO"/>
              </w:rPr>
              <w:t>țintă</w:t>
            </w:r>
            <w:r w:rsidRPr="004A7025">
              <w:rPr>
                <w:lang w:val="ro-RO"/>
              </w:rPr>
              <w:t xml:space="preserve"> si </w:t>
            </w:r>
            <w:r w:rsidR="00E63297" w:rsidRPr="004A7025">
              <w:rPr>
                <w:lang w:val="ro-RO"/>
              </w:rPr>
              <w:t>cerințele</w:t>
            </w:r>
            <w:r w:rsidRPr="004A7025">
              <w:rPr>
                <w:lang w:val="ro-RO"/>
              </w:rPr>
              <w:t xml:space="preserve"> de ocupare aflate in </w:t>
            </w:r>
            <w:r w:rsidR="00E63297" w:rsidRPr="004A7025">
              <w:rPr>
                <w:lang w:val="ro-RO"/>
              </w:rPr>
              <w:t>piață</w:t>
            </w:r>
            <w:r w:rsidRPr="004A7025">
              <w:rPr>
                <w:lang w:val="ro-RO"/>
              </w:rPr>
              <w:t xml:space="preserve"> (relevanta proiectului)</w:t>
            </w:r>
          </w:p>
          <w:p w:rsidR="006E6A47" w:rsidRPr="004A7025" w:rsidRDefault="006E6A47" w:rsidP="004F0D13">
            <w:pPr>
              <w:jc w:val="both"/>
              <w:rPr>
                <w:lang w:val="ro-RO"/>
              </w:rPr>
            </w:pPr>
            <w:r w:rsidRPr="004A7025">
              <w:rPr>
                <w:lang w:val="ro-RO"/>
              </w:rPr>
              <w:t xml:space="preserve">Valoarea adăugată a proiectului reprezintă de altfel un subcriteriu de evaluare a cererii de finanțare, metodologia de evaluare fiind deja aprobata de </w:t>
            </w:r>
            <w:r w:rsidR="00E63297" w:rsidRPr="004A7025">
              <w:rPr>
                <w:lang w:val="ro-RO"/>
              </w:rPr>
              <w:t>către</w:t>
            </w:r>
            <w:r w:rsidRPr="004A7025">
              <w:rPr>
                <w:lang w:val="ro-RO"/>
              </w:rPr>
              <w:t xml:space="preserve"> membrii Comitetului de Monitorizare al POCU. </w:t>
            </w:r>
          </w:p>
        </w:tc>
      </w:tr>
      <w:tr w:rsidR="006E6A47" w:rsidRPr="004A7025" w:rsidTr="006E6A47">
        <w:trPr>
          <w:trHeight w:val="8539"/>
        </w:trPr>
        <w:tc>
          <w:tcPr>
            <w:tcW w:w="4698" w:type="dxa"/>
            <w:shd w:val="clear" w:color="auto" w:fill="auto"/>
          </w:tcPr>
          <w:p w:rsidR="006E6A47" w:rsidRPr="004A7025" w:rsidRDefault="006E6A47" w:rsidP="004F0D13">
            <w:pPr>
              <w:jc w:val="both"/>
              <w:rPr>
                <w:b/>
                <w:i/>
                <w:lang w:val="ro-RO"/>
              </w:rPr>
            </w:pPr>
            <w:r w:rsidRPr="004A7025">
              <w:rPr>
                <w:u w:val="single"/>
                <w:lang w:val="ro-RO"/>
              </w:rPr>
              <w:lastRenderedPageBreak/>
              <w:t>12. Servicii inutile:</w:t>
            </w:r>
            <w:r w:rsidRPr="004A7025">
              <w:rPr>
                <w:lang w:val="ro-RO"/>
              </w:rPr>
              <w:t xml:space="preserve"> </w:t>
            </w:r>
            <w:r w:rsidRPr="004A7025">
              <w:rPr>
                <w:i/>
                <w:lang w:val="ro-RO"/>
              </w:rPr>
              <w:t>Autoritatea de management trebuie să revizuiască lista serviciilor şi funcţiilor obligatorii din cadrul</w:t>
            </w:r>
            <w:r w:rsidRPr="004A7025">
              <w:rPr>
                <w:b/>
                <w:i/>
                <w:lang w:val="ro-RO"/>
              </w:rPr>
              <w:t xml:space="preserve"> </w:t>
            </w:r>
            <w:r w:rsidRPr="004A7025">
              <w:rPr>
                <w:i/>
                <w:lang w:val="ro-RO"/>
              </w:rPr>
              <w:t>proiectelor şi să le elimine pe cele care au o valoare adăugată scăzută. De exemplu, auditul şi certificarea conturilor, care erau obligatorii în contextul IPA, nu aduc o valoare adăugată semnificativă actualului program finanţat din FSE. în plus, evenimentele de deschidere şi închidere obligatorii sunt costisitoare şi nu sunt întotdeauna necesare pentru atingerea obiectivului proiectului. Acoperirea mediatică prevăzută pentru o astfel de activitate poate fi obţinută într-un mod mai direct şi economic, de exemplu prin intermediul interviurilor la sediul beneficiarului.</w:t>
            </w:r>
          </w:p>
        </w:tc>
        <w:tc>
          <w:tcPr>
            <w:tcW w:w="5310" w:type="dxa"/>
            <w:shd w:val="clear" w:color="auto" w:fill="auto"/>
          </w:tcPr>
          <w:p w:rsidR="006E6A47" w:rsidRPr="004A7025" w:rsidRDefault="006E6A47" w:rsidP="004F0D13">
            <w:pPr>
              <w:jc w:val="both"/>
              <w:rPr>
                <w:lang w:val="ro-RO"/>
              </w:rPr>
            </w:pPr>
            <w:r w:rsidRPr="004A7025">
              <w:rPr>
                <w:lang w:val="ro-RO"/>
              </w:rPr>
              <w:t xml:space="preserve">AM a eliminat obligativitatea serviciilor de audit si de expertiza contabila. Aceste tipuri de cheltuieli, prin natura lor, pot fi </w:t>
            </w:r>
            <w:r w:rsidR="00E63297" w:rsidRPr="004A7025">
              <w:rPr>
                <w:lang w:val="ro-RO"/>
              </w:rPr>
              <w:t>încadrate</w:t>
            </w:r>
            <w:r w:rsidRPr="004A7025">
              <w:rPr>
                <w:lang w:val="ro-RO"/>
              </w:rPr>
              <w:t xml:space="preserve"> in categoria cheltuielilor indirecte. </w:t>
            </w:r>
          </w:p>
          <w:p w:rsidR="006E6A47" w:rsidRPr="004A7025" w:rsidRDefault="006E6A47" w:rsidP="004F0D13">
            <w:pPr>
              <w:jc w:val="both"/>
              <w:rPr>
                <w:lang w:val="ro-RO"/>
              </w:rPr>
            </w:pPr>
            <w:r w:rsidRPr="004A7025">
              <w:rPr>
                <w:lang w:val="ro-RO"/>
              </w:rPr>
              <w:t xml:space="preserve">De asemenea, AM a </w:t>
            </w:r>
            <w:r w:rsidR="00E63297" w:rsidRPr="004A7025">
              <w:rPr>
                <w:lang w:val="ro-RO"/>
              </w:rPr>
              <w:t>îmbunătățit</w:t>
            </w:r>
            <w:r w:rsidRPr="004A7025">
              <w:rPr>
                <w:lang w:val="ro-RO"/>
              </w:rPr>
              <w:t xml:space="preserve"> regulile de acoperire mediatica din cadrul proiectelor, </w:t>
            </w:r>
            <w:r w:rsidR="00E63297" w:rsidRPr="004A7025">
              <w:rPr>
                <w:lang w:val="ro-RO"/>
              </w:rPr>
              <w:t>eliminând</w:t>
            </w:r>
            <w:r w:rsidRPr="004A7025">
              <w:rPr>
                <w:lang w:val="ro-RO"/>
              </w:rPr>
              <w:t xml:space="preserve"> obligativitatea </w:t>
            </w:r>
            <w:r w:rsidR="00E63297" w:rsidRPr="004A7025">
              <w:rPr>
                <w:lang w:val="ro-RO"/>
              </w:rPr>
              <w:t>organizării</w:t>
            </w:r>
            <w:r w:rsidRPr="004A7025">
              <w:rPr>
                <w:lang w:val="ro-RO"/>
              </w:rPr>
              <w:t xml:space="preserve"> </w:t>
            </w:r>
            <w:r w:rsidR="00E63297" w:rsidRPr="004A7025">
              <w:rPr>
                <w:lang w:val="ro-RO"/>
              </w:rPr>
              <w:t>conferințelor</w:t>
            </w:r>
            <w:r w:rsidRPr="004A7025">
              <w:rPr>
                <w:lang w:val="ro-RO"/>
              </w:rPr>
              <w:t xml:space="preserve"> de promovare a proiectului. Acestea vor fi organizate doar pentru anumite tipuri de proiecte specifice (de exemplu proiecte cu acoperire </w:t>
            </w:r>
            <w:r w:rsidR="00E63297">
              <w:rPr>
                <w:lang w:val="ro-RO"/>
              </w:rPr>
              <w:t>națională</w:t>
            </w:r>
            <w:r w:rsidRPr="004A7025">
              <w:rPr>
                <w:lang w:val="ro-RO"/>
              </w:rPr>
              <w:t xml:space="preserve">, care </w:t>
            </w:r>
            <w:r w:rsidR="00E63297" w:rsidRPr="004A7025">
              <w:rPr>
                <w:lang w:val="ro-RO"/>
              </w:rPr>
              <w:t>finanțează</w:t>
            </w:r>
            <w:r w:rsidRPr="004A7025">
              <w:rPr>
                <w:lang w:val="ro-RO"/>
              </w:rPr>
              <w:t xml:space="preserve"> o strategie de dezvoltare, etc)</w:t>
            </w:r>
          </w:p>
          <w:p w:rsidR="006E6A47" w:rsidRPr="004A7025" w:rsidRDefault="00E63297" w:rsidP="004F0D13">
            <w:pPr>
              <w:jc w:val="both"/>
              <w:rPr>
                <w:lang w:val="ro-RO"/>
              </w:rPr>
            </w:pPr>
            <w:r w:rsidRPr="004A7025">
              <w:rPr>
                <w:lang w:val="ro-RO"/>
              </w:rPr>
              <w:t>Totodată</w:t>
            </w:r>
            <w:r w:rsidR="006E6A47" w:rsidRPr="004A7025">
              <w:rPr>
                <w:lang w:val="ro-RO"/>
              </w:rPr>
              <w:t xml:space="preserve">, pentru a asigura promovarea proiectelor, AM va instrui prin Ghidul Solicitantului </w:t>
            </w:r>
            <w:r w:rsidRPr="004A7025">
              <w:rPr>
                <w:lang w:val="ro-RO"/>
              </w:rPr>
              <w:t>condiții</w:t>
            </w:r>
            <w:r w:rsidR="006E6A47" w:rsidRPr="004A7025">
              <w:rPr>
                <w:lang w:val="ro-RO"/>
              </w:rPr>
              <w:t xml:space="preserve"> specifice cu privire la elementele minime de informare si publicitate. </w:t>
            </w:r>
            <w:r w:rsidRPr="004A7025">
              <w:rPr>
                <w:lang w:val="ro-RO"/>
              </w:rPr>
              <w:t>Totodată</w:t>
            </w:r>
            <w:r w:rsidR="006E6A47" w:rsidRPr="004A7025">
              <w:rPr>
                <w:lang w:val="ro-RO"/>
              </w:rPr>
              <w:t xml:space="preserve">, AM </w:t>
            </w:r>
            <w:r w:rsidRPr="004A7025">
              <w:rPr>
                <w:lang w:val="ro-RO"/>
              </w:rPr>
              <w:t>intenționează</w:t>
            </w:r>
            <w:r w:rsidR="006E6A47" w:rsidRPr="004A7025">
              <w:rPr>
                <w:lang w:val="ro-RO"/>
              </w:rPr>
              <w:t xml:space="preserve"> </w:t>
            </w:r>
            <w:r w:rsidRPr="004A7025">
              <w:rPr>
                <w:lang w:val="ro-RO"/>
              </w:rPr>
              <w:t>înființarea</w:t>
            </w:r>
            <w:r w:rsidR="006E6A47" w:rsidRPr="004A7025">
              <w:rPr>
                <w:lang w:val="ro-RO"/>
              </w:rPr>
              <w:t xml:space="preserve">, prin axa 7 de Asistenta Tehnica, a unui site de promovare a proiectelor, unde </w:t>
            </w:r>
            <w:r w:rsidRPr="004A7025">
              <w:rPr>
                <w:lang w:val="ro-RO"/>
              </w:rPr>
              <w:t>toți</w:t>
            </w:r>
            <w:r w:rsidR="006E6A47" w:rsidRPr="004A7025">
              <w:rPr>
                <w:lang w:val="ro-RO"/>
              </w:rPr>
              <w:t xml:space="preserve"> beneficiarii sa </w:t>
            </w:r>
            <w:r w:rsidRPr="004A7025">
              <w:rPr>
                <w:lang w:val="ro-RO"/>
              </w:rPr>
              <w:t>își</w:t>
            </w:r>
            <w:r w:rsidR="006E6A47" w:rsidRPr="004A7025">
              <w:rPr>
                <w:lang w:val="ro-RO"/>
              </w:rPr>
              <w:t xml:space="preserve"> deruleze, cu titlu </w:t>
            </w:r>
            <w:r w:rsidRPr="004A7025">
              <w:rPr>
                <w:lang w:val="ro-RO"/>
              </w:rPr>
              <w:t>gratuit</w:t>
            </w:r>
            <w:r w:rsidR="006E6A47" w:rsidRPr="004A7025">
              <w:rPr>
                <w:lang w:val="ro-RO"/>
              </w:rPr>
              <w:t>,  promovarea proiectelor proprii</w:t>
            </w:r>
          </w:p>
          <w:p w:rsidR="006E6A47" w:rsidRPr="004A7025" w:rsidRDefault="006E6A47" w:rsidP="004F0D13">
            <w:pPr>
              <w:jc w:val="both"/>
              <w:rPr>
                <w:lang w:val="ro-RO"/>
              </w:rPr>
            </w:pPr>
            <w:r w:rsidRPr="004A7025">
              <w:rPr>
                <w:lang w:val="ro-RO"/>
              </w:rPr>
              <w:t xml:space="preserve">In ceea ce </w:t>
            </w:r>
            <w:r w:rsidR="00E63297" w:rsidRPr="004A7025">
              <w:rPr>
                <w:lang w:val="ro-RO"/>
              </w:rPr>
              <w:t>privește</w:t>
            </w:r>
            <w:r w:rsidRPr="004A7025">
              <w:rPr>
                <w:lang w:val="ro-RO"/>
              </w:rPr>
              <w:t xml:space="preserve"> monitorizarea procedurile de lucru sunt dezvoltate astfel </w:t>
            </w:r>
            <w:r w:rsidR="00E63297" w:rsidRPr="004A7025">
              <w:rPr>
                <w:lang w:val="ro-RO"/>
              </w:rPr>
              <w:t>încât</w:t>
            </w:r>
            <w:r w:rsidRPr="004A7025">
              <w:rPr>
                <w:lang w:val="ro-RO"/>
              </w:rPr>
              <w:t xml:space="preserve"> monitorizarea </w:t>
            </w:r>
            <w:r w:rsidR="00E63297" w:rsidRPr="004A7025">
              <w:rPr>
                <w:lang w:val="ro-RO"/>
              </w:rPr>
              <w:t>implementării</w:t>
            </w:r>
            <w:r w:rsidRPr="004A7025">
              <w:rPr>
                <w:lang w:val="ro-RO"/>
              </w:rPr>
              <w:t xml:space="preserve"> proiectelor a fost </w:t>
            </w:r>
            <w:r w:rsidR="00E63297" w:rsidRPr="004A7025">
              <w:rPr>
                <w:lang w:val="ro-RO"/>
              </w:rPr>
              <w:t>îmbunătăța</w:t>
            </w:r>
            <w:r w:rsidRPr="004A7025">
              <w:rPr>
                <w:lang w:val="ro-RO"/>
              </w:rPr>
              <w:t xml:space="preserve">. In acest sens, fiecare proiect va avea, din partea OI un </w:t>
            </w:r>
            <w:r w:rsidR="00E63297" w:rsidRPr="004A7025">
              <w:rPr>
                <w:lang w:val="ro-RO"/>
              </w:rPr>
              <w:t>ofițer</w:t>
            </w:r>
            <w:r w:rsidRPr="004A7025">
              <w:rPr>
                <w:lang w:val="ro-RO"/>
              </w:rPr>
              <w:t xml:space="preserve"> de proiect dedicat care </w:t>
            </w:r>
            <w:r w:rsidR="00E63297" w:rsidRPr="004A7025">
              <w:rPr>
                <w:lang w:val="ro-RO"/>
              </w:rPr>
              <w:t>monitorizează</w:t>
            </w:r>
            <w:r w:rsidRPr="004A7025">
              <w:rPr>
                <w:lang w:val="ro-RO"/>
              </w:rPr>
              <w:t xml:space="preserve"> tehnic si financiar proiectul. Vizitele la fata locului se </w:t>
            </w:r>
            <w:r w:rsidR="00E63297" w:rsidRPr="004A7025">
              <w:rPr>
                <w:lang w:val="ro-RO"/>
              </w:rPr>
              <w:t>desfășoară</w:t>
            </w:r>
            <w:r w:rsidRPr="004A7025">
              <w:rPr>
                <w:lang w:val="ro-RO"/>
              </w:rPr>
              <w:t xml:space="preserve"> in </w:t>
            </w:r>
            <w:r w:rsidR="00E63297" w:rsidRPr="004A7025">
              <w:rPr>
                <w:lang w:val="ro-RO"/>
              </w:rPr>
              <w:t>funcție</w:t>
            </w:r>
            <w:r w:rsidRPr="004A7025">
              <w:rPr>
                <w:lang w:val="ro-RO"/>
              </w:rPr>
              <w:t xml:space="preserve"> de derularea </w:t>
            </w:r>
            <w:r w:rsidR="00E63297" w:rsidRPr="004A7025">
              <w:rPr>
                <w:lang w:val="ro-RO"/>
              </w:rPr>
              <w:t>activităților</w:t>
            </w:r>
            <w:r w:rsidRPr="004A7025">
              <w:rPr>
                <w:lang w:val="ro-RO"/>
              </w:rPr>
              <w:t xml:space="preserve"> relevante din cadrul </w:t>
            </w:r>
            <w:r w:rsidR="00E63297" w:rsidRPr="004A7025">
              <w:rPr>
                <w:lang w:val="ro-RO"/>
              </w:rPr>
              <w:t>operațiunii</w:t>
            </w:r>
            <w:r w:rsidRPr="004A7025">
              <w:rPr>
                <w:lang w:val="ro-RO"/>
              </w:rPr>
              <w:t xml:space="preserve"> </w:t>
            </w:r>
            <w:r w:rsidR="00E63297" w:rsidRPr="004A7025">
              <w:rPr>
                <w:lang w:val="ro-RO"/>
              </w:rPr>
              <w:t>finanțate</w:t>
            </w:r>
            <w:r w:rsidRPr="004A7025">
              <w:rPr>
                <w:lang w:val="ro-RO"/>
              </w:rPr>
              <w:t xml:space="preserve">. </w:t>
            </w:r>
          </w:p>
        </w:tc>
      </w:tr>
    </w:tbl>
    <w:p w:rsidR="006E6A47" w:rsidRPr="004A7025" w:rsidRDefault="006E6A47" w:rsidP="006E6A47">
      <w:pPr>
        <w:spacing w:after="0" w:line="240" w:lineRule="auto"/>
        <w:jc w:val="both"/>
        <w:rPr>
          <w:rFonts w:ascii="Cambria" w:hAnsi="Cambria" w:cs="Arial"/>
          <w:b/>
          <w:color w:val="000000"/>
          <w:sz w:val="28"/>
          <w:szCs w:val="28"/>
          <w:lang w:val="ro-RO"/>
        </w:rPr>
      </w:pPr>
    </w:p>
    <w:p w:rsidR="00F6748C" w:rsidRPr="004A7025" w:rsidRDefault="00F6748C" w:rsidP="006E6A47">
      <w:pPr>
        <w:rPr>
          <w:sz w:val="24"/>
          <w:szCs w:val="24"/>
          <w:lang w:val="ro-RO"/>
        </w:rPr>
      </w:pPr>
    </w:p>
    <w:p w:rsidR="00F6748C" w:rsidRPr="004A7025" w:rsidRDefault="00F6748C" w:rsidP="00116DB4">
      <w:pPr>
        <w:spacing w:after="0" w:line="240" w:lineRule="auto"/>
        <w:jc w:val="both"/>
        <w:rPr>
          <w:sz w:val="24"/>
          <w:szCs w:val="24"/>
          <w:lang w:val="ro-RO"/>
        </w:rPr>
      </w:pPr>
    </w:p>
    <w:p w:rsidR="00F6748C" w:rsidRPr="004A7025" w:rsidRDefault="00F6748C" w:rsidP="00116DB4">
      <w:pPr>
        <w:spacing w:after="0" w:line="240" w:lineRule="auto"/>
        <w:jc w:val="both"/>
        <w:rPr>
          <w:sz w:val="24"/>
          <w:szCs w:val="24"/>
          <w:lang w:val="ro-RO"/>
        </w:rPr>
      </w:pPr>
    </w:p>
    <w:p w:rsidR="00F6748C" w:rsidRPr="004A7025" w:rsidRDefault="00F6748C" w:rsidP="00116DB4">
      <w:pPr>
        <w:spacing w:after="0" w:line="240" w:lineRule="auto"/>
        <w:jc w:val="both"/>
        <w:rPr>
          <w:sz w:val="24"/>
          <w:szCs w:val="24"/>
          <w:lang w:val="ro-RO"/>
        </w:rPr>
      </w:pPr>
    </w:p>
    <w:p w:rsidR="00F6748C" w:rsidRPr="004A7025" w:rsidRDefault="00F6748C" w:rsidP="00116DB4">
      <w:pPr>
        <w:spacing w:after="0" w:line="240" w:lineRule="auto"/>
        <w:jc w:val="both"/>
        <w:rPr>
          <w:sz w:val="24"/>
          <w:szCs w:val="24"/>
          <w:lang w:val="ro-RO"/>
        </w:rPr>
      </w:pPr>
    </w:p>
    <w:p w:rsidR="00F6748C" w:rsidRPr="004A7025" w:rsidRDefault="00F6748C" w:rsidP="00116DB4">
      <w:pPr>
        <w:spacing w:after="0" w:line="240" w:lineRule="auto"/>
        <w:jc w:val="both"/>
        <w:rPr>
          <w:sz w:val="24"/>
          <w:szCs w:val="24"/>
          <w:lang w:val="ro-RO"/>
        </w:rPr>
      </w:pPr>
    </w:p>
    <w:sectPr w:rsidR="00F6748C" w:rsidRPr="004A7025" w:rsidSect="000B457E">
      <w:headerReference w:type="default" r:id="rId8"/>
      <w:footerReference w:type="even" r:id="rId9"/>
      <w:footerReference w:type="default" r:id="rId10"/>
      <w:pgSz w:w="12240" w:h="15840" w:code="1"/>
      <w:pgMar w:top="658" w:right="1325" w:bottom="450" w:left="1260" w:header="357" w:footer="2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010" w:rsidRDefault="00330010" w:rsidP="00043A65">
      <w:pPr>
        <w:spacing w:after="0" w:line="240" w:lineRule="auto"/>
      </w:pPr>
      <w:r>
        <w:separator/>
      </w:r>
    </w:p>
  </w:endnote>
  <w:endnote w:type="continuationSeparator" w:id="0">
    <w:p w:rsidR="00330010" w:rsidRDefault="00330010" w:rsidP="00043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59" w:rsidRDefault="004A0079" w:rsidP="00A25F47">
    <w:pPr>
      <w:tabs>
        <w:tab w:val="left" w:pos="4665"/>
      </w:tabs>
      <w:autoSpaceDE w:val="0"/>
      <w:autoSpaceDN w:val="0"/>
      <w:adjustRightInd w:val="0"/>
      <w:spacing w:before="139" w:after="0" w:line="240" w:lineRule="auto"/>
      <w:ind w:left="1560"/>
      <w:jc w:val="center"/>
      <w:rPr>
        <w:i/>
        <w:color w:val="000080"/>
        <w:sz w:val="20"/>
        <w:szCs w:val="18"/>
        <w:lang w:val="ro-RO" w:eastAsia="ro-RO"/>
      </w:rPr>
    </w:pPr>
    <w:r>
      <w:rPr>
        <w:noProof/>
      </w:rPr>
      <w:drawing>
        <wp:anchor distT="0" distB="0" distL="114300" distR="114300" simplePos="0" relativeHeight="251658240" behindDoc="0" locked="0" layoutInCell="1" allowOverlap="1">
          <wp:simplePos x="0" y="0"/>
          <wp:positionH relativeFrom="column">
            <wp:posOffset>-138430</wp:posOffset>
          </wp:positionH>
          <wp:positionV relativeFrom="paragraph">
            <wp:posOffset>155575</wp:posOffset>
          </wp:positionV>
          <wp:extent cx="7181850" cy="16192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181850" cy="161925"/>
                  </a:xfrm>
                  <a:prstGeom prst="rect">
                    <a:avLst/>
                  </a:prstGeom>
                  <a:noFill/>
                  <a:ln w="9525">
                    <a:noFill/>
                    <a:miter lim="800000"/>
                    <a:headEnd/>
                    <a:tailEnd/>
                  </a:ln>
                </pic:spPr>
              </pic:pic>
            </a:graphicData>
          </a:graphic>
        </wp:anchor>
      </w:drawing>
    </w:r>
  </w:p>
  <w:p w:rsidR="00FA1259" w:rsidRPr="00DE0F11" w:rsidRDefault="000728D5" w:rsidP="00DE0F11">
    <w:pPr>
      <w:autoSpaceDE w:val="0"/>
      <w:autoSpaceDN w:val="0"/>
      <w:adjustRightInd w:val="0"/>
      <w:spacing w:before="139" w:after="0" w:line="240" w:lineRule="auto"/>
      <w:jc w:val="center"/>
      <w:rPr>
        <w:i/>
        <w:color w:val="000080"/>
        <w:sz w:val="20"/>
        <w:szCs w:val="18"/>
        <w:lang w:val="ro-RO" w:eastAsia="ro-RO"/>
      </w:rPr>
    </w:pPr>
    <w:r>
      <w:rPr>
        <w:i/>
        <w:color w:val="000080"/>
        <w:sz w:val="20"/>
        <w:szCs w:val="18"/>
        <w:lang w:val="ro-RO" w:eastAsia="ro-RO"/>
      </w:rPr>
      <w:t xml:space="preserve">București, </w:t>
    </w:r>
    <w:r w:rsidR="00FA1259" w:rsidRPr="00DE0F11">
      <w:rPr>
        <w:i/>
        <w:color w:val="000080"/>
        <w:sz w:val="20"/>
        <w:szCs w:val="18"/>
        <w:lang w:val="ro-RO" w:eastAsia="ro-RO"/>
      </w:rPr>
      <w:t>Bd</w:t>
    </w:r>
    <w:r>
      <w:rPr>
        <w:i/>
        <w:color w:val="000080"/>
        <w:sz w:val="20"/>
        <w:szCs w:val="18"/>
        <w:lang w:val="ro-RO" w:eastAsia="ro-RO"/>
      </w:rPr>
      <w:t>.</w:t>
    </w:r>
    <w:r w:rsidR="00FA1259" w:rsidRPr="00DE0F11">
      <w:rPr>
        <w:i/>
        <w:color w:val="000080"/>
        <w:sz w:val="20"/>
        <w:szCs w:val="18"/>
        <w:lang w:val="ro-RO" w:eastAsia="ro-RO"/>
      </w:rPr>
      <w:t xml:space="preserve"> Ion Mihalache 15-17, sector 1,</w:t>
    </w:r>
    <w:r>
      <w:rPr>
        <w:i/>
        <w:color w:val="000080"/>
        <w:sz w:val="20"/>
        <w:szCs w:val="18"/>
        <w:lang w:val="ro-RO" w:eastAsia="ro-RO"/>
      </w:rPr>
      <w:t xml:space="preserve"> </w:t>
    </w:r>
    <w:r w:rsidR="00FA1259" w:rsidRPr="00DE0F11">
      <w:rPr>
        <w:i/>
        <w:color w:val="000080"/>
        <w:sz w:val="20"/>
        <w:szCs w:val="18"/>
        <w:lang w:val="ro-RO" w:eastAsia="ro-RO"/>
      </w:rPr>
      <w:t>cod poștal  011171, București, România, tel. 037 283 85 10,  fax. 037 283 85 02</w:t>
    </w:r>
  </w:p>
  <w:p w:rsidR="00FA1259" w:rsidRPr="009C3678" w:rsidRDefault="00FA1259" w:rsidP="00B01A14">
    <w:pPr>
      <w:autoSpaceDE w:val="0"/>
      <w:autoSpaceDN w:val="0"/>
      <w:adjustRightInd w:val="0"/>
      <w:spacing w:before="139" w:after="0" w:line="240" w:lineRule="auto"/>
      <w:jc w:val="center"/>
      <w:rPr>
        <w:i/>
        <w:color w:val="000080"/>
        <w:sz w:val="20"/>
        <w:szCs w:val="18"/>
        <w:lang w:val="ro-RO" w:eastAsia="ro-R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59" w:rsidRDefault="004A0079" w:rsidP="00930D31">
    <w:pPr>
      <w:tabs>
        <w:tab w:val="left" w:pos="4665"/>
      </w:tabs>
      <w:autoSpaceDE w:val="0"/>
      <w:autoSpaceDN w:val="0"/>
      <w:adjustRightInd w:val="0"/>
      <w:spacing w:before="139" w:after="0" w:line="240" w:lineRule="auto"/>
      <w:ind w:left="1560"/>
      <w:jc w:val="center"/>
      <w:rPr>
        <w:i/>
        <w:color w:val="000080"/>
        <w:sz w:val="20"/>
        <w:szCs w:val="18"/>
        <w:lang w:val="ro-RO" w:eastAsia="ro-RO"/>
      </w:rPr>
    </w:pPr>
    <w:r>
      <w:rPr>
        <w:noProof/>
      </w:rPr>
      <w:drawing>
        <wp:anchor distT="0" distB="0" distL="114300" distR="114300" simplePos="0" relativeHeight="251657216" behindDoc="0" locked="0" layoutInCell="1" allowOverlap="1">
          <wp:simplePos x="0" y="0"/>
          <wp:positionH relativeFrom="column">
            <wp:posOffset>-652780</wp:posOffset>
          </wp:positionH>
          <wp:positionV relativeFrom="paragraph">
            <wp:posOffset>155575</wp:posOffset>
          </wp:positionV>
          <wp:extent cx="7181850" cy="161925"/>
          <wp:effectExtent l="19050" t="0" r="0" b="0"/>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7181850" cy="161925"/>
                  </a:xfrm>
                  <a:prstGeom prst="rect">
                    <a:avLst/>
                  </a:prstGeom>
                  <a:noFill/>
                  <a:ln w="9525">
                    <a:noFill/>
                    <a:miter lim="800000"/>
                    <a:headEnd/>
                    <a:tailEnd/>
                  </a:ln>
                </pic:spPr>
              </pic:pic>
            </a:graphicData>
          </a:graphic>
        </wp:anchor>
      </w:drawing>
    </w:r>
  </w:p>
  <w:p w:rsidR="00FA1259" w:rsidRPr="00CC4B30" w:rsidRDefault="009518A0" w:rsidP="00CC4B30">
    <w:pPr>
      <w:autoSpaceDE w:val="0"/>
      <w:autoSpaceDN w:val="0"/>
      <w:adjustRightInd w:val="0"/>
      <w:spacing w:before="139" w:after="0" w:line="240" w:lineRule="auto"/>
      <w:jc w:val="center"/>
      <w:rPr>
        <w:i/>
        <w:color w:val="000080"/>
        <w:sz w:val="20"/>
        <w:szCs w:val="18"/>
        <w:lang w:val="ro-RO" w:eastAsia="ro-RO"/>
      </w:rPr>
    </w:pPr>
    <w:r w:rsidRPr="009518A0">
      <w:rPr>
        <w:i/>
        <w:color w:val="000080"/>
        <w:sz w:val="20"/>
        <w:szCs w:val="18"/>
        <w:lang w:val="ro-RO" w:eastAsia="ro-RO"/>
      </w:rPr>
      <w:t>Bd Ion Mihalache 15-17, sector 1,cod poștal  011171, București, România, tel. 037 283 85 10,  fax. 037 283 85 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010" w:rsidRDefault="00330010" w:rsidP="00043A65">
      <w:pPr>
        <w:spacing w:after="0" w:line="240" w:lineRule="auto"/>
      </w:pPr>
      <w:r>
        <w:separator/>
      </w:r>
    </w:p>
  </w:footnote>
  <w:footnote w:type="continuationSeparator" w:id="0">
    <w:p w:rsidR="00330010" w:rsidRDefault="00330010" w:rsidP="00043A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59" w:rsidRPr="00043A65" w:rsidRDefault="004A0079" w:rsidP="008C6493">
    <w:pPr>
      <w:spacing w:after="0" w:line="240" w:lineRule="auto"/>
      <w:rPr>
        <w:b/>
        <w:bCs/>
        <w:color w:val="000080"/>
        <w:sz w:val="32"/>
        <w:szCs w:val="28"/>
        <w:lang w:val="ro-RO" w:eastAsia="ro-RO"/>
      </w:rPr>
    </w:pPr>
    <w:r>
      <w:rPr>
        <w:rFonts w:cs="Arial"/>
        <w:b/>
        <w:noProof/>
        <w:color w:val="000000"/>
        <w:sz w:val="28"/>
        <w:szCs w:val="28"/>
      </w:rPr>
      <w:drawing>
        <wp:inline distT="0" distB="0" distL="0" distR="0">
          <wp:extent cx="1323975" cy="1238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23975" cy="1238250"/>
                  </a:xfrm>
                  <a:prstGeom prst="rect">
                    <a:avLst/>
                  </a:prstGeom>
                  <a:noFill/>
                  <a:ln w="9525">
                    <a:noFill/>
                    <a:miter lim="800000"/>
                    <a:headEnd/>
                    <a:tailEnd/>
                  </a:ln>
                </pic:spPr>
              </pic:pic>
            </a:graphicData>
          </a:graphic>
        </wp:inline>
      </w:drawing>
    </w:r>
    <w:r w:rsidR="008C6493">
      <w:rPr>
        <w:b/>
        <w:bCs/>
        <w:color w:val="000080"/>
        <w:sz w:val="32"/>
        <w:szCs w:val="28"/>
        <w:lang w:val="ro-RO" w:eastAsia="ro-RO"/>
      </w:rPr>
      <w:t xml:space="preserve">                    </w:t>
    </w:r>
    <w:r>
      <w:rPr>
        <w:b/>
        <w:bCs/>
        <w:noProof/>
        <w:color w:val="000080"/>
        <w:sz w:val="32"/>
        <w:szCs w:val="28"/>
      </w:rPr>
      <w:drawing>
        <wp:inline distT="0" distB="0" distL="0" distR="0">
          <wp:extent cx="1143000" cy="1038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43000" cy="1038225"/>
                  </a:xfrm>
                  <a:prstGeom prst="rect">
                    <a:avLst/>
                  </a:prstGeom>
                  <a:noFill/>
                  <a:ln w="9525">
                    <a:noFill/>
                    <a:miter lim="800000"/>
                    <a:headEnd/>
                    <a:tailEnd/>
                  </a:ln>
                </pic:spPr>
              </pic:pic>
            </a:graphicData>
          </a:graphic>
        </wp:inline>
      </w:drawing>
    </w:r>
    <w:r w:rsidR="008C6493">
      <w:rPr>
        <w:b/>
        <w:bCs/>
        <w:color w:val="000080"/>
        <w:sz w:val="32"/>
        <w:szCs w:val="28"/>
        <w:lang w:val="ro-RO" w:eastAsia="ro-RO"/>
      </w:rPr>
      <w:t xml:space="preserve">                  </w:t>
    </w:r>
    <w:r>
      <w:rPr>
        <w:b/>
        <w:bCs/>
        <w:noProof/>
        <w:color w:val="000080"/>
        <w:sz w:val="32"/>
        <w:szCs w:val="28"/>
      </w:rPr>
      <w:drawing>
        <wp:inline distT="0" distB="0" distL="0" distR="0">
          <wp:extent cx="1295400" cy="11525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295400" cy="1152525"/>
                  </a:xfrm>
                  <a:prstGeom prst="rect">
                    <a:avLst/>
                  </a:prstGeom>
                  <a:noFill/>
                  <a:ln w="9525">
                    <a:noFill/>
                    <a:miter lim="800000"/>
                    <a:headEnd/>
                    <a:tailEnd/>
                  </a:ln>
                </pic:spPr>
              </pic:pic>
            </a:graphicData>
          </a:graphic>
        </wp:inline>
      </w:drawing>
    </w:r>
  </w:p>
  <w:p w:rsidR="00FA1259" w:rsidRDefault="00FA12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0CF0"/>
    <w:multiLevelType w:val="multilevel"/>
    <w:tmpl w:val="F662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724EB"/>
    <w:multiLevelType w:val="hybridMultilevel"/>
    <w:tmpl w:val="E79CD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4E766A"/>
    <w:multiLevelType w:val="multilevel"/>
    <w:tmpl w:val="429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66057"/>
    <w:multiLevelType w:val="hybridMultilevel"/>
    <w:tmpl w:val="8A3C8506"/>
    <w:lvl w:ilvl="0" w:tplc="FFFFFFFF">
      <w:start w:val="1"/>
      <w:numFmt w:val="lowerLetter"/>
      <w:lvlText w:val="%1."/>
      <w:lvlJc w:val="left"/>
      <w:pPr>
        <w:tabs>
          <w:tab w:val="num" w:pos="720"/>
        </w:tabs>
        <w:ind w:left="720" w:hanging="360"/>
      </w:pPr>
    </w:lvl>
    <w:lvl w:ilvl="1" w:tplc="04180019" w:tentative="1">
      <w:start w:val="1"/>
      <w:numFmt w:val="lowerLetter"/>
      <w:lvlText w:val="%2."/>
      <w:lvlJc w:val="left"/>
      <w:pPr>
        <w:tabs>
          <w:tab w:val="num" w:pos="3960"/>
        </w:tabs>
        <w:ind w:left="3960" w:hanging="360"/>
      </w:pPr>
    </w:lvl>
    <w:lvl w:ilvl="2" w:tplc="0418001B" w:tentative="1">
      <w:start w:val="1"/>
      <w:numFmt w:val="lowerRoman"/>
      <w:lvlText w:val="%3."/>
      <w:lvlJc w:val="right"/>
      <w:pPr>
        <w:tabs>
          <w:tab w:val="num" w:pos="4680"/>
        </w:tabs>
        <w:ind w:left="4680" w:hanging="180"/>
      </w:pPr>
    </w:lvl>
    <w:lvl w:ilvl="3" w:tplc="0418000F" w:tentative="1">
      <w:start w:val="1"/>
      <w:numFmt w:val="decimal"/>
      <w:lvlText w:val="%4."/>
      <w:lvlJc w:val="left"/>
      <w:pPr>
        <w:tabs>
          <w:tab w:val="num" w:pos="5400"/>
        </w:tabs>
        <w:ind w:left="5400" w:hanging="360"/>
      </w:pPr>
    </w:lvl>
    <w:lvl w:ilvl="4" w:tplc="04180019" w:tentative="1">
      <w:start w:val="1"/>
      <w:numFmt w:val="lowerLetter"/>
      <w:lvlText w:val="%5."/>
      <w:lvlJc w:val="left"/>
      <w:pPr>
        <w:tabs>
          <w:tab w:val="num" w:pos="6120"/>
        </w:tabs>
        <w:ind w:left="6120" w:hanging="360"/>
      </w:pPr>
    </w:lvl>
    <w:lvl w:ilvl="5" w:tplc="0418001B" w:tentative="1">
      <w:start w:val="1"/>
      <w:numFmt w:val="lowerRoman"/>
      <w:lvlText w:val="%6."/>
      <w:lvlJc w:val="right"/>
      <w:pPr>
        <w:tabs>
          <w:tab w:val="num" w:pos="6840"/>
        </w:tabs>
        <w:ind w:left="6840" w:hanging="180"/>
      </w:pPr>
    </w:lvl>
    <w:lvl w:ilvl="6" w:tplc="0418000F" w:tentative="1">
      <w:start w:val="1"/>
      <w:numFmt w:val="decimal"/>
      <w:lvlText w:val="%7."/>
      <w:lvlJc w:val="left"/>
      <w:pPr>
        <w:tabs>
          <w:tab w:val="num" w:pos="7560"/>
        </w:tabs>
        <w:ind w:left="7560" w:hanging="360"/>
      </w:pPr>
    </w:lvl>
    <w:lvl w:ilvl="7" w:tplc="04180019" w:tentative="1">
      <w:start w:val="1"/>
      <w:numFmt w:val="lowerLetter"/>
      <w:lvlText w:val="%8."/>
      <w:lvlJc w:val="left"/>
      <w:pPr>
        <w:tabs>
          <w:tab w:val="num" w:pos="8280"/>
        </w:tabs>
        <w:ind w:left="8280" w:hanging="360"/>
      </w:pPr>
    </w:lvl>
    <w:lvl w:ilvl="8" w:tplc="0418001B" w:tentative="1">
      <w:start w:val="1"/>
      <w:numFmt w:val="lowerRoman"/>
      <w:lvlText w:val="%9."/>
      <w:lvlJc w:val="right"/>
      <w:pPr>
        <w:tabs>
          <w:tab w:val="num" w:pos="9000"/>
        </w:tabs>
        <w:ind w:left="9000" w:hanging="180"/>
      </w:pPr>
    </w:lvl>
  </w:abstractNum>
  <w:abstractNum w:abstractNumId="4">
    <w:nsid w:val="175373DF"/>
    <w:multiLevelType w:val="hybridMultilevel"/>
    <w:tmpl w:val="EBA250A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17C64E0D"/>
    <w:multiLevelType w:val="hybridMultilevel"/>
    <w:tmpl w:val="3D52CE32"/>
    <w:lvl w:ilvl="0" w:tplc="7F08FCA0">
      <w:start w:val="1"/>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4256A"/>
    <w:multiLevelType w:val="hybridMultilevel"/>
    <w:tmpl w:val="E27EA4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11258A"/>
    <w:multiLevelType w:val="multilevel"/>
    <w:tmpl w:val="B0AC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A1CDF"/>
    <w:multiLevelType w:val="multilevel"/>
    <w:tmpl w:val="BBFA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F4126"/>
    <w:multiLevelType w:val="multilevel"/>
    <w:tmpl w:val="21E8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213DA8"/>
    <w:multiLevelType w:val="hybridMultilevel"/>
    <w:tmpl w:val="FC7E30FE"/>
    <w:lvl w:ilvl="0" w:tplc="6BD2B0E0">
      <w:start w:val="1"/>
      <w:numFmt w:val="decimal"/>
      <w:lvlText w:val="%1."/>
      <w:lvlJc w:val="left"/>
      <w:pPr>
        <w:ind w:left="360" w:hanging="360"/>
      </w:pPr>
      <w:rPr>
        <w:rFonts w:eastAsia="Times New Roman"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E703C3"/>
    <w:multiLevelType w:val="hybridMultilevel"/>
    <w:tmpl w:val="0E3C8DCA"/>
    <w:lvl w:ilvl="0" w:tplc="7F24191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3A551A88"/>
    <w:multiLevelType w:val="hybridMultilevel"/>
    <w:tmpl w:val="B1C20546"/>
    <w:lvl w:ilvl="0" w:tplc="9B14F1B8">
      <w:start w:val="1"/>
      <w:numFmt w:val="decimal"/>
      <w:lvlText w:val="%1."/>
      <w:lvlJc w:val="left"/>
      <w:pPr>
        <w:ind w:left="1140" w:hanging="360"/>
      </w:pPr>
      <w:rPr>
        <w:rFonts w:cs="Times New Roman" w:hint="default"/>
        <w:b/>
      </w:rPr>
    </w:lvl>
    <w:lvl w:ilvl="1" w:tplc="04180019">
      <w:start w:val="1"/>
      <w:numFmt w:val="lowerLetter"/>
      <w:lvlText w:val="%2."/>
      <w:lvlJc w:val="left"/>
      <w:pPr>
        <w:ind w:left="1860" w:hanging="360"/>
      </w:pPr>
      <w:rPr>
        <w:rFonts w:cs="Times New Roman"/>
      </w:rPr>
    </w:lvl>
    <w:lvl w:ilvl="2" w:tplc="0418001B" w:tentative="1">
      <w:start w:val="1"/>
      <w:numFmt w:val="lowerRoman"/>
      <w:lvlText w:val="%3."/>
      <w:lvlJc w:val="right"/>
      <w:pPr>
        <w:ind w:left="2580" w:hanging="180"/>
      </w:pPr>
      <w:rPr>
        <w:rFonts w:cs="Times New Roman"/>
      </w:rPr>
    </w:lvl>
    <w:lvl w:ilvl="3" w:tplc="0418000F" w:tentative="1">
      <w:start w:val="1"/>
      <w:numFmt w:val="decimal"/>
      <w:lvlText w:val="%4."/>
      <w:lvlJc w:val="left"/>
      <w:pPr>
        <w:ind w:left="3300" w:hanging="360"/>
      </w:pPr>
      <w:rPr>
        <w:rFonts w:cs="Times New Roman"/>
      </w:rPr>
    </w:lvl>
    <w:lvl w:ilvl="4" w:tplc="04180019" w:tentative="1">
      <w:start w:val="1"/>
      <w:numFmt w:val="lowerLetter"/>
      <w:lvlText w:val="%5."/>
      <w:lvlJc w:val="left"/>
      <w:pPr>
        <w:ind w:left="4020" w:hanging="360"/>
      </w:pPr>
      <w:rPr>
        <w:rFonts w:cs="Times New Roman"/>
      </w:rPr>
    </w:lvl>
    <w:lvl w:ilvl="5" w:tplc="0418001B" w:tentative="1">
      <w:start w:val="1"/>
      <w:numFmt w:val="lowerRoman"/>
      <w:lvlText w:val="%6."/>
      <w:lvlJc w:val="right"/>
      <w:pPr>
        <w:ind w:left="4740" w:hanging="180"/>
      </w:pPr>
      <w:rPr>
        <w:rFonts w:cs="Times New Roman"/>
      </w:rPr>
    </w:lvl>
    <w:lvl w:ilvl="6" w:tplc="0418000F" w:tentative="1">
      <w:start w:val="1"/>
      <w:numFmt w:val="decimal"/>
      <w:lvlText w:val="%7."/>
      <w:lvlJc w:val="left"/>
      <w:pPr>
        <w:ind w:left="5460" w:hanging="360"/>
      </w:pPr>
      <w:rPr>
        <w:rFonts w:cs="Times New Roman"/>
      </w:rPr>
    </w:lvl>
    <w:lvl w:ilvl="7" w:tplc="04180019" w:tentative="1">
      <w:start w:val="1"/>
      <w:numFmt w:val="lowerLetter"/>
      <w:lvlText w:val="%8."/>
      <w:lvlJc w:val="left"/>
      <w:pPr>
        <w:ind w:left="6180" w:hanging="360"/>
      </w:pPr>
      <w:rPr>
        <w:rFonts w:cs="Times New Roman"/>
      </w:rPr>
    </w:lvl>
    <w:lvl w:ilvl="8" w:tplc="0418001B" w:tentative="1">
      <w:start w:val="1"/>
      <w:numFmt w:val="lowerRoman"/>
      <w:lvlText w:val="%9."/>
      <w:lvlJc w:val="right"/>
      <w:pPr>
        <w:ind w:left="6900" w:hanging="180"/>
      </w:pPr>
      <w:rPr>
        <w:rFonts w:cs="Times New Roman"/>
      </w:rPr>
    </w:lvl>
  </w:abstractNum>
  <w:abstractNum w:abstractNumId="13">
    <w:nsid w:val="3FB6729B"/>
    <w:multiLevelType w:val="multilevel"/>
    <w:tmpl w:val="D16A5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E375FF"/>
    <w:multiLevelType w:val="multilevel"/>
    <w:tmpl w:val="1D524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AC127F"/>
    <w:multiLevelType w:val="multilevel"/>
    <w:tmpl w:val="665A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76722"/>
    <w:multiLevelType w:val="hybridMultilevel"/>
    <w:tmpl w:val="CB061BDC"/>
    <w:lvl w:ilvl="0" w:tplc="5C6067C8">
      <w:start w:val="1"/>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E3621"/>
    <w:multiLevelType w:val="hybridMultilevel"/>
    <w:tmpl w:val="6DF497E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67007"/>
    <w:multiLevelType w:val="multilevel"/>
    <w:tmpl w:val="1042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421270"/>
    <w:multiLevelType w:val="hybridMultilevel"/>
    <w:tmpl w:val="4404D552"/>
    <w:lvl w:ilvl="0" w:tplc="04090003">
      <w:start w:val="1"/>
      <w:numFmt w:val="bullet"/>
      <w:lvlText w:val="o"/>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5B7A265F"/>
    <w:multiLevelType w:val="hybridMultilevel"/>
    <w:tmpl w:val="4A72811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E634DC"/>
    <w:multiLevelType w:val="multilevel"/>
    <w:tmpl w:val="16400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EB6861"/>
    <w:multiLevelType w:val="multilevel"/>
    <w:tmpl w:val="5FC2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A75F7"/>
    <w:multiLevelType w:val="hybridMultilevel"/>
    <w:tmpl w:val="453C7D74"/>
    <w:lvl w:ilvl="0" w:tplc="65503E38">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34C8F"/>
    <w:multiLevelType w:val="hybridMultilevel"/>
    <w:tmpl w:val="54B89D40"/>
    <w:lvl w:ilvl="0" w:tplc="3022024C">
      <w:start w:val="19"/>
      <w:numFmt w:val="bullet"/>
      <w:lvlText w:val="-"/>
      <w:lvlJc w:val="left"/>
      <w:pPr>
        <w:tabs>
          <w:tab w:val="num" w:pos="1800"/>
        </w:tabs>
        <w:ind w:left="1800" w:hanging="108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AAD343E"/>
    <w:multiLevelType w:val="hybridMultilevel"/>
    <w:tmpl w:val="F8CC56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BD26ED"/>
    <w:multiLevelType w:val="multilevel"/>
    <w:tmpl w:val="03A2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166FFB"/>
    <w:multiLevelType w:val="multilevel"/>
    <w:tmpl w:val="7724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9E68AD"/>
    <w:multiLevelType w:val="hybridMultilevel"/>
    <w:tmpl w:val="55DEB73A"/>
    <w:lvl w:ilvl="0" w:tplc="040E0001">
      <w:start w:val="1"/>
      <w:numFmt w:val="bullet"/>
      <w:lvlText w:val=""/>
      <w:lvlJc w:val="left"/>
      <w:pPr>
        <w:tabs>
          <w:tab w:val="num" w:pos="720"/>
        </w:tabs>
        <w:ind w:left="720" w:hanging="360"/>
      </w:pPr>
      <w:rPr>
        <w:rFonts w:ascii="Symbol" w:hAnsi="Symbol" w:hint="default"/>
      </w:rPr>
    </w:lvl>
    <w:lvl w:ilvl="1" w:tplc="3976AF04">
      <w:start w:val="1"/>
      <w:numFmt w:val="decimal"/>
      <w:lvlText w:val="%2."/>
      <w:lvlJc w:val="left"/>
      <w:pPr>
        <w:tabs>
          <w:tab w:val="num" w:pos="1440"/>
        </w:tabs>
        <w:ind w:left="1440" w:hanging="360"/>
      </w:pPr>
      <w:rPr>
        <w:rFonts w:hint="default"/>
      </w:rPr>
    </w:lvl>
    <w:lvl w:ilvl="2" w:tplc="E33C0754">
      <w:start w:val="1"/>
      <w:numFmt w:val="lowerRoman"/>
      <w:lvlText w:val="%3."/>
      <w:lvlJc w:val="right"/>
      <w:pPr>
        <w:tabs>
          <w:tab w:val="num" w:pos="2160"/>
        </w:tabs>
        <w:ind w:left="2160" w:hanging="180"/>
      </w:pPr>
    </w:lvl>
    <w:lvl w:ilvl="3" w:tplc="A41A0582">
      <w:start w:val="1"/>
      <w:numFmt w:val="upperLetter"/>
      <w:lvlText w:val="%4."/>
      <w:lvlJc w:val="left"/>
      <w:pPr>
        <w:ind w:left="2880" w:hanging="360"/>
      </w:pPr>
      <w:rPr>
        <w:rFonts w:hint="default"/>
      </w:rPr>
    </w:lvl>
    <w:lvl w:ilvl="4" w:tplc="EC1ED6FA">
      <w:start w:val="1"/>
      <w:numFmt w:val="lowerLetter"/>
      <w:lvlText w:val="%5."/>
      <w:lvlJc w:val="left"/>
      <w:pPr>
        <w:tabs>
          <w:tab w:val="num" w:pos="3600"/>
        </w:tabs>
        <w:ind w:left="3600" w:hanging="360"/>
      </w:pPr>
    </w:lvl>
    <w:lvl w:ilvl="5" w:tplc="C2B410D0">
      <w:start w:val="1"/>
      <w:numFmt w:val="lowerRoman"/>
      <w:lvlText w:val="%6."/>
      <w:lvlJc w:val="right"/>
      <w:pPr>
        <w:tabs>
          <w:tab w:val="num" w:pos="4320"/>
        </w:tabs>
        <w:ind w:left="4320" w:hanging="180"/>
      </w:pPr>
    </w:lvl>
    <w:lvl w:ilvl="6" w:tplc="7ECCE1CC" w:tentative="1">
      <w:start w:val="1"/>
      <w:numFmt w:val="decimal"/>
      <w:lvlText w:val="%7."/>
      <w:lvlJc w:val="left"/>
      <w:pPr>
        <w:tabs>
          <w:tab w:val="num" w:pos="5040"/>
        </w:tabs>
        <w:ind w:left="5040" w:hanging="360"/>
      </w:pPr>
    </w:lvl>
    <w:lvl w:ilvl="7" w:tplc="DA081072" w:tentative="1">
      <w:start w:val="1"/>
      <w:numFmt w:val="lowerLetter"/>
      <w:lvlText w:val="%8."/>
      <w:lvlJc w:val="left"/>
      <w:pPr>
        <w:tabs>
          <w:tab w:val="num" w:pos="5760"/>
        </w:tabs>
        <w:ind w:left="5760" w:hanging="360"/>
      </w:pPr>
    </w:lvl>
    <w:lvl w:ilvl="8" w:tplc="525ADA3A" w:tentative="1">
      <w:start w:val="1"/>
      <w:numFmt w:val="lowerRoman"/>
      <w:lvlText w:val="%9."/>
      <w:lvlJc w:val="right"/>
      <w:pPr>
        <w:tabs>
          <w:tab w:val="num" w:pos="6480"/>
        </w:tabs>
        <w:ind w:left="6480" w:hanging="180"/>
      </w:pPr>
    </w:lvl>
  </w:abstractNum>
  <w:num w:numId="1">
    <w:abstractNumId w:val="1"/>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1"/>
  </w:num>
  <w:num w:numId="5">
    <w:abstractNumId w:val="26"/>
  </w:num>
  <w:num w:numId="6">
    <w:abstractNumId w:val="22"/>
  </w:num>
  <w:num w:numId="7">
    <w:abstractNumId w:val="8"/>
  </w:num>
  <w:num w:numId="8">
    <w:abstractNumId w:val="18"/>
  </w:num>
  <w:num w:numId="9">
    <w:abstractNumId w:val="15"/>
  </w:num>
  <w:num w:numId="10">
    <w:abstractNumId w:val="0"/>
  </w:num>
  <w:num w:numId="11">
    <w:abstractNumId w:val="2"/>
  </w:num>
  <w:num w:numId="12">
    <w:abstractNumId w:val="9"/>
  </w:num>
  <w:num w:numId="13">
    <w:abstractNumId w:val="13"/>
  </w:num>
  <w:num w:numId="14">
    <w:abstractNumId w:val="14"/>
  </w:num>
  <w:num w:numId="15">
    <w:abstractNumId w:val="7"/>
  </w:num>
  <w:num w:numId="16">
    <w:abstractNumId w:val="6"/>
  </w:num>
  <w:num w:numId="17">
    <w:abstractNumId w:val="24"/>
  </w:num>
  <w:num w:numId="18">
    <w:abstractNumId w:val="12"/>
  </w:num>
  <w:num w:numId="19">
    <w:abstractNumId w:val="28"/>
  </w:num>
  <w:num w:numId="20">
    <w:abstractNumId w:val="4"/>
  </w:num>
  <w:num w:numId="21">
    <w:abstractNumId w:val="16"/>
  </w:num>
  <w:num w:numId="22">
    <w:abstractNumId w:val="5"/>
  </w:num>
  <w:num w:numId="23">
    <w:abstractNumId w:val="23"/>
  </w:num>
  <w:num w:numId="24">
    <w:abstractNumId w:val="11"/>
  </w:num>
  <w:num w:numId="25">
    <w:abstractNumId w:val="3"/>
  </w:num>
  <w:num w:numId="26">
    <w:abstractNumId w:val="20"/>
  </w:num>
  <w:num w:numId="27">
    <w:abstractNumId w:val="17"/>
  </w:num>
  <w:num w:numId="28">
    <w:abstractNumId w:val="10"/>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3074"/>
  </w:hdrShapeDefaults>
  <w:footnotePr>
    <w:footnote w:id="-1"/>
    <w:footnote w:id="0"/>
  </w:footnotePr>
  <w:endnotePr>
    <w:endnote w:id="-1"/>
    <w:endnote w:id="0"/>
  </w:endnotePr>
  <w:compat/>
  <w:rsids>
    <w:rsidRoot w:val="00A03D60"/>
    <w:rsid w:val="00000C11"/>
    <w:rsid w:val="0001217D"/>
    <w:rsid w:val="00012DA4"/>
    <w:rsid w:val="00021193"/>
    <w:rsid w:val="00043A65"/>
    <w:rsid w:val="00051B01"/>
    <w:rsid w:val="00053E94"/>
    <w:rsid w:val="00062BB3"/>
    <w:rsid w:val="0006314B"/>
    <w:rsid w:val="0006372F"/>
    <w:rsid w:val="0006519A"/>
    <w:rsid w:val="0006536B"/>
    <w:rsid w:val="00067A0D"/>
    <w:rsid w:val="000728D5"/>
    <w:rsid w:val="0007361A"/>
    <w:rsid w:val="0008024B"/>
    <w:rsid w:val="000A4E74"/>
    <w:rsid w:val="000A71E4"/>
    <w:rsid w:val="000B052B"/>
    <w:rsid w:val="000B457E"/>
    <w:rsid w:val="000B46C5"/>
    <w:rsid w:val="000C23CF"/>
    <w:rsid w:val="000D37FE"/>
    <w:rsid w:val="000E41C7"/>
    <w:rsid w:val="000E566B"/>
    <w:rsid w:val="00105241"/>
    <w:rsid w:val="00106CC1"/>
    <w:rsid w:val="00115573"/>
    <w:rsid w:val="00116DB4"/>
    <w:rsid w:val="001224BB"/>
    <w:rsid w:val="00122D69"/>
    <w:rsid w:val="001247A4"/>
    <w:rsid w:val="0013188D"/>
    <w:rsid w:val="00131AC4"/>
    <w:rsid w:val="00135593"/>
    <w:rsid w:val="001374CD"/>
    <w:rsid w:val="001437F1"/>
    <w:rsid w:val="00146432"/>
    <w:rsid w:val="001510EA"/>
    <w:rsid w:val="001609D8"/>
    <w:rsid w:val="00163E81"/>
    <w:rsid w:val="00171214"/>
    <w:rsid w:val="001728C0"/>
    <w:rsid w:val="0017772B"/>
    <w:rsid w:val="001A4806"/>
    <w:rsid w:val="001B6252"/>
    <w:rsid w:val="001B722C"/>
    <w:rsid w:val="001C09DB"/>
    <w:rsid w:val="001C102D"/>
    <w:rsid w:val="001C3282"/>
    <w:rsid w:val="001C38EE"/>
    <w:rsid w:val="001C5174"/>
    <w:rsid w:val="001D6304"/>
    <w:rsid w:val="001D7109"/>
    <w:rsid w:val="001F2F25"/>
    <w:rsid w:val="001F5F26"/>
    <w:rsid w:val="001F7E17"/>
    <w:rsid w:val="001F7EC8"/>
    <w:rsid w:val="00202D5A"/>
    <w:rsid w:val="0020513B"/>
    <w:rsid w:val="00205921"/>
    <w:rsid w:val="00207303"/>
    <w:rsid w:val="00214944"/>
    <w:rsid w:val="0022411D"/>
    <w:rsid w:val="00227614"/>
    <w:rsid w:val="0023241A"/>
    <w:rsid w:val="00241BB8"/>
    <w:rsid w:val="00241D13"/>
    <w:rsid w:val="00241F93"/>
    <w:rsid w:val="0024218D"/>
    <w:rsid w:val="00246BFF"/>
    <w:rsid w:val="0025087E"/>
    <w:rsid w:val="00260A77"/>
    <w:rsid w:val="00275FC4"/>
    <w:rsid w:val="00280E8F"/>
    <w:rsid w:val="00282B1D"/>
    <w:rsid w:val="00283CB0"/>
    <w:rsid w:val="00284EF3"/>
    <w:rsid w:val="00285893"/>
    <w:rsid w:val="00286724"/>
    <w:rsid w:val="00287F69"/>
    <w:rsid w:val="0029581C"/>
    <w:rsid w:val="002A25ED"/>
    <w:rsid w:val="002B4592"/>
    <w:rsid w:val="002C0F9C"/>
    <w:rsid w:val="002C363C"/>
    <w:rsid w:val="002D7C8C"/>
    <w:rsid w:val="002F57DC"/>
    <w:rsid w:val="003022BC"/>
    <w:rsid w:val="0031624C"/>
    <w:rsid w:val="00324ADD"/>
    <w:rsid w:val="00330010"/>
    <w:rsid w:val="00333E43"/>
    <w:rsid w:val="003345E7"/>
    <w:rsid w:val="0035186D"/>
    <w:rsid w:val="00352100"/>
    <w:rsid w:val="003610BB"/>
    <w:rsid w:val="0036727E"/>
    <w:rsid w:val="0039442D"/>
    <w:rsid w:val="00394977"/>
    <w:rsid w:val="0039736C"/>
    <w:rsid w:val="003B0B44"/>
    <w:rsid w:val="003B209C"/>
    <w:rsid w:val="003C3DDC"/>
    <w:rsid w:val="003C4CD1"/>
    <w:rsid w:val="003D0789"/>
    <w:rsid w:val="003D10E0"/>
    <w:rsid w:val="003D2E27"/>
    <w:rsid w:val="003F3083"/>
    <w:rsid w:val="00402E1C"/>
    <w:rsid w:val="00413A3A"/>
    <w:rsid w:val="00422621"/>
    <w:rsid w:val="00424ADA"/>
    <w:rsid w:val="004265A7"/>
    <w:rsid w:val="004277ED"/>
    <w:rsid w:val="00431AA8"/>
    <w:rsid w:val="004348F3"/>
    <w:rsid w:val="004411F6"/>
    <w:rsid w:val="0044594A"/>
    <w:rsid w:val="004463B2"/>
    <w:rsid w:val="00446EE2"/>
    <w:rsid w:val="004562E8"/>
    <w:rsid w:val="00463911"/>
    <w:rsid w:val="00466A39"/>
    <w:rsid w:val="00467F14"/>
    <w:rsid w:val="00470506"/>
    <w:rsid w:val="00482C11"/>
    <w:rsid w:val="00484AE8"/>
    <w:rsid w:val="004856A6"/>
    <w:rsid w:val="00487278"/>
    <w:rsid w:val="00487B63"/>
    <w:rsid w:val="00490C64"/>
    <w:rsid w:val="004955D5"/>
    <w:rsid w:val="004A0079"/>
    <w:rsid w:val="004A13B9"/>
    <w:rsid w:val="004A7025"/>
    <w:rsid w:val="004A710F"/>
    <w:rsid w:val="004B37F1"/>
    <w:rsid w:val="004B4F8E"/>
    <w:rsid w:val="004B75E4"/>
    <w:rsid w:val="004B7CA8"/>
    <w:rsid w:val="004C00D9"/>
    <w:rsid w:val="004C1822"/>
    <w:rsid w:val="004D5D36"/>
    <w:rsid w:val="004E3101"/>
    <w:rsid w:val="004F0D13"/>
    <w:rsid w:val="004F11B2"/>
    <w:rsid w:val="004F286C"/>
    <w:rsid w:val="004F46C9"/>
    <w:rsid w:val="004F52CC"/>
    <w:rsid w:val="00515AE4"/>
    <w:rsid w:val="0052608F"/>
    <w:rsid w:val="00526DF5"/>
    <w:rsid w:val="00537D98"/>
    <w:rsid w:val="00542BEE"/>
    <w:rsid w:val="00544992"/>
    <w:rsid w:val="00552C3A"/>
    <w:rsid w:val="00552E12"/>
    <w:rsid w:val="005671E7"/>
    <w:rsid w:val="00572CDE"/>
    <w:rsid w:val="00573D87"/>
    <w:rsid w:val="005748E3"/>
    <w:rsid w:val="00584EAC"/>
    <w:rsid w:val="00590E64"/>
    <w:rsid w:val="00593748"/>
    <w:rsid w:val="005A4052"/>
    <w:rsid w:val="005A4141"/>
    <w:rsid w:val="005A7493"/>
    <w:rsid w:val="005B0E87"/>
    <w:rsid w:val="005D2560"/>
    <w:rsid w:val="005E0056"/>
    <w:rsid w:val="005E33FC"/>
    <w:rsid w:val="00606D7C"/>
    <w:rsid w:val="00612B31"/>
    <w:rsid w:val="00614F78"/>
    <w:rsid w:val="006154EC"/>
    <w:rsid w:val="0062015F"/>
    <w:rsid w:val="0062303B"/>
    <w:rsid w:val="006265F5"/>
    <w:rsid w:val="00640E33"/>
    <w:rsid w:val="00657FA1"/>
    <w:rsid w:val="00660889"/>
    <w:rsid w:val="006624D1"/>
    <w:rsid w:val="006740C8"/>
    <w:rsid w:val="0067416A"/>
    <w:rsid w:val="006A0A85"/>
    <w:rsid w:val="006A2E17"/>
    <w:rsid w:val="006D1A38"/>
    <w:rsid w:val="006D5100"/>
    <w:rsid w:val="006D532D"/>
    <w:rsid w:val="006D6DA4"/>
    <w:rsid w:val="006E074D"/>
    <w:rsid w:val="006E12AF"/>
    <w:rsid w:val="006E6A47"/>
    <w:rsid w:val="006F2056"/>
    <w:rsid w:val="006F5506"/>
    <w:rsid w:val="006F6BCD"/>
    <w:rsid w:val="00701A5B"/>
    <w:rsid w:val="007040CB"/>
    <w:rsid w:val="00710ECF"/>
    <w:rsid w:val="00713EBB"/>
    <w:rsid w:val="007305D8"/>
    <w:rsid w:val="00732156"/>
    <w:rsid w:val="00735714"/>
    <w:rsid w:val="0075011E"/>
    <w:rsid w:val="00750911"/>
    <w:rsid w:val="00750CC4"/>
    <w:rsid w:val="00753D17"/>
    <w:rsid w:val="00754568"/>
    <w:rsid w:val="007644D2"/>
    <w:rsid w:val="00772F92"/>
    <w:rsid w:val="007730A1"/>
    <w:rsid w:val="007806D8"/>
    <w:rsid w:val="00785F05"/>
    <w:rsid w:val="0079131F"/>
    <w:rsid w:val="0079635A"/>
    <w:rsid w:val="007963E9"/>
    <w:rsid w:val="007A2180"/>
    <w:rsid w:val="007B2C38"/>
    <w:rsid w:val="007B7984"/>
    <w:rsid w:val="007C1EB6"/>
    <w:rsid w:val="007C49BB"/>
    <w:rsid w:val="007C6272"/>
    <w:rsid w:val="007C6D8B"/>
    <w:rsid w:val="007E114F"/>
    <w:rsid w:val="007E7EF6"/>
    <w:rsid w:val="007F29DD"/>
    <w:rsid w:val="007F6987"/>
    <w:rsid w:val="008109F4"/>
    <w:rsid w:val="00810CBF"/>
    <w:rsid w:val="008113E5"/>
    <w:rsid w:val="008148ED"/>
    <w:rsid w:val="00821A2B"/>
    <w:rsid w:val="008320D6"/>
    <w:rsid w:val="008330A0"/>
    <w:rsid w:val="00835361"/>
    <w:rsid w:val="00843857"/>
    <w:rsid w:val="00844656"/>
    <w:rsid w:val="00846E19"/>
    <w:rsid w:val="00852193"/>
    <w:rsid w:val="0085320C"/>
    <w:rsid w:val="00865E6B"/>
    <w:rsid w:val="00877A60"/>
    <w:rsid w:val="00882AA3"/>
    <w:rsid w:val="00883485"/>
    <w:rsid w:val="008B1723"/>
    <w:rsid w:val="008B1E3F"/>
    <w:rsid w:val="008B5B86"/>
    <w:rsid w:val="008B78BF"/>
    <w:rsid w:val="008C6493"/>
    <w:rsid w:val="008C6531"/>
    <w:rsid w:val="008E4B5D"/>
    <w:rsid w:val="00904145"/>
    <w:rsid w:val="009155CE"/>
    <w:rsid w:val="00917797"/>
    <w:rsid w:val="0092262A"/>
    <w:rsid w:val="00922EFC"/>
    <w:rsid w:val="00926B3A"/>
    <w:rsid w:val="00930D31"/>
    <w:rsid w:val="00936898"/>
    <w:rsid w:val="0094047B"/>
    <w:rsid w:val="009422AB"/>
    <w:rsid w:val="00946741"/>
    <w:rsid w:val="009518A0"/>
    <w:rsid w:val="00973E81"/>
    <w:rsid w:val="009915F3"/>
    <w:rsid w:val="00994440"/>
    <w:rsid w:val="00997364"/>
    <w:rsid w:val="009A21EC"/>
    <w:rsid w:val="009A56FA"/>
    <w:rsid w:val="009A66AB"/>
    <w:rsid w:val="009B200E"/>
    <w:rsid w:val="009B3C73"/>
    <w:rsid w:val="009C0FF3"/>
    <w:rsid w:val="009C3678"/>
    <w:rsid w:val="009D4937"/>
    <w:rsid w:val="009E0B2D"/>
    <w:rsid w:val="009E367F"/>
    <w:rsid w:val="009F580A"/>
    <w:rsid w:val="009F7C23"/>
    <w:rsid w:val="00A0048F"/>
    <w:rsid w:val="00A00618"/>
    <w:rsid w:val="00A00F73"/>
    <w:rsid w:val="00A0171D"/>
    <w:rsid w:val="00A03D60"/>
    <w:rsid w:val="00A23ABD"/>
    <w:rsid w:val="00A25F47"/>
    <w:rsid w:val="00A27A8D"/>
    <w:rsid w:val="00A319B2"/>
    <w:rsid w:val="00A31F4C"/>
    <w:rsid w:val="00A372A7"/>
    <w:rsid w:val="00A57AEA"/>
    <w:rsid w:val="00A660C7"/>
    <w:rsid w:val="00A703C2"/>
    <w:rsid w:val="00A74801"/>
    <w:rsid w:val="00A754C7"/>
    <w:rsid w:val="00A80687"/>
    <w:rsid w:val="00A90D6D"/>
    <w:rsid w:val="00A91EBE"/>
    <w:rsid w:val="00AA3B6B"/>
    <w:rsid w:val="00AC2F5E"/>
    <w:rsid w:val="00AC72AA"/>
    <w:rsid w:val="00AD0193"/>
    <w:rsid w:val="00AD29FC"/>
    <w:rsid w:val="00AD2F6F"/>
    <w:rsid w:val="00AD4E64"/>
    <w:rsid w:val="00AE0EB3"/>
    <w:rsid w:val="00AE5FA3"/>
    <w:rsid w:val="00AF1681"/>
    <w:rsid w:val="00B018D7"/>
    <w:rsid w:val="00B01A14"/>
    <w:rsid w:val="00B06C41"/>
    <w:rsid w:val="00B11E64"/>
    <w:rsid w:val="00B16E80"/>
    <w:rsid w:val="00B20893"/>
    <w:rsid w:val="00B355C1"/>
    <w:rsid w:val="00B40D31"/>
    <w:rsid w:val="00B53411"/>
    <w:rsid w:val="00B54CC0"/>
    <w:rsid w:val="00B567A7"/>
    <w:rsid w:val="00B615E0"/>
    <w:rsid w:val="00B64398"/>
    <w:rsid w:val="00B71763"/>
    <w:rsid w:val="00B73725"/>
    <w:rsid w:val="00B85BB6"/>
    <w:rsid w:val="00B85CB2"/>
    <w:rsid w:val="00B9273D"/>
    <w:rsid w:val="00B94A59"/>
    <w:rsid w:val="00B96434"/>
    <w:rsid w:val="00B9725E"/>
    <w:rsid w:val="00BA5D6D"/>
    <w:rsid w:val="00BB4DEA"/>
    <w:rsid w:val="00BB66C9"/>
    <w:rsid w:val="00BC3F61"/>
    <w:rsid w:val="00BD5565"/>
    <w:rsid w:val="00BD5DC8"/>
    <w:rsid w:val="00BD644A"/>
    <w:rsid w:val="00BE4EFC"/>
    <w:rsid w:val="00BF3078"/>
    <w:rsid w:val="00C0006B"/>
    <w:rsid w:val="00C05E59"/>
    <w:rsid w:val="00C1623E"/>
    <w:rsid w:val="00C31DE2"/>
    <w:rsid w:val="00C44C59"/>
    <w:rsid w:val="00C60FBF"/>
    <w:rsid w:val="00C61A81"/>
    <w:rsid w:val="00C652ED"/>
    <w:rsid w:val="00C65BB7"/>
    <w:rsid w:val="00C70855"/>
    <w:rsid w:val="00C73589"/>
    <w:rsid w:val="00C77D8E"/>
    <w:rsid w:val="00C80ACA"/>
    <w:rsid w:val="00C82AC0"/>
    <w:rsid w:val="00CA1A45"/>
    <w:rsid w:val="00CA2B24"/>
    <w:rsid w:val="00CA65BA"/>
    <w:rsid w:val="00CB28DE"/>
    <w:rsid w:val="00CC2164"/>
    <w:rsid w:val="00CC3485"/>
    <w:rsid w:val="00CC4B30"/>
    <w:rsid w:val="00CD5BB2"/>
    <w:rsid w:val="00CE1D8B"/>
    <w:rsid w:val="00CF3FEF"/>
    <w:rsid w:val="00CF4EA2"/>
    <w:rsid w:val="00CF518F"/>
    <w:rsid w:val="00D05E53"/>
    <w:rsid w:val="00D12AE0"/>
    <w:rsid w:val="00D174E6"/>
    <w:rsid w:val="00D2756E"/>
    <w:rsid w:val="00D334C3"/>
    <w:rsid w:val="00D448B3"/>
    <w:rsid w:val="00D54125"/>
    <w:rsid w:val="00D60F40"/>
    <w:rsid w:val="00D80175"/>
    <w:rsid w:val="00D81460"/>
    <w:rsid w:val="00D83064"/>
    <w:rsid w:val="00D86FB0"/>
    <w:rsid w:val="00D97596"/>
    <w:rsid w:val="00DA0B2D"/>
    <w:rsid w:val="00DA1CC5"/>
    <w:rsid w:val="00DA7B27"/>
    <w:rsid w:val="00DB108A"/>
    <w:rsid w:val="00DC09A0"/>
    <w:rsid w:val="00DD2709"/>
    <w:rsid w:val="00DE0F11"/>
    <w:rsid w:val="00DE714E"/>
    <w:rsid w:val="00DE743A"/>
    <w:rsid w:val="00DF226B"/>
    <w:rsid w:val="00E04CDB"/>
    <w:rsid w:val="00E105B0"/>
    <w:rsid w:val="00E14537"/>
    <w:rsid w:val="00E148ED"/>
    <w:rsid w:val="00E20A3E"/>
    <w:rsid w:val="00E23406"/>
    <w:rsid w:val="00E3666D"/>
    <w:rsid w:val="00E41BEB"/>
    <w:rsid w:val="00E46EC5"/>
    <w:rsid w:val="00E63297"/>
    <w:rsid w:val="00E66A6A"/>
    <w:rsid w:val="00E70816"/>
    <w:rsid w:val="00E83921"/>
    <w:rsid w:val="00E850C0"/>
    <w:rsid w:val="00E9022E"/>
    <w:rsid w:val="00EB2FE7"/>
    <w:rsid w:val="00EB3DE7"/>
    <w:rsid w:val="00EC129A"/>
    <w:rsid w:val="00EC402B"/>
    <w:rsid w:val="00EC56CB"/>
    <w:rsid w:val="00ED04D7"/>
    <w:rsid w:val="00ED2F20"/>
    <w:rsid w:val="00ED7603"/>
    <w:rsid w:val="00EE3353"/>
    <w:rsid w:val="00EF1787"/>
    <w:rsid w:val="00F0086E"/>
    <w:rsid w:val="00F01F07"/>
    <w:rsid w:val="00F0257E"/>
    <w:rsid w:val="00F11457"/>
    <w:rsid w:val="00F25AD1"/>
    <w:rsid w:val="00F378F1"/>
    <w:rsid w:val="00F42D21"/>
    <w:rsid w:val="00F4347C"/>
    <w:rsid w:val="00F53B8D"/>
    <w:rsid w:val="00F6035F"/>
    <w:rsid w:val="00F6748C"/>
    <w:rsid w:val="00F751A6"/>
    <w:rsid w:val="00F802A7"/>
    <w:rsid w:val="00F87110"/>
    <w:rsid w:val="00F87950"/>
    <w:rsid w:val="00F90BCE"/>
    <w:rsid w:val="00F93B44"/>
    <w:rsid w:val="00F95552"/>
    <w:rsid w:val="00FA0732"/>
    <w:rsid w:val="00FA1259"/>
    <w:rsid w:val="00FA4A80"/>
    <w:rsid w:val="00FA626D"/>
    <w:rsid w:val="00FA7B5E"/>
    <w:rsid w:val="00FB4665"/>
    <w:rsid w:val="00FB698D"/>
    <w:rsid w:val="00FC03FD"/>
    <w:rsid w:val="00FC29E2"/>
    <w:rsid w:val="00FD45FE"/>
    <w:rsid w:val="00FD4AD9"/>
    <w:rsid w:val="00FE21DD"/>
    <w:rsid w:val="00FF105B"/>
    <w:rsid w:val="00FF1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F47"/>
    <w:pPr>
      <w:spacing w:after="200" w:line="276" w:lineRule="auto"/>
    </w:pPr>
    <w:rPr>
      <w:sz w:val="22"/>
      <w:szCs w:val="22"/>
    </w:rPr>
  </w:style>
  <w:style w:type="paragraph" w:styleId="Heading1">
    <w:name w:val="heading 1"/>
    <w:basedOn w:val="Normal"/>
    <w:next w:val="Normal"/>
    <w:link w:val="Heading1Char"/>
    <w:qFormat/>
    <w:locked/>
    <w:rsid w:val="00973E8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9"/>
    <w:qFormat/>
    <w:rsid w:val="005A4141"/>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semiHidden/>
    <w:unhideWhenUsed/>
    <w:qFormat/>
    <w:locked/>
    <w:rsid w:val="00146432"/>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5A4141"/>
    <w:rPr>
      <w:rFonts w:ascii="Times New Roman" w:hAnsi="Times New Roman" w:cs="Times New Roman"/>
      <w:b/>
      <w:bCs/>
      <w:sz w:val="36"/>
      <w:szCs w:val="36"/>
    </w:rPr>
  </w:style>
  <w:style w:type="table" w:styleId="TableGrid">
    <w:name w:val="Table Grid"/>
    <w:basedOn w:val="TableNormal"/>
    <w:uiPriority w:val="99"/>
    <w:rsid w:val="00A03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1437F1"/>
    <w:rPr>
      <w:rFonts w:cs="Times New Roman"/>
      <w:color w:val="80292A"/>
      <w:sz w:val="18"/>
      <w:szCs w:val="18"/>
      <w:u w:val="none"/>
      <w:effect w:val="none"/>
      <w:bdr w:val="none" w:sz="0" w:space="0" w:color="auto" w:frame="1"/>
    </w:rPr>
  </w:style>
  <w:style w:type="paragraph" w:styleId="BalloonText">
    <w:name w:val="Balloon Text"/>
    <w:basedOn w:val="Normal"/>
    <w:link w:val="BalloonTextChar"/>
    <w:uiPriority w:val="99"/>
    <w:semiHidden/>
    <w:rsid w:val="00701A5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01A5B"/>
    <w:rPr>
      <w:rFonts w:ascii="Tahoma" w:hAnsi="Tahoma" w:cs="Tahoma"/>
      <w:sz w:val="16"/>
      <w:szCs w:val="16"/>
    </w:rPr>
  </w:style>
  <w:style w:type="paragraph" w:styleId="Header">
    <w:name w:val="header"/>
    <w:basedOn w:val="Normal"/>
    <w:link w:val="HeaderChar"/>
    <w:uiPriority w:val="99"/>
    <w:rsid w:val="00043A65"/>
    <w:pPr>
      <w:tabs>
        <w:tab w:val="center" w:pos="4680"/>
        <w:tab w:val="right" w:pos="9360"/>
      </w:tabs>
      <w:spacing w:after="0" w:line="240" w:lineRule="auto"/>
    </w:pPr>
  </w:style>
  <w:style w:type="character" w:customStyle="1" w:styleId="HeaderChar">
    <w:name w:val="Header Char"/>
    <w:link w:val="Header"/>
    <w:uiPriority w:val="99"/>
    <w:locked/>
    <w:rsid w:val="00043A65"/>
    <w:rPr>
      <w:rFonts w:cs="Times New Roman"/>
    </w:rPr>
  </w:style>
  <w:style w:type="paragraph" w:styleId="Footer">
    <w:name w:val="footer"/>
    <w:basedOn w:val="Normal"/>
    <w:link w:val="FooterChar"/>
    <w:uiPriority w:val="99"/>
    <w:rsid w:val="00043A65"/>
    <w:pPr>
      <w:tabs>
        <w:tab w:val="center" w:pos="4680"/>
        <w:tab w:val="right" w:pos="9360"/>
      </w:tabs>
      <w:spacing w:after="0" w:line="240" w:lineRule="auto"/>
    </w:pPr>
  </w:style>
  <w:style w:type="character" w:customStyle="1" w:styleId="FooterChar">
    <w:name w:val="Footer Char"/>
    <w:link w:val="Footer"/>
    <w:uiPriority w:val="99"/>
    <w:locked/>
    <w:rsid w:val="00043A65"/>
    <w:rPr>
      <w:rFonts w:cs="Times New Roman"/>
    </w:rPr>
  </w:style>
  <w:style w:type="paragraph" w:styleId="ListParagraph">
    <w:name w:val="List Paragraph"/>
    <w:basedOn w:val="Normal"/>
    <w:uiPriority w:val="34"/>
    <w:qFormat/>
    <w:rsid w:val="00284EF3"/>
    <w:pPr>
      <w:ind w:left="720"/>
      <w:contextualSpacing/>
    </w:pPr>
  </w:style>
  <w:style w:type="character" w:styleId="CommentReference">
    <w:name w:val="annotation reference"/>
    <w:uiPriority w:val="99"/>
    <w:semiHidden/>
    <w:rsid w:val="00DE714E"/>
    <w:rPr>
      <w:rFonts w:cs="Times New Roman"/>
      <w:sz w:val="16"/>
      <w:szCs w:val="16"/>
    </w:rPr>
  </w:style>
  <w:style w:type="paragraph" w:styleId="CommentText">
    <w:name w:val="annotation text"/>
    <w:basedOn w:val="Normal"/>
    <w:link w:val="CommentTextChar"/>
    <w:uiPriority w:val="99"/>
    <w:semiHidden/>
    <w:rsid w:val="00DE714E"/>
    <w:pPr>
      <w:spacing w:line="240" w:lineRule="auto"/>
    </w:pPr>
    <w:rPr>
      <w:sz w:val="20"/>
      <w:szCs w:val="20"/>
    </w:rPr>
  </w:style>
  <w:style w:type="character" w:customStyle="1" w:styleId="CommentTextChar">
    <w:name w:val="Comment Text Char"/>
    <w:link w:val="CommentText"/>
    <w:uiPriority w:val="99"/>
    <w:semiHidden/>
    <w:locked/>
    <w:rsid w:val="00DE714E"/>
    <w:rPr>
      <w:rFonts w:cs="Times New Roman"/>
      <w:sz w:val="20"/>
      <w:szCs w:val="20"/>
    </w:rPr>
  </w:style>
  <w:style w:type="paragraph" w:styleId="CommentSubject">
    <w:name w:val="annotation subject"/>
    <w:basedOn w:val="CommentText"/>
    <w:next w:val="CommentText"/>
    <w:link w:val="CommentSubjectChar"/>
    <w:uiPriority w:val="99"/>
    <w:semiHidden/>
    <w:rsid w:val="00DE714E"/>
    <w:rPr>
      <w:b/>
      <w:bCs/>
    </w:rPr>
  </w:style>
  <w:style w:type="character" w:customStyle="1" w:styleId="CommentSubjectChar">
    <w:name w:val="Comment Subject Char"/>
    <w:link w:val="CommentSubject"/>
    <w:uiPriority w:val="99"/>
    <w:semiHidden/>
    <w:locked/>
    <w:rsid w:val="00DE714E"/>
    <w:rPr>
      <w:rFonts w:cs="Times New Roman"/>
      <w:b/>
      <w:bCs/>
      <w:sz w:val="20"/>
      <w:szCs w:val="20"/>
    </w:rPr>
  </w:style>
  <w:style w:type="character" w:customStyle="1" w:styleId="FontStyle38">
    <w:name w:val="Font Style38"/>
    <w:uiPriority w:val="99"/>
    <w:rsid w:val="0052608F"/>
    <w:rPr>
      <w:rFonts w:ascii="Arial" w:hAnsi="Arial" w:cs="Arial"/>
      <w:sz w:val="22"/>
      <w:szCs w:val="22"/>
    </w:rPr>
  </w:style>
  <w:style w:type="character" w:customStyle="1" w:styleId="Heading3Char">
    <w:name w:val="Heading 3 Char"/>
    <w:link w:val="Heading3"/>
    <w:semiHidden/>
    <w:rsid w:val="00146432"/>
    <w:rPr>
      <w:rFonts w:ascii="Cambria" w:eastAsia="Times New Roman" w:hAnsi="Cambria" w:cs="Times New Roman"/>
      <w:b/>
      <w:bCs/>
      <w:color w:val="4F81BD"/>
    </w:rPr>
  </w:style>
  <w:style w:type="paragraph" w:styleId="PlainText">
    <w:name w:val="Plain Text"/>
    <w:basedOn w:val="Normal"/>
    <w:link w:val="PlainTextChar"/>
    <w:uiPriority w:val="99"/>
    <w:semiHidden/>
    <w:unhideWhenUsed/>
    <w:rsid w:val="009F7C23"/>
    <w:pPr>
      <w:spacing w:after="0" w:line="240" w:lineRule="auto"/>
    </w:pPr>
    <w:rPr>
      <w:rFonts w:cs="Consolas"/>
      <w:szCs w:val="21"/>
      <w:lang w:val="ro-RO"/>
    </w:rPr>
  </w:style>
  <w:style w:type="character" w:customStyle="1" w:styleId="PlainTextChar">
    <w:name w:val="Plain Text Char"/>
    <w:link w:val="PlainText"/>
    <w:uiPriority w:val="99"/>
    <w:semiHidden/>
    <w:rsid w:val="009F7C23"/>
    <w:rPr>
      <w:rFonts w:eastAsia="Calibri" w:cs="Consolas"/>
      <w:szCs w:val="21"/>
      <w:lang w:val="ro-RO"/>
    </w:rPr>
  </w:style>
  <w:style w:type="character" w:styleId="FollowedHyperlink">
    <w:name w:val="FollowedHyperlink"/>
    <w:uiPriority w:val="99"/>
    <w:semiHidden/>
    <w:unhideWhenUsed/>
    <w:rsid w:val="00994440"/>
    <w:rPr>
      <w:color w:val="800080"/>
      <w:u w:val="single"/>
    </w:rPr>
  </w:style>
  <w:style w:type="character" w:customStyle="1" w:styleId="yiv3709458571">
    <w:name w:val="yiv3709458571"/>
    <w:basedOn w:val="DefaultParagraphFont"/>
    <w:rsid w:val="00A00618"/>
  </w:style>
  <w:style w:type="character" w:customStyle="1" w:styleId="yiv3946109715">
    <w:name w:val="yiv3946109715"/>
    <w:basedOn w:val="DefaultParagraphFont"/>
    <w:rsid w:val="008109F4"/>
  </w:style>
  <w:style w:type="paragraph" w:customStyle="1" w:styleId="Body2">
    <w:name w:val="Body2"/>
    <w:basedOn w:val="Normal"/>
    <w:uiPriority w:val="99"/>
    <w:rsid w:val="00A703C2"/>
    <w:pPr>
      <w:autoSpaceDE w:val="0"/>
      <w:autoSpaceDN w:val="0"/>
      <w:adjustRightInd w:val="0"/>
      <w:spacing w:line="240" w:lineRule="auto"/>
    </w:pPr>
    <w:rPr>
      <w:rFonts w:ascii="Times New Roman" w:hAnsi="Times New Roman"/>
      <w:color w:val="3F3D35"/>
      <w:sz w:val="16"/>
      <w:szCs w:val="16"/>
    </w:rPr>
  </w:style>
  <w:style w:type="character" w:customStyle="1" w:styleId="yiv5228705041">
    <w:name w:val="yiv5228705041"/>
    <w:basedOn w:val="DefaultParagraphFont"/>
    <w:rsid w:val="00482C11"/>
  </w:style>
  <w:style w:type="character" w:styleId="Emphasis">
    <w:name w:val="Emphasis"/>
    <w:uiPriority w:val="20"/>
    <w:qFormat/>
    <w:locked/>
    <w:rsid w:val="00171214"/>
    <w:rPr>
      <w:i/>
      <w:iCs/>
    </w:rPr>
  </w:style>
  <w:style w:type="character" w:customStyle="1" w:styleId="yiv1847325394">
    <w:name w:val="yiv1847325394"/>
    <w:basedOn w:val="DefaultParagraphFont"/>
    <w:rsid w:val="009A66AB"/>
  </w:style>
  <w:style w:type="character" w:customStyle="1" w:styleId="yiv4410984118">
    <w:name w:val="yiv4410984118"/>
    <w:basedOn w:val="DefaultParagraphFont"/>
    <w:rsid w:val="003D10E0"/>
  </w:style>
  <w:style w:type="character" w:customStyle="1" w:styleId="yiv5109588034">
    <w:name w:val="yiv5109588034"/>
    <w:basedOn w:val="DefaultParagraphFont"/>
    <w:rsid w:val="00202D5A"/>
  </w:style>
  <w:style w:type="character" w:customStyle="1" w:styleId="yiv5797810899">
    <w:name w:val="yiv5797810899"/>
    <w:basedOn w:val="DefaultParagraphFont"/>
    <w:rsid w:val="006F2056"/>
  </w:style>
  <w:style w:type="character" w:customStyle="1" w:styleId="apple-converted-space">
    <w:name w:val="apple-converted-space"/>
    <w:basedOn w:val="DefaultParagraphFont"/>
    <w:rsid w:val="006F2056"/>
  </w:style>
  <w:style w:type="character" w:customStyle="1" w:styleId="yiv4516106682">
    <w:name w:val="yiv4516106682"/>
    <w:basedOn w:val="DefaultParagraphFont"/>
    <w:rsid w:val="002C363C"/>
  </w:style>
  <w:style w:type="character" w:customStyle="1" w:styleId="yiv8475258731">
    <w:name w:val="yiv8475258731"/>
    <w:basedOn w:val="DefaultParagraphFont"/>
    <w:rsid w:val="00710ECF"/>
  </w:style>
  <w:style w:type="character" w:customStyle="1" w:styleId="yiv7969862455">
    <w:name w:val="yiv7969862455"/>
    <w:basedOn w:val="DefaultParagraphFont"/>
    <w:rsid w:val="005A4052"/>
  </w:style>
  <w:style w:type="character" w:customStyle="1" w:styleId="yiv3601200201">
    <w:name w:val="yiv3601200201"/>
    <w:basedOn w:val="DefaultParagraphFont"/>
    <w:rsid w:val="00BC3F61"/>
  </w:style>
  <w:style w:type="character" w:customStyle="1" w:styleId="yiv8321031674">
    <w:name w:val="yiv8321031674"/>
    <w:basedOn w:val="DefaultParagraphFont"/>
    <w:rsid w:val="000B052B"/>
  </w:style>
  <w:style w:type="character" w:customStyle="1" w:styleId="yiv0133518388">
    <w:name w:val="yiv0133518388"/>
    <w:basedOn w:val="DefaultParagraphFont"/>
    <w:rsid w:val="00A319B2"/>
  </w:style>
  <w:style w:type="character" w:customStyle="1" w:styleId="yiv4654540836">
    <w:name w:val="yiv4654540836"/>
    <w:basedOn w:val="DefaultParagraphFont"/>
    <w:rsid w:val="008330A0"/>
  </w:style>
  <w:style w:type="character" w:customStyle="1" w:styleId="Heading1Char">
    <w:name w:val="Heading 1 Char"/>
    <w:link w:val="Heading1"/>
    <w:rsid w:val="00973E81"/>
    <w:rPr>
      <w:rFonts w:ascii="Calibri Light" w:eastAsia="Times New Roman" w:hAnsi="Calibri Light"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divs>
    <w:div w:id="14044444">
      <w:bodyDiv w:val="1"/>
      <w:marLeft w:val="0"/>
      <w:marRight w:val="0"/>
      <w:marTop w:val="0"/>
      <w:marBottom w:val="0"/>
      <w:divBdr>
        <w:top w:val="none" w:sz="0" w:space="0" w:color="auto"/>
        <w:left w:val="none" w:sz="0" w:space="0" w:color="auto"/>
        <w:bottom w:val="none" w:sz="0" w:space="0" w:color="auto"/>
        <w:right w:val="none" w:sz="0" w:space="0" w:color="auto"/>
      </w:divBdr>
    </w:div>
    <w:div w:id="105470421">
      <w:bodyDiv w:val="1"/>
      <w:marLeft w:val="0"/>
      <w:marRight w:val="0"/>
      <w:marTop w:val="0"/>
      <w:marBottom w:val="0"/>
      <w:divBdr>
        <w:top w:val="none" w:sz="0" w:space="0" w:color="auto"/>
        <w:left w:val="none" w:sz="0" w:space="0" w:color="auto"/>
        <w:bottom w:val="none" w:sz="0" w:space="0" w:color="auto"/>
        <w:right w:val="none" w:sz="0" w:space="0" w:color="auto"/>
      </w:divBdr>
    </w:div>
    <w:div w:id="244844429">
      <w:bodyDiv w:val="1"/>
      <w:marLeft w:val="0"/>
      <w:marRight w:val="0"/>
      <w:marTop w:val="0"/>
      <w:marBottom w:val="0"/>
      <w:divBdr>
        <w:top w:val="none" w:sz="0" w:space="0" w:color="auto"/>
        <w:left w:val="none" w:sz="0" w:space="0" w:color="auto"/>
        <w:bottom w:val="none" w:sz="0" w:space="0" w:color="auto"/>
        <w:right w:val="none" w:sz="0" w:space="0" w:color="auto"/>
      </w:divBdr>
    </w:div>
    <w:div w:id="305362228">
      <w:bodyDiv w:val="1"/>
      <w:marLeft w:val="0"/>
      <w:marRight w:val="0"/>
      <w:marTop w:val="0"/>
      <w:marBottom w:val="0"/>
      <w:divBdr>
        <w:top w:val="none" w:sz="0" w:space="0" w:color="auto"/>
        <w:left w:val="none" w:sz="0" w:space="0" w:color="auto"/>
        <w:bottom w:val="none" w:sz="0" w:space="0" w:color="auto"/>
        <w:right w:val="none" w:sz="0" w:space="0" w:color="auto"/>
      </w:divBdr>
    </w:div>
    <w:div w:id="413861946">
      <w:bodyDiv w:val="1"/>
      <w:marLeft w:val="0"/>
      <w:marRight w:val="0"/>
      <w:marTop w:val="0"/>
      <w:marBottom w:val="0"/>
      <w:divBdr>
        <w:top w:val="none" w:sz="0" w:space="0" w:color="auto"/>
        <w:left w:val="none" w:sz="0" w:space="0" w:color="auto"/>
        <w:bottom w:val="none" w:sz="0" w:space="0" w:color="auto"/>
        <w:right w:val="none" w:sz="0" w:space="0" w:color="auto"/>
      </w:divBdr>
    </w:div>
    <w:div w:id="490175032">
      <w:bodyDiv w:val="1"/>
      <w:marLeft w:val="0"/>
      <w:marRight w:val="0"/>
      <w:marTop w:val="0"/>
      <w:marBottom w:val="0"/>
      <w:divBdr>
        <w:top w:val="none" w:sz="0" w:space="0" w:color="auto"/>
        <w:left w:val="none" w:sz="0" w:space="0" w:color="auto"/>
        <w:bottom w:val="none" w:sz="0" w:space="0" w:color="auto"/>
        <w:right w:val="none" w:sz="0" w:space="0" w:color="auto"/>
      </w:divBdr>
    </w:div>
    <w:div w:id="491214122">
      <w:bodyDiv w:val="1"/>
      <w:marLeft w:val="0"/>
      <w:marRight w:val="0"/>
      <w:marTop w:val="0"/>
      <w:marBottom w:val="0"/>
      <w:divBdr>
        <w:top w:val="none" w:sz="0" w:space="0" w:color="auto"/>
        <w:left w:val="none" w:sz="0" w:space="0" w:color="auto"/>
        <w:bottom w:val="none" w:sz="0" w:space="0" w:color="auto"/>
        <w:right w:val="none" w:sz="0" w:space="0" w:color="auto"/>
      </w:divBdr>
    </w:div>
    <w:div w:id="534733854">
      <w:bodyDiv w:val="1"/>
      <w:marLeft w:val="0"/>
      <w:marRight w:val="0"/>
      <w:marTop w:val="0"/>
      <w:marBottom w:val="0"/>
      <w:divBdr>
        <w:top w:val="none" w:sz="0" w:space="0" w:color="auto"/>
        <w:left w:val="none" w:sz="0" w:space="0" w:color="auto"/>
        <w:bottom w:val="none" w:sz="0" w:space="0" w:color="auto"/>
        <w:right w:val="none" w:sz="0" w:space="0" w:color="auto"/>
      </w:divBdr>
    </w:div>
    <w:div w:id="545409407">
      <w:bodyDiv w:val="1"/>
      <w:marLeft w:val="0"/>
      <w:marRight w:val="0"/>
      <w:marTop w:val="0"/>
      <w:marBottom w:val="0"/>
      <w:divBdr>
        <w:top w:val="none" w:sz="0" w:space="0" w:color="auto"/>
        <w:left w:val="none" w:sz="0" w:space="0" w:color="auto"/>
        <w:bottom w:val="none" w:sz="0" w:space="0" w:color="auto"/>
        <w:right w:val="none" w:sz="0" w:space="0" w:color="auto"/>
      </w:divBdr>
    </w:div>
    <w:div w:id="602034244">
      <w:bodyDiv w:val="1"/>
      <w:marLeft w:val="0"/>
      <w:marRight w:val="0"/>
      <w:marTop w:val="0"/>
      <w:marBottom w:val="0"/>
      <w:divBdr>
        <w:top w:val="none" w:sz="0" w:space="0" w:color="auto"/>
        <w:left w:val="none" w:sz="0" w:space="0" w:color="auto"/>
        <w:bottom w:val="none" w:sz="0" w:space="0" w:color="auto"/>
        <w:right w:val="none" w:sz="0" w:space="0" w:color="auto"/>
      </w:divBdr>
    </w:div>
    <w:div w:id="617445579">
      <w:bodyDiv w:val="1"/>
      <w:marLeft w:val="0"/>
      <w:marRight w:val="0"/>
      <w:marTop w:val="0"/>
      <w:marBottom w:val="0"/>
      <w:divBdr>
        <w:top w:val="none" w:sz="0" w:space="0" w:color="auto"/>
        <w:left w:val="none" w:sz="0" w:space="0" w:color="auto"/>
        <w:bottom w:val="none" w:sz="0" w:space="0" w:color="auto"/>
        <w:right w:val="none" w:sz="0" w:space="0" w:color="auto"/>
      </w:divBdr>
      <w:divsChild>
        <w:div w:id="1909655400">
          <w:marLeft w:val="0"/>
          <w:marRight w:val="0"/>
          <w:marTop w:val="0"/>
          <w:marBottom w:val="0"/>
          <w:divBdr>
            <w:top w:val="none" w:sz="0" w:space="11" w:color="auto"/>
            <w:left w:val="none" w:sz="0" w:space="11" w:color="auto"/>
            <w:bottom w:val="none" w:sz="0" w:space="11" w:color="auto"/>
            <w:right w:val="single" w:sz="6" w:space="11" w:color="DDDDDD"/>
          </w:divBdr>
          <w:divsChild>
            <w:div w:id="202613">
              <w:marLeft w:val="0"/>
              <w:marRight w:val="0"/>
              <w:marTop w:val="0"/>
              <w:marBottom w:val="0"/>
              <w:divBdr>
                <w:top w:val="none" w:sz="0" w:space="0" w:color="auto"/>
                <w:left w:val="none" w:sz="0" w:space="0" w:color="auto"/>
                <w:bottom w:val="none" w:sz="0" w:space="0" w:color="auto"/>
                <w:right w:val="none" w:sz="0" w:space="0" w:color="auto"/>
              </w:divBdr>
              <w:divsChild>
                <w:div w:id="1196188472">
                  <w:marLeft w:val="0"/>
                  <w:marRight w:val="0"/>
                  <w:marTop w:val="0"/>
                  <w:marBottom w:val="0"/>
                  <w:divBdr>
                    <w:top w:val="none" w:sz="0" w:space="0" w:color="auto"/>
                    <w:left w:val="none" w:sz="0" w:space="0" w:color="auto"/>
                    <w:bottom w:val="none" w:sz="0" w:space="0" w:color="auto"/>
                    <w:right w:val="none" w:sz="0" w:space="0" w:color="auto"/>
                  </w:divBdr>
                  <w:divsChild>
                    <w:div w:id="1484929990">
                      <w:marLeft w:val="0"/>
                      <w:marRight w:val="0"/>
                      <w:marTop w:val="0"/>
                      <w:marBottom w:val="0"/>
                      <w:divBdr>
                        <w:top w:val="single" w:sz="6" w:space="0" w:color="DDDDDD"/>
                        <w:left w:val="single" w:sz="6" w:space="0" w:color="DDDDDD"/>
                        <w:bottom w:val="single" w:sz="6" w:space="0" w:color="DDDDDD"/>
                        <w:right w:val="single" w:sz="6" w:space="0" w:color="DDDDDD"/>
                      </w:divBdr>
                      <w:divsChild>
                        <w:div w:id="393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80802">
      <w:bodyDiv w:val="1"/>
      <w:marLeft w:val="0"/>
      <w:marRight w:val="0"/>
      <w:marTop w:val="0"/>
      <w:marBottom w:val="0"/>
      <w:divBdr>
        <w:top w:val="none" w:sz="0" w:space="0" w:color="auto"/>
        <w:left w:val="none" w:sz="0" w:space="0" w:color="auto"/>
        <w:bottom w:val="none" w:sz="0" w:space="0" w:color="auto"/>
        <w:right w:val="none" w:sz="0" w:space="0" w:color="auto"/>
      </w:divBdr>
    </w:div>
    <w:div w:id="681932782">
      <w:bodyDiv w:val="1"/>
      <w:marLeft w:val="0"/>
      <w:marRight w:val="0"/>
      <w:marTop w:val="0"/>
      <w:marBottom w:val="0"/>
      <w:divBdr>
        <w:top w:val="none" w:sz="0" w:space="0" w:color="auto"/>
        <w:left w:val="none" w:sz="0" w:space="0" w:color="auto"/>
        <w:bottom w:val="none" w:sz="0" w:space="0" w:color="auto"/>
        <w:right w:val="none" w:sz="0" w:space="0" w:color="auto"/>
      </w:divBdr>
    </w:div>
    <w:div w:id="699016578">
      <w:bodyDiv w:val="1"/>
      <w:marLeft w:val="0"/>
      <w:marRight w:val="0"/>
      <w:marTop w:val="0"/>
      <w:marBottom w:val="0"/>
      <w:divBdr>
        <w:top w:val="none" w:sz="0" w:space="0" w:color="auto"/>
        <w:left w:val="none" w:sz="0" w:space="0" w:color="auto"/>
        <w:bottom w:val="none" w:sz="0" w:space="0" w:color="auto"/>
        <w:right w:val="none" w:sz="0" w:space="0" w:color="auto"/>
      </w:divBdr>
    </w:div>
    <w:div w:id="736321386">
      <w:bodyDiv w:val="1"/>
      <w:marLeft w:val="0"/>
      <w:marRight w:val="0"/>
      <w:marTop w:val="0"/>
      <w:marBottom w:val="0"/>
      <w:divBdr>
        <w:top w:val="none" w:sz="0" w:space="0" w:color="auto"/>
        <w:left w:val="none" w:sz="0" w:space="0" w:color="auto"/>
        <w:bottom w:val="none" w:sz="0" w:space="0" w:color="auto"/>
        <w:right w:val="none" w:sz="0" w:space="0" w:color="auto"/>
      </w:divBdr>
    </w:div>
    <w:div w:id="854343865">
      <w:bodyDiv w:val="1"/>
      <w:marLeft w:val="0"/>
      <w:marRight w:val="0"/>
      <w:marTop w:val="0"/>
      <w:marBottom w:val="0"/>
      <w:divBdr>
        <w:top w:val="none" w:sz="0" w:space="0" w:color="auto"/>
        <w:left w:val="none" w:sz="0" w:space="0" w:color="auto"/>
        <w:bottom w:val="none" w:sz="0" w:space="0" w:color="auto"/>
        <w:right w:val="none" w:sz="0" w:space="0" w:color="auto"/>
      </w:divBdr>
    </w:div>
    <w:div w:id="888155085">
      <w:bodyDiv w:val="1"/>
      <w:marLeft w:val="0"/>
      <w:marRight w:val="0"/>
      <w:marTop w:val="0"/>
      <w:marBottom w:val="0"/>
      <w:divBdr>
        <w:top w:val="none" w:sz="0" w:space="0" w:color="auto"/>
        <w:left w:val="none" w:sz="0" w:space="0" w:color="auto"/>
        <w:bottom w:val="none" w:sz="0" w:space="0" w:color="auto"/>
        <w:right w:val="none" w:sz="0" w:space="0" w:color="auto"/>
      </w:divBdr>
      <w:divsChild>
        <w:div w:id="816997695">
          <w:marLeft w:val="994"/>
          <w:marRight w:val="0"/>
          <w:marTop w:val="0"/>
          <w:marBottom w:val="120"/>
          <w:divBdr>
            <w:top w:val="none" w:sz="0" w:space="0" w:color="auto"/>
            <w:left w:val="none" w:sz="0" w:space="0" w:color="auto"/>
            <w:bottom w:val="none" w:sz="0" w:space="0" w:color="auto"/>
            <w:right w:val="none" w:sz="0" w:space="0" w:color="auto"/>
          </w:divBdr>
        </w:div>
      </w:divsChild>
    </w:div>
    <w:div w:id="1053623128">
      <w:bodyDiv w:val="1"/>
      <w:marLeft w:val="0"/>
      <w:marRight w:val="0"/>
      <w:marTop w:val="0"/>
      <w:marBottom w:val="0"/>
      <w:divBdr>
        <w:top w:val="none" w:sz="0" w:space="0" w:color="auto"/>
        <w:left w:val="none" w:sz="0" w:space="0" w:color="auto"/>
        <w:bottom w:val="none" w:sz="0" w:space="0" w:color="auto"/>
        <w:right w:val="none" w:sz="0" w:space="0" w:color="auto"/>
      </w:divBdr>
    </w:div>
    <w:div w:id="1060707746">
      <w:bodyDiv w:val="1"/>
      <w:marLeft w:val="0"/>
      <w:marRight w:val="0"/>
      <w:marTop w:val="0"/>
      <w:marBottom w:val="0"/>
      <w:divBdr>
        <w:top w:val="none" w:sz="0" w:space="0" w:color="auto"/>
        <w:left w:val="none" w:sz="0" w:space="0" w:color="auto"/>
        <w:bottom w:val="none" w:sz="0" w:space="0" w:color="auto"/>
        <w:right w:val="none" w:sz="0" w:space="0" w:color="auto"/>
      </w:divBdr>
    </w:div>
    <w:div w:id="1095830274">
      <w:bodyDiv w:val="1"/>
      <w:marLeft w:val="0"/>
      <w:marRight w:val="0"/>
      <w:marTop w:val="0"/>
      <w:marBottom w:val="0"/>
      <w:divBdr>
        <w:top w:val="none" w:sz="0" w:space="0" w:color="auto"/>
        <w:left w:val="none" w:sz="0" w:space="0" w:color="auto"/>
        <w:bottom w:val="none" w:sz="0" w:space="0" w:color="auto"/>
        <w:right w:val="none" w:sz="0" w:space="0" w:color="auto"/>
      </w:divBdr>
    </w:div>
    <w:div w:id="1305425313">
      <w:bodyDiv w:val="1"/>
      <w:marLeft w:val="0"/>
      <w:marRight w:val="0"/>
      <w:marTop w:val="0"/>
      <w:marBottom w:val="0"/>
      <w:divBdr>
        <w:top w:val="none" w:sz="0" w:space="0" w:color="auto"/>
        <w:left w:val="none" w:sz="0" w:space="0" w:color="auto"/>
        <w:bottom w:val="none" w:sz="0" w:space="0" w:color="auto"/>
        <w:right w:val="none" w:sz="0" w:space="0" w:color="auto"/>
      </w:divBdr>
    </w:div>
    <w:div w:id="1310134576">
      <w:marLeft w:val="0"/>
      <w:marRight w:val="0"/>
      <w:marTop w:val="0"/>
      <w:marBottom w:val="0"/>
      <w:divBdr>
        <w:top w:val="none" w:sz="0" w:space="0" w:color="auto"/>
        <w:left w:val="none" w:sz="0" w:space="0" w:color="auto"/>
        <w:bottom w:val="none" w:sz="0" w:space="0" w:color="auto"/>
        <w:right w:val="none" w:sz="0" w:space="0" w:color="auto"/>
      </w:divBdr>
    </w:div>
    <w:div w:id="1310134577">
      <w:marLeft w:val="0"/>
      <w:marRight w:val="0"/>
      <w:marTop w:val="0"/>
      <w:marBottom w:val="0"/>
      <w:divBdr>
        <w:top w:val="none" w:sz="0" w:space="0" w:color="auto"/>
        <w:left w:val="none" w:sz="0" w:space="0" w:color="auto"/>
        <w:bottom w:val="none" w:sz="0" w:space="0" w:color="auto"/>
        <w:right w:val="none" w:sz="0" w:space="0" w:color="auto"/>
      </w:divBdr>
    </w:div>
    <w:div w:id="1338920523">
      <w:bodyDiv w:val="1"/>
      <w:marLeft w:val="0"/>
      <w:marRight w:val="0"/>
      <w:marTop w:val="0"/>
      <w:marBottom w:val="0"/>
      <w:divBdr>
        <w:top w:val="none" w:sz="0" w:space="0" w:color="auto"/>
        <w:left w:val="none" w:sz="0" w:space="0" w:color="auto"/>
        <w:bottom w:val="none" w:sz="0" w:space="0" w:color="auto"/>
        <w:right w:val="none" w:sz="0" w:space="0" w:color="auto"/>
      </w:divBdr>
    </w:div>
    <w:div w:id="1394695967">
      <w:bodyDiv w:val="1"/>
      <w:marLeft w:val="0"/>
      <w:marRight w:val="0"/>
      <w:marTop w:val="0"/>
      <w:marBottom w:val="0"/>
      <w:divBdr>
        <w:top w:val="none" w:sz="0" w:space="0" w:color="auto"/>
        <w:left w:val="none" w:sz="0" w:space="0" w:color="auto"/>
        <w:bottom w:val="none" w:sz="0" w:space="0" w:color="auto"/>
        <w:right w:val="none" w:sz="0" w:space="0" w:color="auto"/>
      </w:divBdr>
      <w:divsChild>
        <w:div w:id="428163355">
          <w:marLeft w:val="576"/>
          <w:marRight w:val="0"/>
          <w:marTop w:val="80"/>
          <w:marBottom w:val="0"/>
          <w:divBdr>
            <w:top w:val="none" w:sz="0" w:space="0" w:color="auto"/>
            <w:left w:val="none" w:sz="0" w:space="0" w:color="auto"/>
            <w:bottom w:val="none" w:sz="0" w:space="0" w:color="auto"/>
            <w:right w:val="none" w:sz="0" w:space="0" w:color="auto"/>
          </w:divBdr>
        </w:div>
        <w:div w:id="962154660">
          <w:marLeft w:val="576"/>
          <w:marRight w:val="0"/>
          <w:marTop w:val="80"/>
          <w:marBottom w:val="0"/>
          <w:divBdr>
            <w:top w:val="none" w:sz="0" w:space="0" w:color="auto"/>
            <w:left w:val="none" w:sz="0" w:space="0" w:color="auto"/>
            <w:bottom w:val="none" w:sz="0" w:space="0" w:color="auto"/>
            <w:right w:val="none" w:sz="0" w:space="0" w:color="auto"/>
          </w:divBdr>
        </w:div>
        <w:div w:id="1078868839">
          <w:marLeft w:val="576"/>
          <w:marRight w:val="0"/>
          <w:marTop w:val="80"/>
          <w:marBottom w:val="0"/>
          <w:divBdr>
            <w:top w:val="none" w:sz="0" w:space="0" w:color="auto"/>
            <w:left w:val="none" w:sz="0" w:space="0" w:color="auto"/>
            <w:bottom w:val="none" w:sz="0" w:space="0" w:color="auto"/>
            <w:right w:val="none" w:sz="0" w:space="0" w:color="auto"/>
          </w:divBdr>
        </w:div>
        <w:div w:id="1254583811">
          <w:marLeft w:val="1354"/>
          <w:marRight w:val="0"/>
          <w:marTop w:val="70"/>
          <w:marBottom w:val="0"/>
          <w:divBdr>
            <w:top w:val="none" w:sz="0" w:space="0" w:color="auto"/>
            <w:left w:val="none" w:sz="0" w:space="0" w:color="auto"/>
            <w:bottom w:val="none" w:sz="0" w:space="0" w:color="auto"/>
            <w:right w:val="none" w:sz="0" w:space="0" w:color="auto"/>
          </w:divBdr>
        </w:div>
        <w:div w:id="1435832081">
          <w:marLeft w:val="1354"/>
          <w:marRight w:val="0"/>
          <w:marTop w:val="70"/>
          <w:marBottom w:val="0"/>
          <w:divBdr>
            <w:top w:val="none" w:sz="0" w:space="0" w:color="auto"/>
            <w:left w:val="none" w:sz="0" w:space="0" w:color="auto"/>
            <w:bottom w:val="none" w:sz="0" w:space="0" w:color="auto"/>
            <w:right w:val="none" w:sz="0" w:space="0" w:color="auto"/>
          </w:divBdr>
        </w:div>
        <w:div w:id="2093696770">
          <w:marLeft w:val="1354"/>
          <w:marRight w:val="0"/>
          <w:marTop w:val="70"/>
          <w:marBottom w:val="0"/>
          <w:divBdr>
            <w:top w:val="none" w:sz="0" w:space="0" w:color="auto"/>
            <w:left w:val="none" w:sz="0" w:space="0" w:color="auto"/>
            <w:bottom w:val="none" w:sz="0" w:space="0" w:color="auto"/>
            <w:right w:val="none" w:sz="0" w:space="0" w:color="auto"/>
          </w:divBdr>
        </w:div>
      </w:divsChild>
    </w:div>
    <w:div w:id="1431900446">
      <w:bodyDiv w:val="1"/>
      <w:marLeft w:val="0"/>
      <w:marRight w:val="0"/>
      <w:marTop w:val="0"/>
      <w:marBottom w:val="0"/>
      <w:divBdr>
        <w:top w:val="none" w:sz="0" w:space="0" w:color="auto"/>
        <w:left w:val="none" w:sz="0" w:space="0" w:color="auto"/>
        <w:bottom w:val="none" w:sz="0" w:space="0" w:color="auto"/>
        <w:right w:val="none" w:sz="0" w:space="0" w:color="auto"/>
      </w:divBdr>
      <w:divsChild>
        <w:div w:id="166216712">
          <w:marLeft w:val="0"/>
          <w:marRight w:val="0"/>
          <w:marTop w:val="0"/>
          <w:marBottom w:val="0"/>
          <w:divBdr>
            <w:top w:val="none" w:sz="0" w:space="0" w:color="auto"/>
            <w:left w:val="none" w:sz="0" w:space="0" w:color="auto"/>
            <w:bottom w:val="none" w:sz="0" w:space="0" w:color="auto"/>
            <w:right w:val="none" w:sz="0" w:space="0" w:color="auto"/>
          </w:divBdr>
        </w:div>
        <w:div w:id="260340100">
          <w:marLeft w:val="0"/>
          <w:marRight w:val="0"/>
          <w:marTop w:val="0"/>
          <w:marBottom w:val="0"/>
          <w:divBdr>
            <w:top w:val="none" w:sz="0" w:space="0" w:color="auto"/>
            <w:left w:val="none" w:sz="0" w:space="0" w:color="auto"/>
            <w:bottom w:val="none" w:sz="0" w:space="0" w:color="auto"/>
            <w:right w:val="none" w:sz="0" w:space="0" w:color="auto"/>
          </w:divBdr>
        </w:div>
        <w:div w:id="515927846">
          <w:marLeft w:val="0"/>
          <w:marRight w:val="0"/>
          <w:marTop w:val="0"/>
          <w:marBottom w:val="0"/>
          <w:divBdr>
            <w:top w:val="none" w:sz="0" w:space="0" w:color="auto"/>
            <w:left w:val="none" w:sz="0" w:space="0" w:color="auto"/>
            <w:bottom w:val="none" w:sz="0" w:space="0" w:color="auto"/>
            <w:right w:val="none" w:sz="0" w:space="0" w:color="auto"/>
          </w:divBdr>
        </w:div>
        <w:div w:id="592586353">
          <w:marLeft w:val="0"/>
          <w:marRight w:val="0"/>
          <w:marTop w:val="0"/>
          <w:marBottom w:val="0"/>
          <w:divBdr>
            <w:top w:val="none" w:sz="0" w:space="0" w:color="auto"/>
            <w:left w:val="none" w:sz="0" w:space="0" w:color="auto"/>
            <w:bottom w:val="none" w:sz="0" w:space="0" w:color="auto"/>
            <w:right w:val="none" w:sz="0" w:space="0" w:color="auto"/>
          </w:divBdr>
        </w:div>
        <w:div w:id="1371803273">
          <w:marLeft w:val="0"/>
          <w:marRight w:val="0"/>
          <w:marTop w:val="0"/>
          <w:marBottom w:val="0"/>
          <w:divBdr>
            <w:top w:val="none" w:sz="0" w:space="0" w:color="auto"/>
            <w:left w:val="none" w:sz="0" w:space="0" w:color="auto"/>
            <w:bottom w:val="none" w:sz="0" w:space="0" w:color="auto"/>
            <w:right w:val="none" w:sz="0" w:space="0" w:color="auto"/>
          </w:divBdr>
        </w:div>
        <w:div w:id="1853109394">
          <w:marLeft w:val="0"/>
          <w:marRight w:val="0"/>
          <w:marTop w:val="0"/>
          <w:marBottom w:val="0"/>
          <w:divBdr>
            <w:top w:val="none" w:sz="0" w:space="0" w:color="auto"/>
            <w:left w:val="none" w:sz="0" w:space="0" w:color="auto"/>
            <w:bottom w:val="none" w:sz="0" w:space="0" w:color="auto"/>
            <w:right w:val="none" w:sz="0" w:space="0" w:color="auto"/>
          </w:divBdr>
        </w:div>
      </w:divsChild>
    </w:div>
    <w:div w:id="1436243512">
      <w:bodyDiv w:val="1"/>
      <w:marLeft w:val="0"/>
      <w:marRight w:val="0"/>
      <w:marTop w:val="0"/>
      <w:marBottom w:val="0"/>
      <w:divBdr>
        <w:top w:val="none" w:sz="0" w:space="0" w:color="auto"/>
        <w:left w:val="none" w:sz="0" w:space="0" w:color="auto"/>
        <w:bottom w:val="none" w:sz="0" w:space="0" w:color="auto"/>
        <w:right w:val="none" w:sz="0" w:space="0" w:color="auto"/>
      </w:divBdr>
    </w:div>
    <w:div w:id="1523545211">
      <w:bodyDiv w:val="1"/>
      <w:marLeft w:val="0"/>
      <w:marRight w:val="0"/>
      <w:marTop w:val="0"/>
      <w:marBottom w:val="0"/>
      <w:divBdr>
        <w:top w:val="none" w:sz="0" w:space="0" w:color="auto"/>
        <w:left w:val="none" w:sz="0" w:space="0" w:color="auto"/>
        <w:bottom w:val="none" w:sz="0" w:space="0" w:color="auto"/>
        <w:right w:val="none" w:sz="0" w:space="0" w:color="auto"/>
      </w:divBdr>
    </w:div>
    <w:div w:id="1556576535">
      <w:bodyDiv w:val="1"/>
      <w:marLeft w:val="0"/>
      <w:marRight w:val="0"/>
      <w:marTop w:val="0"/>
      <w:marBottom w:val="0"/>
      <w:divBdr>
        <w:top w:val="none" w:sz="0" w:space="0" w:color="auto"/>
        <w:left w:val="none" w:sz="0" w:space="0" w:color="auto"/>
        <w:bottom w:val="none" w:sz="0" w:space="0" w:color="auto"/>
        <w:right w:val="none" w:sz="0" w:space="0" w:color="auto"/>
      </w:divBdr>
    </w:div>
    <w:div w:id="1654523143">
      <w:bodyDiv w:val="1"/>
      <w:marLeft w:val="0"/>
      <w:marRight w:val="0"/>
      <w:marTop w:val="0"/>
      <w:marBottom w:val="0"/>
      <w:divBdr>
        <w:top w:val="none" w:sz="0" w:space="0" w:color="auto"/>
        <w:left w:val="none" w:sz="0" w:space="0" w:color="auto"/>
        <w:bottom w:val="none" w:sz="0" w:space="0" w:color="auto"/>
        <w:right w:val="none" w:sz="0" w:space="0" w:color="auto"/>
      </w:divBdr>
    </w:div>
    <w:div w:id="1681740291">
      <w:bodyDiv w:val="1"/>
      <w:marLeft w:val="0"/>
      <w:marRight w:val="0"/>
      <w:marTop w:val="0"/>
      <w:marBottom w:val="0"/>
      <w:divBdr>
        <w:top w:val="none" w:sz="0" w:space="0" w:color="auto"/>
        <w:left w:val="none" w:sz="0" w:space="0" w:color="auto"/>
        <w:bottom w:val="none" w:sz="0" w:space="0" w:color="auto"/>
        <w:right w:val="none" w:sz="0" w:space="0" w:color="auto"/>
      </w:divBdr>
    </w:div>
    <w:div w:id="1699813199">
      <w:bodyDiv w:val="1"/>
      <w:marLeft w:val="0"/>
      <w:marRight w:val="0"/>
      <w:marTop w:val="0"/>
      <w:marBottom w:val="0"/>
      <w:divBdr>
        <w:top w:val="none" w:sz="0" w:space="0" w:color="auto"/>
        <w:left w:val="none" w:sz="0" w:space="0" w:color="auto"/>
        <w:bottom w:val="none" w:sz="0" w:space="0" w:color="auto"/>
        <w:right w:val="none" w:sz="0" w:space="0" w:color="auto"/>
      </w:divBdr>
    </w:div>
    <w:div w:id="1717388300">
      <w:bodyDiv w:val="1"/>
      <w:marLeft w:val="0"/>
      <w:marRight w:val="0"/>
      <w:marTop w:val="0"/>
      <w:marBottom w:val="0"/>
      <w:divBdr>
        <w:top w:val="none" w:sz="0" w:space="0" w:color="auto"/>
        <w:left w:val="none" w:sz="0" w:space="0" w:color="auto"/>
        <w:bottom w:val="none" w:sz="0" w:space="0" w:color="auto"/>
        <w:right w:val="none" w:sz="0" w:space="0" w:color="auto"/>
      </w:divBdr>
    </w:div>
    <w:div w:id="1723628807">
      <w:bodyDiv w:val="1"/>
      <w:marLeft w:val="0"/>
      <w:marRight w:val="0"/>
      <w:marTop w:val="0"/>
      <w:marBottom w:val="0"/>
      <w:divBdr>
        <w:top w:val="none" w:sz="0" w:space="0" w:color="auto"/>
        <w:left w:val="none" w:sz="0" w:space="0" w:color="auto"/>
        <w:bottom w:val="none" w:sz="0" w:space="0" w:color="auto"/>
        <w:right w:val="none" w:sz="0" w:space="0" w:color="auto"/>
      </w:divBdr>
    </w:div>
    <w:div w:id="1797094408">
      <w:bodyDiv w:val="1"/>
      <w:marLeft w:val="0"/>
      <w:marRight w:val="0"/>
      <w:marTop w:val="0"/>
      <w:marBottom w:val="0"/>
      <w:divBdr>
        <w:top w:val="none" w:sz="0" w:space="0" w:color="auto"/>
        <w:left w:val="none" w:sz="0" w:space="0" w:color="auto"/>
        <w:bottom w:val="none" w:sz="0" w:space="0" w:color="auto"/>
        <w:right w:val="none" w:sz="0" w:space="0" w:color="auto"/>
      </w:divBdr>
    </w:div>
    <w:div w:id="1907648219">
      <w:bodyDiv w:val="1"/>
      <w:marLeft w:val="0"/>
      <w:marRight w:val="0"/>
      <w:marTop w:val="0"/>
      <w:marBottom w:val="0"/>
      <w:divBdr>
        <w:top w:val="none" w:sz="0" w:space="0" w:color="auto"/>
        <w:left w:val="none" w:sz="0" w:space="0" w:color="auto"/>
        <w:bottom w:val="none" w:sz="0" w:space="0" w:color="auto"/>
        <w:right w:val="none" w:sz="0" w:space="0" w:color="auto"/>
      </w:divBdr>
    </w:div>
    <w:div w:id="2072606908">
      <w:bodyDiv w:val="1"/>
      <w:marLeft w:val="0"/>
      <w:marRight w:val="0"/>
      <w:marTop w:val="0"/>
      <w:marBottom w:val="0"/>
      <w:divBdr>
        <w:top w:val="none" w:sz="0" w:space="0" w:color="auto"/>
        <w:left w:val="none" w:sz="0" w:space="0" w:color="auto"/>
        <w:bottom w:val="none" w:sz="0" w:space="0" w:color="auto"/>
        <w:right w:val="none" w:sz="0" w:space="0" w:color="auto"/>
      </w:divBdr>
    </w:div>
    <w:div w:id="212731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7835-4E2E-4CCA-90E5-A8E0C1DE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2859</Words>
  <Characters>16301</Characters>
  <Application>Microsoft Office Word</Application>
  <DocSecurity>0</DocSecurity>
  <Lines>135</Lines>
  <Paragraphs>38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ioana.paslaru</dc:creator>
  <cp:keywords/>
  <cp:lastModifiedBy>george_c</cp:lastModifiedBy>
  <cp:revision>2</cp:revision>
  <cp:lastPrinted>2015-12-31T09:28:00Z</cp:lastPrinted>
  <dcterms:created xsi:type="dcterms:W3CDTF">2016-06-14T08:18:00Z</dcterms:created>
  <dcterms:modified xsi:type="dcterms:W3CDTF">2016-06-14T08:18:00Z</dcterms:modified>
</cp:coreProperties>
</file>