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93" w:rsidRDefault="008C6493" w:rsidP="00DA1CC5">
      <w:pPr>
        <w:spacing w:after="0" w:line="240" w:lineRule="auto"/>
        <w:jc w:val="right"/>
        <w:rPr>
          <w:sz w:val="24"/>
          <w:szCs w:val="24"/>
          <w:lang w:val="ro-RO"/>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76.7pt;margin-top:-2.8pt;width:621pt;height:27.1pt;z-index:251657728" fillcolor="#06c" strokecolor="blue">
            <v:textbox style="mso-next-textbox:#_x0000_s1026">
              <w:txbxContent>
                <w:p w:rsidR="008C6493" w:rsidRPr="00F6748C" w:rsidRDefault="00F6748C" w:rsidP="008C6493">
                  <w:pPr>
                    <w:jc w:val="center"/>
                    <w:rPr>
                      <w:rFonts w:ascii="Arial" w:hAnsi="Arial" w:cs="Arial"/>
                      <w:color w:val="FFFFFF"/>
                      <w:sz w:val="40"/>
                      <w:szCs w:val="40"/>
                    </w:rPr>
                  </w:pPr>
                  <w:r>
                    <w:rPr>
                      <w:rFonts w:ascii="Arial" w:hAnsi="Arial" w:cs="Arial"/>
                      <w:color w:val="FFFFFF"/>
                      <w:sz w:val="40"/>
                      <w:szCs w:val="40"/>
                    </w:rPr>
                    <w:t>Comitetul de monitorizare POCU 2014-2020</w:t>
                  </w:r>
                </w:p>
              </w:txbxContent>
            </v:textbox>
          </v:shape>
        </w:pict>
      </w:r>
    </w:p>
    <w:p w:rsidR="008C6493" w:rsidRDefault="008C6493" w:rsidP="00DA1CC5">
      <w:pPr>
        <w:spacing w:after="0" w:line="240" w:lineRule="auto"/>
        <w:jc w:val="right"/>
        <w:rPr>
          <w:sz w:val="24"/>
          <w:szCs w:val="24"/>
          <w:lang w:val="ro-RO"/>
        </w:rPr>
      </w:pPr>
    </w:p>
    <w:p w:rsidR="008C6493" w:rsidRDefault="008C6493" w:rsidP="00DA1CC5">
      <w:pPr>
        <w:spacing w:after="0" w:line="240" w:lineRule="auto"/>
        <w:jc w:val="right"/>
        <w:rPr>
          <w:sz w:val="24"/>
          <w:szCs w:val="24"/>
          <w:lang w:val="ro-RO"/>
        </w:rPr>
      </w:pPr>
    </w:p>
    <w:p w:rsidR="006F2056" w:rsidRPr="006E074D" w:rsidRDefault="006624D1" w:rsidP="00DA1CC5">
      <w:pPr>
        <w:spacing w:after="0" w:line="240" w:lineRule="auto"/>
        <w:jc w:val="right"/>
        <w:rPr>
          <w:sz w:val="24"/>
          <w:szCs w:val="24"/>
          <w:lang w:val="ro-RO"/>
        </w:rPr>
      </w:pPr>
      <w:r w:rsidRPr="006E074D">
        <w:rPr>
          <w:sz w:val="24"/>
          <w:szCs w:val="24"/>
          <w:lang w:val="ro-RO"/>
        </w:rPr>
        <w:t xml:space="preserve">București, </w:t>
      </w:r>
      <w:r w:rsidR="00F6748C">
        <w:rPr>
          <w:sz w:val="24"/>
          <w:szCs w:val="24"/>
          <w:lang w:val="ro-RO"/>
        </w:rPr>
        <w:t>8</w:t>
      </w:r>
      <w:r w:rsidR="000728D5" w:rsidRPr="006E074D">
        <w:rPr>
          <w:sz w:val="24"/>
          <w:szCs w:val="24"/>
          <w:lang w:val="ro-RO"/>
        </w:rPr>
        <w:t xml:space="preserve"> </w:t>
      </w:r>
      <w:r w:rsidR="00F6748C">
        <w:rPr>
          <w:sz w:val="24"/>
          <w:szCs w:val="24"/>
          <w:lang w:val="ro-RO"/>
        </w:rPr>
        <w:t>iun</w:t>
      </w:r>
      <w:r w:rsidR="00B11E64">
        <w:rPr>
          <w:sz w:val="24"/>
          <w:szCs w:val="24"/>
          <w:lang w:val="ro-RO"/>
        </w:rPr>
        <w:t>ie</w:t>
      </w:r>
      <w:r w:rsidR="000728D5" w:rsidRPr="006E074D">
        <w:rPr>
          <w:sz w:val="24"/>
          <w:szCs w:val="24"/>
          <w:lang w:val="ro-RO"/>
        </w:rPr>
        <w:t xml:space="preserve"> 201</w:t>
      </w:r>
      <w:r w:rsidR="00F6748C">
        <w:rPr>
          <w:sz w:val="24"/>
          <w:szCs w:val="24"/>
          <w:lang w:val="ro-RO"/>
        </w:rPr>
        <w:t>6</w:t>
      </w:r>
    </w:p>
    <w:p w:rsidR="00EB2FE7" w:rsidRPr="006E074D" w:rsidRDefault="00EB2FE7" w:rsidP="00DA1CC5">
      <w:pPr>
        <w:spacing w:after="0" w:line="240" w:lineRule="auto"/>
        <w:jc w:val="right"/>
        <w:rPr>
          <w:rStyle w:val="yiv5109588034"/>
          <w:sz w:val="24"/>
          <w:szCs w:val="24"/>
          <w:lang w:val="ro-RO"/>
        </w:rPr>
      </w:pPr>
    </w:p>
    <w:p w:rsidR="00116DB4" w:rsidRPr="00D86FB0" w:rsidRDefault="00116DB4" w:rsidP="00116DB4">
      <w:pPr>
        <w:shd w:val="clear" w:color="auto" w:fill="FFFFFF"/>
        <w:spacing w:after="0"/>
        <w:jc w:val="center"/>
        <w:rPr>
          <w:rFonts w:ascii="Times New Roman" w:eastAsia="Times New Roman" w:hAnsi="Times New Roman"/>
          <w:b/>
          <w:bCs/>
          <w:color w:val="000000"/>
          <w:sz w:val="16"/>
          <w:szCs w:val="16"/>
          <w:lang w:val="es-ES"/>
        </w:rPr>
      </w:pPr>
    </w:p>
    <w:p w:rsidR="000B672D" w:rsidRPr="000B672D" w:rsidRDefault="000B672D" w:rsidP="000B672D">
      <w:pPr>
        <w:spacing w:after="0" w:line="240" w:lineRule="auto"/>
        <w:jc w:val="center"/>
        <w:rPr>
          <w:b/>
          <w:sz w:val="24"/>
          <w:szCs w:val="24"/>
          <w:lang w:val="ro-RO"/>
        </w:rPr>
      </w:pPr>
      <w:r w:rsidRPr="000B672D">
        <w:rPr>
          <w:b/>
          <w:sz w:val="24"/>
          <w:szCs w:val="24"/>
          <w:lang w:val="ro-RO"/>
        </w:rPr>
        <w:t>Notă anuală privind evaluarea POCU 2014 – 2020</w:t>
      </w:r>
    </w:p>
    <w:p w:rsidR="000B672D" w:rsidRPr="000B672D" w:rsidRDefault="000B672D" w:rsidP="000B672D">
      <w:pPr>
        <w:spacing w:after="0" w:line="240" w:lineRule="auto"/>
        <w:jc w:val="both"/>
        <w:rPr>
          <w:b/>
          <w:sz w:val="24"/>
          <w:szCs w:val="24"/>
          <w:lang w:val="ro-RO"/>
        </w:rPr>
      </w:pPr>
    </w:p>
    <w:p w:rsidR="000B672D" w:rsidRDefault="000B672D" w:rsidP="000B672D">
      <w:pPr>
        <w:spacing w:after="0" w:line="240" w:lineRule="auto"/>
        <w:jc w:val="both"/>
        <w:rPr>
          <w:sz w:val="24"/>
          <w:szCs w:val="24"/>
          <w:lang w:val="ro-RO"/>
        </w:rPr>
      </w:pPr>
      <w:r w:rsidRPr="000B672D">
        <w:rPr>
          <w:sz w:val="24"/>
          <w:szCs w:val="24"/>
          <w:lang w:val="ro-RO"/>
        </w:rPr>
        <w:t xml:space="preserve">Conform prevederilor Planului de Evaluare POCU 2014-2020, Direcția Generală de Analiză, Programare și Evaluare </w:t>
      </w:r>
      <w:r>
        <w:rPr>
          <w:sz w:val="24"/>
          <w:szCs w:val="24"/>
          <w:lang w:val="ro-RO"/>
        </w:rPr>
        <w:t xml:space="preserve">din cadrul MFE </w:t>
      </w:r>
      <w:r w:rsidRPr="000B672D">
        <w:rPr>
          <w:sz w:val="24"/>
          <w:szCs w:val="24"/>
          <w:lang w:val="ro-RO"/>
        </w:rPr>
        <w:t>are obligația de a raporta anual CM POCU 2014-2020 prin intermediul unei Note</w:t>
      </w:r>
      <w:r>
        <w:rPr>
          <w:sz w:val="24"/>
          <w:szCs w:val="24"/>
          <w:lang w:val="ro-RO"/>
        </w:rPr>
        <w:t>,</w:t>
      </w:r>
      <w:r w:rsidRPr="000B672D">
        <w:rPr>
          <w:sz w:val="24"/>
          <w:szCs w:val="24"/>
          <w:lang w:val="ro-RO"/>
        </w:rPr>
        <w:t xml:space="preserve"> informații referitoare la stadiul implementării Planului de evaluare.  </w:t>
      </w:r>
    </w:p>
    <w:p w:rsidR="000B672D" w:rsidRDefault="000B672D" w:rsidP="000B672D">
      <w:pPr>
        <w:spacing w:after="0" w:line="240" w:lineRule="auto"/>
        <w:jc w:val="both"/>
        <w:rPr>
          <w:sz w:val="24"/>
          <w:szCs w:val="24"/>
          <w:lang w:val="ro-RO"/>
        </w:rPr>
      </w:pPr>
    </w:p>
    <w:p w:rsidR="000B672D" w:rsidRDefault="000B672D" w:rsidP="000B672D">
      <w:pPr>
        <w:spacing w:after="0" w:line="240" w:lineRule="auto"/>
        <w:jc w:val="both"/>
        <w:rPr>
          <w:sz w:val="24"/>
          <w:szCs w:val="24"/>
          <w:lang w:val="ro-RO"/>
        </w:rPr>
      </w:pPr>
      <w:r w:rsidRPr="000B672D">
        <w:rPr>
          <w:sz w:val="24"/>
          <w:szCs w:val="24"/>
          <w:lang w:val="ro-RO"/>
        </w:rPr>
        <w:t xml:space="preserve">Perioada de referință a prezentei Note de Evaluare este 25 noiembrie 2015 – 13 mai 2016. Astfel, în acord cu prevederile </w:t>
      </w:r>
      <w:r>
        <w:rPr>
          <w:sz w:val="24"/>
          <w:szCs w:val="24"/>
          <w:lang w:val="ro-RO"/>
        </w:rPr>
        <w:t xml:space="preserve">Planului de evaluare și </w:t>
      </w:r>
      <w:r w:rsidRPr="000B672D">
        <w:rPr>
          <w:sz w:val="24"/>
          <w:szCs w:val="24"/>
          <w:lang w:val="ro-RO"/>
        </w:rPr>
        <w:t>procedurii operaționale PO-DGAPE-03, Direcția Generală de Analiză, Programare și Evaluare informează membrii Comitetului de Monitorizare POCU 2014-2020 privind evoluția implementării Planului de Evaluare POCU în baza următoarelor puncte:</w:t>
      </w:r>
    </w:p>
    <w:p w:rsidR="000B672D" w:rsidRPr="000B672D" w:rsidRDefault="000B672D" w:rsidP="000B672D">
      <w:pPr>
        <w:spacing w:after="0" w:line="240" w:lineRule="auto"/>
        <w:jc w:val="both"/>
        <w:rPr>
          <w:sz w:val="24"/>
          <w:szCs w:val="24"/>
          <w:lang w:val="ro-RO"/>
        </w:rPr>
      </w:pPr>
    </w:p>
    <w:p w:rsidR="000B672D" w:rsidRPr="000B672D" w:rsidRDefault="000B672D" w:rsidP="000B672D">
      <w:pPr>
        <w:numPr>
          <w:ilvl w:val="0"/>
          <w:numId w:val="24"/>
        </w:numPr>
        <w:spacing w:after="0" w:line="240" w:lineRule="auto"/>
        <w:jc w:val="both"/>
        <w:rPr>
          <w:b/>
          <w:sz w:val="24"/>
          <w:szCs w:val="24"/>
          <w:lang w:val="ro-RO"/>
        </w:rPr>
      </w:pPr>
      <w:r w:rsidRPr="000B672D">
        <w:rPr>
          <w:b/>
          <w:sz w:val="24"/>
          <w:szCs w:val="24"/>
          <w:lang w:val="ro-RO"/>
        </w:rPr>
        <w:t>Evaluările și activitățile de evaluare planificate</w:t>
      </w:r>
    </w:p>
    <w:p w:rsidR="000B672D" w:rsidRDefault="000B672D" w:rsidP="000B672D">
      <w:pPr>
        <w:spacing w:after="0" w:line="240" w:lineRule="auto"/>
        <w:jc w:val="both"/>
        <w:rPr>
          <w:sz w:val="24"/>
          <w:szCs w:val="24"/>
          <w:lang w:val="ro-RO"/>
        </w:rPr>
      </w:pPr>
    </w:p>
    <w:p w:rsidR="000B672D" w:rsidRPr="000B672D" w:rsidRDefault="000B672D" w:rsidP="000B672D">
      <w:pPr>
        <w:spacing w:after="0" w:line="240" w:lineRule="auto"/>
        <w:jc w:val="both"/>
        <w:rPr>
          <w:sz w:val="24"/>
          <w:szCs w:val="24"/>
          <w:lang w:val="ro-RO"/>
        </w:rPr>
      </w:pPr>
      <w:r w:rsidRPr="000B672D">
        <w:rPr>
          <w:sz w:val="24"/>
          <w:szCs w:val="24"/>
          <w:lang w:val="ro-RO"/>
        </w:rPr>
        <w:t>În cadrul reuniunii din 25 noiembrie 2015</w:t>
      </w:r>
      <w:r>
        <w:rPr>
          <w:sz w:val="24"/>
          <w:szCs w:val="24"/>
          <w:lang w:val="ro-RO"/>
        </w:rPr>
        <w:t>,</w:t>
      </w:r>
      <w:r w:rsidRPr="000B672D">
        <w:rPr>
          <w:sz w:val="24"/>
          <w:szCs w:val="24"/>
          <w:lang w:val="ro-RO"/>
        </w:rPr>
        <w:t xml:space="preserve"> CM POCU a aprobat Planul de Evaluare a POCU 2014-2020, care stabilește modul de organizare a evaluărilor în timpul perioadei de programare 2014-2020 în cadrul POCU. Planul cuprinde 21 de teme de evaluare care sunt grupate pe următoarele patru domenii de intervenție: Ocupare, Incluziune socială, Educație și Asistență Tehnică. </w:t>
      </w:r>
    </w:p>
    <w:p w:rsidR="000B672D" w:rsidRDefault="000B672D" w:rsidP="000B672D">
      <w:pPr>
        <w:spacing w:after="0" w:line="240" w:lineRule="auto"/>
        <w:jc w:val="both"/>
        <w:rPr>
          <w:sz w:val="24"/>
          <w:szCs w:val="24"/>
          <w:lang w:val="ro-RO"/>
        </w:rPr>
      </w:pPr>
    </w:p>
    <w:p w:rsidR="000B672D" w:rsidRPr="000B672D" w:rsidRDefault="000B672D" w:rsidP="000B672D">
      <w:pPr>
        <w:spacing w:after="0" w:line="240" w:lineRule="auto"/>
        <w:jc w:val="both"/>
        <w:rPr>
          <w:sz w:val="24"/>
          <w:szCs w:val="24"/>
          <w:lang w:val="ro-RO"/>
        </w:rPr>
      </w:pPr>
      <w:r w:rsidRPr="000B672D">
        <w:rPr>
          <w:sz w:val="24"/>
          <w:szCs w:val="24"/>
          <w:lang w:val="ro-RO"/>
        </w:rPr>
        <w:t>Pentru sprijinirea realizării evaluărilor prevăzute în Planul de Evaluare, DGAPE derulează proiectul „Implementarea Planului de Evaluare a Programului Operațional Capital Uman 2014-2020”. Perioada de implementare a proiectului este martie 2016 - 31 decembrie 2023 și este finanțat prin POCU, AP 7 Asistență Tehnică. Valoarea asistenței financiare nerambursabile solicitate este de 23.458.806,22 lei. În cadrul proiectului vor fi realizate 13 exerciții de evaluare planificate pentru anii 2016</w:t>
      </w:r>
      <w:r>
        <w:rPr>
          <w:sz w:val="24"/>
          <w:szCs w:val="24"/>
          <w:lang w:val="ro-RO"/>
        </w:rPr>
        <w:t xml:space="preserve"> (Evaluarea YEI)</w:t>
      </w:r>
      <w:r w:rsidRPr="000B672D">
        <w:rPr>
          <w:sz w:val="24"/>
          <w:szCs w:val="24"/>
          <w:lang w:val="ro-RO"/>
        </w:rPr>
        <w:t>, 2017, 2018, 2019 și 2023.</w:t>
      </w:r>
    </w:p>
    <w:p w:rsidR="000B672D" w:rsidRPr="000B672D" w:rsidRDefault="000B672D" w:rsidP="000B672D">
      <w:pPr>
        <w:spacing w:after="0" w:line="240" w:lineRule="auto"/>
        <w:jc w:val="both"/>
        <w:rPr>
          <w:sz w:val="24"/>
          <w:szCs w:val="24"/>
          <w:lang w:val="ro-RO"/>
        </w:rPr>
      </w:pPr>
    </w:p>
    <w:p w:rsidR="000B672D" w:rsidRPr="000B672D" w:rsidRDefault="000B672D" w:rsidP="000B672D">
      <w:pPr>
        <w:numPr>
          <w:ilvl w:val="0"/>
          <w:numId w:val="24"/>
        </w:numPr>
        <w:spacing w:after="0" w:line="240" w:lineRule="auto"/>
        <w:jc w:val="both"/>
        <w:rPr>
          <w:b/>
          <w:sz w:val="24"/>
          <w:szCs w:val="24"/>
          <w:lang w:val="ro-RO"/>
        </w:rPr>
      </w:pPr>
      <w:r w:rsidRPr="000B672D">
        <w:rPr>
          <w:b/>
          <w:sz w:val="24"/>
          <w:szCs w:val="24"/>
          <w:lang w:val="ro-RO"/>
        </w:rPr>
        <w:t>Utilizarea evaluărilor, stadiul implementării recomandărilor și comunicarea rezultatelor pe parcursul anului de referință</w:t>
      </w:r>
    </w:p>
    <w:p w:rsidR="000B672D" w:rsidRDefault="000B672D" w:rsidP="000B672D">
      <w:pPr>
        <w:spacing w:after="0" w:line="240" w:lineRule="auto"/>
        <w:jc w:val="both"/>
        <w:rPr>
          <w:sz w:val="24"/>
          <w:szCs w:val="24"/>
          <w:lang w:val="ro-RO"/>
        </w:rPr>
      </w:pPr>
    </w:p>
    <w:p w:rsidR="000B672D" w:rsidRPr="000B672D" w:rsidRDefault="000B672D" w:rsidP="000B672D">
      <w:pPr>
        <w:spacing w:after="0" w:line="240" w:lineRule="auto"/>
        <w:jc w:val="both"/>
        <w:rPr>
          <w:sz w:val="24"/>
          <w:szCs w:val="24"/>
          <w:lang w:val="ro-RO"/>
        </w:rPr>
      </w:pPr>
      <w:r w:rsidRPr="000B672D">
        <w:rPr>
          <w:sz w:val="24"/>
          <w:szCs w:val="24"/>
          <w:lang w:val="ro-RO"/>
        </w:rPr>
        <w:t>Dat fiind faptul că de la adoptarea Planului de evaluare până la momentul redactării prezentei note s-au consumat numai 6 luni, fără a se finaliza primul exercițiu de evaluare prevăzut pentru acest semestru (Evaluarea YEI), nu există informații care s</w:t>
      </w:r>
      <w:r>
        <w:rPr>
          <w:sz w:val="24"/>
          <w:szCs w:val="24"/>
          <w:lang w:val="ro-RO"/>
        </w:rPr>
        <w:t xml:space="preserve">ă fie relatate la acest punct. </w:t>
      </w:r>
      <w:r w:rsidRPr="000B672D">
        <w:rPr>
          <w:sz w:val="24"/>
          <w:szCs w:val="24"/>
          <w:lang w:val="ro-RO"/>
        </w:rPr>
        <w:t>Informațiile referitoare la acest punct vor putea fi relatate în următoarea notă anuală privind evaluarea POCU 2014-2020, planificată pentru primul CM POCU 2014-2020 care va fi organizat în 2017.</w:t>
      </w:r>
    </w:p>
    <w:p w:rsidR="000B672D" w:rsidRPr="000B672D" w:rsidRDefault="000B672D" w:rsidP="000B672D">
      <w:pPr>
        <w:spacing w:after="0" w:line="240" w:lineRule="auto"/>
        <w:jc w:val="both"/>
        <w:rPr>
          <w:sz w:val="24"/>
          <w:szCs w:val="24"/>
          <w:lang w:val="ro-RO"/>
        </w:rPr>
      </w:pPr>
    </w:p>
    <w:p w:rsidR="000B672D" w:rsidRPr="000B672D" w:rsidRDefault="000B672D" w:rsidP="000B672D">
      <w:pPr>
        <w:numPr>
          <w:ilvl w:val="0"/>
          <w:numId w:val="24"/>
        </w:numPr>
        <w:spacing w:after="0" w:line="240" w:lineRule="auto"/>
        <w:jc w:val="both"/>
        <w:rPr>
          <w:b/>
          <w:sz w:val="24"/>
          <w:szCs w:val="24"/>
          <w:lang w:val="ro-RO"/>
        </w:rPr>
      </w:pPr>
      <w:r w:rsidRPr="000B672D">
        <w:rPr>
          <w:b/>
          <w:sz w:val="24"/>
          <w:szCs w:val="24"/>
          <w:lang w:val="ro-RO"/>
        </w:rPr>
        <w:t>Evaluările și activitățile de evaluare implementate pe parcursul anului de referință</w:t>
      </w:r>
    </w:p>
    <w:p w:rsidR="000B672D" w:rsidRDefault="000B672D" w:rsidP="000B672D">
      <w:pPr>
        <w:spacing w:after="0" w:line="240" w:lineRule="auto"/>
        <w:jc w:val="both"/>
        <w:rPr>
          <w:sz w:val="24"/>
          <w:szCs w:val="24"/>
          <w:lang w:val="ro-RO"/>
        </w:rPr>
      </w:pPr>
    </w:p>
    <w:p w:rsidR="000B672D" w:rsidRPr="000B672D" w:rsidRDefault="000B672D" w:rsidP="000B672D">
      <w:pPr>
        <w:spacing w:after="0" w:line="240" w:lineRule="auto"/>
        <w:jc w:val="both"/>
        <w:rPr>
          <w:sz w:val="24"/>
          <w:szCs w:val="24"/>
          <w:lang w:val="ro-RO"/>
        </w:rPr>
      </w:pPr>
      <w:r w:rsidRPr="000B672D">
        <w:rPr>
          <w:sz w:val="24"/>
          <w:szCs w:val="24"/>
          <w:lang w:val="ro-RO"/>
        </w:rPr>
        <w:t>În vederea implementării Planului de Evaluare a POCU 2014-2020, după aprobarea acestuia, DGAPE a redactat o cerere de finanțare în cadrul AP 7 „Asistență Tehnică” din  POCU. Obiectivul general al proiectului „Implementarea Planului de Evaluare a Programului Operațional Capital Uman 2014-2020” este de a facilita un management informat al POCU 2014-2020 și adoptarea deciziilor pe bază de dovezi, iar obiectivul specific urmărește implementarea Planului de Evaluare a POCU 2014-2020. Cererea de finanțare a fost aprobată de DG POCU prin Decizia cu nr. 30 din 17 martie 2016. Astfel, cele 13 evaluări specifice POCU programate pentru perioada financiară 2014-2020 vor fi realizate în cadrul acestui proiect.</w:t>
      </w:r>
    </w:p>
    <w:p w:rsidR="000B672D" w:rsidRDefault="000B672D" w:rsidP="000B672D">
      <w:pPr>
        <w:spacing w:after="0" w:line="240" w:lineRule="auto"/>
        <w:jc w:val="both"/>
        <w:rPr>
          <w:sz w:val="24"/>
          <w:szCs w:val="24"/>
          <w:lang w:val="ro-RO"/>
        </w:rPr>
      </w:pPr>
    </w:p>
    <w:p w:rsidR="000B672D" w:rsidRDefault="000B672D" w:rsidP="000B672D">
      <w:pPr>
        <w:spacing w:after="0" w:line="240" w:lineRule="auto"/>
        <w:jc w:val="both"/>
        <w:rPr>
          <w:sz w:val="24"/>
          <w:szCs w:val="24"/>
          <w:lang w:val="ro-RO"/>
        </w:rPr>
      </w:pPr>
      <w:r w:rsidRPr="000B672D">
        <w:rPr>
          <w:sz w:val="24"/>
          <w:szCs w:val="24"/>
          <w:lang w:val="ro-RO"/>
        </w:rPr>
        <w:t>Una dintre prioritățile pentru perioada de referință a DGAPE a constat în constituirea Comitetului de Coordonare a Evaluării pentru POCU 2014-2020 (CCE POCU). DGAPE a identificat și trimis invitații de solicitare a interesului de participare în cadrul CEE către o serie de instituții publice sau parteneri economici și sociali cu experiență în domeniul evaluării intervențiilor publice specifice POCU</w:t>
      </w:r>
      <w:r>
        <w:rPr>
          <w:sz w:val="24"/>
          <w:szCs w:val="24"/>
          <w:lang w:val="ro-RO"/>
        </w:rPr>
        <w:t>, prevăzuți în Planul de evaluare</w:t>
      </w:r>
      <w:r w:rsidRPr="000B672D">
        <w:rPr>
          <w:sz w:val="24"/>
          <w:szCs w:val="24"/>
          <w:lang w:val="ro-RO"/>
        </w:rPr>
        <w:t xml:space="preserve">. Astfel, </w:t>
      </w:r>
      <w:r w:rsidRPr="000B672D">
        <w:rPr>
          <w:b/>
          <w:sz w:val="24"/>
          <w:szCs w:val="24"/>
          <w:lang w:val="ro-RO"/>
        </w:rPr>
        <w:t xml:space="preserve"> </w:t>
      </w:r>
      <w:r w:rsidRPr="000B672D">
        <w:rPr>
          <w:sz w:val="24"/>
          <w:szCs w:val="24"/>
          <w:lang w:val="ro-RO"/>
        </w:rPr>
        <w:t>la acest moment</w:t>
      </w:r>
      <w:r>
        <w:rPr>
          <w:sz w:val="24"/>
          <w:szCs w:val="24"/>
          <w:lang w:val="ro-RO"/>
        </w:rPr>
        <w:t>,</w:t>
      </w:r>
      <w:r w:rsidRPr="000B672D">
        <w:rPr>
          <w:sz w:val="24"/>
          <w:szCs w:val="24"/>
          <w:lang w:val="ro-RO"/>
        </w:rPr>
        <w:t xml:space="preserve"> din CCE fac parte 23 membri instituționali, reprezentând principalii factori interesați de evaluare, instituții publice sau parteneri economici și sociali, care sunt interesați de rezultatele evaluării sau sunt esențiali pentru realizarea evaluării planificate, cum ar fi de exemplu furnizorii de date. În perioada de referință CCE POCU 2014-2020 s-a reunit în două ședințe (31 martie și 5 mai 2016), care pot fi caracterizate cu un grad ridicat de participare.  În cadrul celor două ședințe discuțiile au fost constructive și de impact asupra procesului de îmbunătățire a documentelor/aspectelor supuse dezbaterii sau consultării.</w:t>
      </w:r>
    </w:p>
    <w:p w:rsidR="000B672D" w:rsidRPr="000B672D" w:rsidRDefault="000B672D" w:rsidP="000B672D">
      <w:pPr>
        <w:spacing w:after="0" w:line="240" w:lineRule="auto"/>
        <w:jc w:val="both"/>
        <w:rPr>
          <w:iCs/>
          <w:sz w:val="24"/>
          <w:szCs w:val="24"/>
          <w:lang w:val="ro-RO"/>
        </w:rPr>
      </w:pPr>
    </w:p>
    <w:p w:rsidR="000B672D" w:rsidRDefault="000B672D" w:rsidP="000B672D">
      <w:pPr>
        <w:spacing w:after="0" w:line="240" w:lineRule="auto"/>
        <w:jc w:val="both"/>
        <w:rPr>
          <w:sz w:val="24"/>
          <w:szCs w:val="24"/>
          <w:lang w:val="ro-RO"/>
        </w:rPr>
      </w:pPr>
      <w:r w:rsidRPr="000B672D">
        <w:rPr>
          <w:sz w:val="24"/>
          <w:szCs w:val="24"/>
          <w:lang w:val="ro-RO"/>
        </w:rPr>
        <w:t>În perioada decembrie 2015 – martie 2016, DGAPE  a elaborat documentația de atribuire (referatele de necesitate, caietele de sarcini, notele justificative privind alegerea criteriilor de atribuire și a factorilor de evaluare, precum și notele privind determinarea valorii estimate)  aferente celor patru domenii de intervenții abordate în Planul de Evaluare POCU. Caietele de sarcini și notele justificative privind alegerea criteriilor de atribuire și a factorilor de evaluare au fost prezentate și agreate în cadrul Comitetului de Coordonare al Evaluării POCU, unde au generat dezbateri fructuoase. În urma dezbaterilor și recomandărilor/sugestiilor primite din partea membrilor CCE</w:t>
      </w:r>
      <w:r>
        <w:rPr>
          <w:sz w:val="24"/>
          <w:szCs w:val="24"/>
          <w:lang w:val="ro-RO"/>
        </w:rPr>
        <w:t>,</w:t>
      </w:r>
      <w:r w:rsidRPr="000B672D">
        <w:rPr>
          <w:sz w:val="24"/>
          <w:szCs w:val="24"/>
          <w:lang w:val="ro-RO"/>
        </w:rPr>
        <w:t xml:space="preserve"> dar și a reprezentanților altor direcții din cadrul MFE</w:t>
      </w:r>
      <w:r>
        <w:rPr>
          <w:sz w:val="24"/>
          <w:szCs w:val="24"/>
          <w:lang w:val="ro-RO"/>
        </w:rPr>
        <w:t>,</w:t>
      </w:r>
      <w:r w:rsidRPr="000B672D">
        <w:rPr>
          <w:sz w:val="24"/>
          <w:szCs w:val="24"/>
          <w:lang w:val="ro-RO"/>
        </w:rPr>
        <w:t xml:space="preserve"> caietele de sarcini și notele justificative privind alegerea criteriilor de atribuire și a factorilor de evaluare au fost îmbunătățite.</w:t>
      </w:r>
    </w:p>
    <w:p w:rsidR="000B672D" w:rsidRPr="000B672D" w:rsidRDefault="000B672D" w:rsidP="000B672D">
      <w:pPr>
        <w:spacing w:after="0" w:line="240" w:lineRule="auto"/>
        <w:jc w:val="both"/>
        <w:rPr>
          <w:sz w:val="24"/>
          <w:szCs w:val="24"/>
          <w:lang w:val="ro-RO"/>
        </w:rPr>
      </w:pPr>
    </w:p>
    <w:p w:rsidR="000B672D" w:rsidRDefault="000B672D" w:rsidP="000B672D">
      <w:pPr>
        <w:spacing w:after="0" w:line="240" w:lineRule="auto"/>
        <w:jc w:val="both"/>
        <w:rPr>
          <w:sz w:val="24"/>
          <w:szCs w:val="24"/>
          <w:lang w:val="ro-RO"/>
        </w:rPr>
      </w:pPr>
      <w:r w:rsidRPr="000B672D">
        <w:rPr>
          <w:sz w:val="24"/>
          <w:szCs w:val="24"/>
          <w:lang w:val="ro-RO"/>
        </w:rPr>
        <w:t>La momentul redactării prezentei Note</w:t>
      </w:r>
      <w:r>
        <w:rPr>
          <w:sz w:val="24"/>
          <w:szCs w:val="24"/>
          <w:lang w:val="ro-RO"/>
        </w:rPr>
        <w:t>,</w:t>
      </w:r>
      <w:r w:rsidRPr="000B672D">
        <w:rPr>
          <w:sz w:val="24"/>
          <w:szCs w:val="24"/>
          <w:lang w:val="ro-RO"/>
        </w:rPr>
        <w:t xml:space="preserve"> documentațiile de atribuire se aflau pe circuitul intern de avizare în vederea l</w:t>
      </w:r>
      <w:r>
        <w:rPr>
          <w:sz w:val="24"/>
          <w:szCs w:val="24"/>
          <w:lang w:val="ro-RO"/>
        </w:rPr>
        <w:t>ansării procedurii de achiziție</w:t>
      </w:r>
      <w:r w:rsidRPr="000B672D">
        <w:rPr>
          <w:sz w:val="24"/>
          <w:szCs w:val="24"/>
          <w:lang w:val="ro-RO"/>
        </w:rPr>
        <w:t>. Conform calendarului orientativ, în semestrul IV al anului curent</w:t>
      </w:r>
      <w:r>
        <w:rPr>
          <w:sz w:val="24"/>
          <w:szCs w:val="24"/>
          <w:lang w:val="ro-RO"/>
        </w:rPr>
        <w:t>,</w:t>
      </w:r>
      <w:r w:rsidRPr="000B672D">
        <w:rPr>
          <w:sz w:val="24"/>
          <w:szCs w:val="24"/>
          <w:lang w:val="ro-RO"/>
        </w:rPr>
        <w:t xml:space="preserve"> evaluatorii externi ce vor fi contractați vor trebui să redacteze și să prezinte rapoartele inițiale aferente celor patru domenii evaluate.</w:t>
      </w:r>
    </w:p>
    <w:p w:rsidR="000B672D" w:rsidRPr="000B672D" w:rsidRDefault="000B672D" w:rsidP="000B672D">
      <w:pPr>
        <w:spacing w:after="0" w:line="240" w:lineRule="auto"/>
        <w:jc w:val="both"/>
        <w:rPr>
          <w:sz w:val="24"/>
          <w:szCs w:val="24"/>
          <w:lang w:val="ro-RO"/>
        </w:rPr>
      </w:pPr>
    </w:p>
    <w:p w:rsidR="000B672D" w:rsidRPr="000B672D" w:rsidRDefault="000B672D" w:rsidP="000B672D">
      <w:pPr>
        <w:spacing w:after="0" w:line="240" w:lineRule="auto"/>
        <w:jc w:val="both"/>
        <w:rPr>
          <w:sz w:val="24"/>
          <w:szCs w:val="24"/>
          <w:lang w:val="ro-RO"/>
        </w:rPr>
      </w:pPr>
      <w:r w:rsidRPr="000B672D">
        <w:rPr>
          <w:sz w:val="24"/>
          <w:szCs w:val="24"/>
          <w:lang w:val="ro-RO"/>
        </w:rPr>
        <w:t>În ceea ce privește Evaluarea YEI, aceasta  este în derulare, iar termenul de finalizare așteptat este 30 mai 2016. Obiectivul general al evaluării este de a facilita un management informat al POCU 2014-2020 și adoptarea deciziilor pe bază de dovezi. Rolul evaluatorului este acela de a sprijini AM POCU în adoptarea măsurilor necesare care să asigure o absorbție eficace și eficientă a fondurilor alocate pentru AP 1, prin formularea de concluzii și furnizarea de recomandări privind:</w:t>
      </w:r>
    </w:p>
    <w:p w:rsidR="000B672D" w:rsidRPr="000B672D" w:rsidRDefault="000B672D" w:rsidP="000B672D">
      <w:pPr>
        <w:numPr>
          <w:ilvl w:val="0"/>
          <w:numId w:val="25"/>
        </w:numPr>
        <w:spacing w:after="0" w:line="240" w:lineRule="auto"/>
        <w:jc w:val="both"/>
        <w:rPr>
          <w:sz w:val="24"/>
          <w:szCs w:val="24"/>
          <w:lang w:val="ro-RO"/>
        </w:rPr>
      </w:pPr>
      <w:r w:rsidRPr="000B672D">
        <w:rPr>
          <w:sz w:val="24"/>
          <w:szCs w:val="24"/>
          <w:lang w:val="ro-RO"/>
        </w:rPr>
        <w:lastRenderedPageBreak/>
        <w:t xml:space="preserve">evoluția situației tinerilor NEETs de la momentul adoptării programului; </w:t>
      </w:r>
    </w:p>
    <w:p w:rsidR="000B672D" w:rsidRPr="000B672D" w:rsidRDefault="000B672D" w:rsidP="000B672D">
      <w:pPr>
        <w:numPr>
          <w:ilvl w:val="0"/>
          <w:numId w:val="25"/>
        </w:numPr>
        <w:spacing w:after="0" w:line="240" w:lineRule="auto"/>
        <w:jc w:val="both"/>
        <w:rPr>
          <w:sz w:val="24"/>
          <w:szCs w:val="24"/>
          <w:lang w:val="ro-RO"/>
        </w:rPr>
      </w:pPr>
      <w:r w:rsidRPr="000B672D">
        <w:rPr>
          <w:sz w:val="24"/>
          <w:szCs w:val="24"/>
          <w:lang w:val="ro-RO"/>
        </w:rPr>
        <w:t xml:space="preserve">mecanismele care contribuie cel mai bine la îmbunătățirea situației tinerilor NEETs, din perspectiva misiunii FSE în România; </w:t>
      </w:r>
    </w:p>
    <w:p w:rsidR="000B672D" w:rsidRPr="000B672D" w:rsidRDefault="000B672D" w:rsidP="000B672D">
      <w:pPr>
        <w:numPr>
          <w:ilvl w:val="0"/>
          <w:numId w:val="25"/>
        </w:numPr>
        <w:spacing w:after="0" w:line="240" w:lineRule="auto"/>
        <w:jc w:val="both"/>
        <w:rPr>
          <w:sz w:val="24"/>
          <w:szCs w:val="24"/>
          <w:lang w:val="ro-RO"/>
        </w:rPr>
      </w:pPr>
      <w:r w:rsidRPr="000B672D">
        <w:rPr>
          <w:sz w:val="24"/>
          <w:szCs w:val="24"/>
          <w:lang w:val="ro-RO"/>
        </w:rPr>
        <w:t>măsura în care sunt sau pot fi puse în practică mecanisme îmbunătățite pentru perioada 2014-2020.</w:t>
      </w:r>
    </w:p>
    <w:p w:rsidR="000B672D" w:rsidRPr="000B672D" w:rsidRDefault="000B672D" w:rsidP="000B672D">
      <w:pPr>
        <w:spacing w:after="0" w:line="240" w:lineRule="auto"/>
        <w:jc w:val="both"/>
        <w:rPr>
          <w:sz w:val="24"/>
          <w:szCs w:val="24"/>
          <w:lang w:val="ro-RO"/>
        </w:rPr>
      </w:pPr>
    </w:p>
    <w:p w:rsidR="000B672D" w:rsidRPr="000B672D" w:rsidRDefault="000B672D" w:rsidP="000B672D">
      <w:pPr>
        <w:numPr>
          <w:ilvl w:val="0"/>
          <w:numId w:val="24"/>
        </w:numPr>
        <w:spacing w:after="0" w:line="240" w:lineRule="auto"/>
        <w:jc w:val="both"/>
        <w:rPr>
          <w:b/>
          <w:sz w:val="24"/>
          <w:szCs w:val="24"/>
          <w:lang w:val="ro-RO"/>
        </w:rPr>
      </w:pPr>
      <w:r w:rsidRPr="000B672D">
        <w:rPr>
          <w:b/>
          <w:sz w:val="24"/>
          <w:szCs w:val="24"/>
          <w:lang w:val="ro-RO"/>
        </w:rPr>
        <w:t>Decalaje în ceea ce privește evaluările și activitățile de evaluare planificate, provocările întâmpinate și soluțiile propuse și adoptate</w:t>
      </w:r>
    </w:p>
    <w:p w:rsidR="000F17E7" w:rsidRDefault="000F17E7" w:rsidP="000B672D">
      <w:pPr>
        <w:spacing w:after="0" w:line="240" w:lineRule="auto"/>
        <w:jc w:val="both"/>
        <w:rPr>
          <w:sz w:val="24"/>
          <w:szCs w:val="24"/>
          <w:lang w:val="ro-RO"/>
        </w:rPr>
      </w:pPr>
    </w:p>
    <w:p w:rsidR="000B672D" w:rsidRPr="000B672D" w:rsidRDefault="000B672D" w:rsidP="000B672D">
      <w:pPr>
        <w:spacing w:after="0" w:line="240" w:lineRule="auto"/>
        <w:jc w:val="both"/>
        <w:rPr>
          <w:sz w:val="24"/>
          <w:szCs w:val="24"/>
          <w:lang w:val="ro-RO"/>
        </w:rPr>
      </w:pPr>
      <w:r w:rsidRPr="000B672D">
        <w:rPr>
          <w:sz w:val="24"/>
          <w:szCs w:val="24"/>
          <w:lang w:val="ro-RO"/>
        </w:rPr>
        <w:t xml:space="preserve">Pentru perioada de referință nu au fost înregistrate decalaje </w:t>
      </w:r>
      <w:r w:rsidR="00246AB3">
        <w:rPr>
          <w:sz w:val="24"/>
          <w:szCs w:val="24"/>
          <w:lang w:val="ro-RO"/>
        </w:rPr>
        <w:t xml:space="preserve">majore </w:t>
      </w:r>
      <w:r w:rsidRPr="000B672D">
        <w:rPr>
          <w:sz w:val="24"/>
          <w:szCs w:val="24"/>
          <w:lang w:val="ro-RO"/>
        </w:rPr>
        <w:t xml:space="preserve">în ceea ce privește evaluările și activitățile de evaluare planificate. Cu toate acestea, merită subliniat faptul că, având în vedere progresul limitat al implementării POCU, evaluarea YEI </w:t>
      </w:r>
      <w:r w:rsidR="00246AB3">
        <w:rPr>
          <w:sz w:val="24"/>
          <w:szCs w:val="24"/>
          <w:lang w:val="ro-RO"/>
        </w:rPr>
        <w:t xml:space="preserve">s-a decalat cu 5 luni, </w:t>
      </w:r>
      <w:r w:rsidRPr="000B672D">
        <w:rPr>
          <w:sz w:val="24"/>
          <w:szCs w:val="24"/>
          <w:lang w:val="ro-RO"/>
        </w:rPr>
        <w:t>concentr</w:t>
      </w:r>
      <w:r w:rsidR="00246AB3">
        <w:rPr>
          <w:sz w:val="24"/>
          <w:szCs w:val="24"/>
          <w:lang w:val="ro-RO"/>
        </w:rPr>
        <w:t>ându-se,</w:t>
      </w:r>
      <w:r w:rsidRPr="000B672D">
        <w:rPr>
          <w:sz w:val="24"/>
          <w:szCs w:val="24"/>
          <w:lang w:val="ro-RO"/>
        </w:rPr>
        <w:t xml:space="preserve"> </w:t>
      </w:r>
      <w:r w:rsidR="00246AB3" w:rsidRPr="000B672D">
        <w:rPr>
          <w:sz w:val="24"/>
          <w:szCs w:val="24"/>
          <w:lang w:val="ro-RO"/>
        </w:rPr>
        <w:t>conform discuțiilor cu Comisia Europeană și Comitetul de Coordonare a Evaluării,</w:t>
      </w:r>
      <w:r w:rsidR="00246AB3">
        <w:rPr>
          <w:sz w:val="24"/>
          <w:szCs w:val="24"/>
          <w:lang w:val="ro-RO"/>
        </w:rPr>
        <w:t xml:space="preserve"> </w:t>
      </w:r>
      <w:r w:rsidRPr="000B672D">
        <w:rPr>
          <w:sz w:val="24"/>
          <w:szCs w:val="24"/>
          <w:lang w:val="ro-RO"/>
        </w:rPr>
        <w:t>asupra extragerii lecțiilor învățate din perioada precedentă de programare și modului în care acestea au fost luate în considerare pentru programarea și implementarea asistenței financiare pentru perioada 2014-2020.</w:t>
      </w:r>
    </w:p>
    <w:p w:rsidR="000F17E7" w:rsidRDefault="000F17E7" w:rsidP="000B672D">
      <w:pPr>
        <w:spacing w:after="0" w:line="240" w:lineRule="auto"/>
        <w:jc w:val="both"/>
        <w:rPr>
          <w:sz w:val="24"/>
          <w:szCs w:val="24"/>
          <w:lang w:val="ro-RO"/>
        </w:rPr>
      </w:pPr>
    </w:p>
    <w:p w:rsidR="000B672D" w:rsidRPr="000B672D" w:rsidRDefault="000B672D" w:rsidP="000B672D">
      <w:pPr>
        <w:spacing w:after="0" w:line="240" w:lineRule="auto"/>
        <w:jc w:val="both"/>
        <w:rPr>
          <w:sz w:val="24"/>
          <w:szCs w:val="24"/>
          <w:lang w:val="ro-RO"/>
        </w:rPr>
      </w:pPr>
      <w:r w:rsidRPr="000B672D">
        <w:rPr>
          <w:sz w:val="24"/>
          <w:szCs w:val="24"/>
          <w:lang w:val="ro-RO"/>
        </w:rPr>
        <w:t xml:space="preserve">Principala provocare întâmpinată pe parcursul perioadei de referință în implementarea Planului de Evaluare POCU 2014-2020 a constat în colectarea datelor privind </w:t>
      </w:r>
      <w:r w:rsidR="00246AB3">
        <w:rPr>
          <w:sz w:val="24"/>
          <w:szCs w:val="24"/>
          <w:lang w:val="ro-RO"/>
        </w:rPr>
        <w:t>evaluarea YEI</w:t>
      </w:r>
      <w:r w:rsidRPr="000B672D">
        <w:rPr>
          <w:sz w:val="24"/>
          <w:szCs w:val="24"/>
          <w:lang w:val="ro-RO"/>
        </w:rPr>
        <w:t xml:space="preserve">.  </w:t>
      </w:r>
      <w:r w:rsidR="00246AB3">
        <w:rPr>
          <w:sz w:val="24"/>
          <w:szCs w:val="24"/>
          <w:lang w:val="ro-RO"/>
        </w:rPr>
        <w:t>În acest context</w:t>
      </w:r>
      <w:r w:rsidRPr="000B672D">
        <w:rPr>
          <w:sz w:val="24"/>
          <w:szCs w:val="24"/>
          <w:lang w:val="ro-RO"/>
        </w:rPr>
        <w:t xml:space="preserve">, s-a dovedit a fi problematic aspectul referitor la disponibilitatea datelor pentru evaluare, chiar dacă DGAPE a dispus măsurile necesare facilitării relației dintre evaluator, AM POCU și beneficiarii proiectelor care </w:t>
      </w:r>
      <w:r w:rsidR="000F17E7">
        <w:rPr>
          <w:sz w:val="24"/>
          <w:szCs w:val="24"/>
          <w:lang w:val="ro-RO"/>
        </w:rPr>
        <w:t>fac</w:t>
      </w:r>
      <w:r w:rsidRPr="000B672D">
        <w:rPr>
          <w:sz w:val="24"/>
          <w:szCs w:val="24"/>
          <w:lang w:val="ro-RO"/>
        </w:rPr>
        <w:t xml:space="preserve"> obiectul studiilor de caz. </w:t>
      </w:r>
    </w:p>
    <w:p w:rsidR="000B672D" w:rsidRPr="000B672D" w:rsidRDefault="000B672D" w:rsidP="000B672D">
      <w:pPr>
        <w:spacing w:after="0" w:line="240" w:lineRule="auto"/>
        <w:jc w:val="both"/>
        <w:rPr>
          <w:sz w:val="24"/>
          <w:szCs w:val="24"/>
          <w:lang w:val="ro-RO"/>
        </w:rPr>
      </w:pPr>
    </w:p>
    <w:p w:rsidR="000B672D" w:rsidRPr="000B672D" w:rsidRDefault="000B672D" w:rsidP="000B672D">
      <w:pPr>
        <w:numPr>
          <w:ilvl w:val="0"/>
          <w:numId w:val="24"/>
        </w:numPr>
        <w:spacing w:after="0" w:line="240" w:lineRule="auto"/>
        <w:jc w:val="both"/>
        <w:rPr>
          <w:b/>
          <w:sz w:val="24"/>
          <w:szCs w:val="24"/>
          <w:lang w:val="ro-RO"/>
        </w:rPr>
      </w:pPr>
      <w:r w:rsidRPr="000B672D">
        <w:rPr>
          <w:b/>
          <w:sz w:val="24"/>
          <w:szCs w:val="24"/>
          <w:lang w:val="ro-RO"/>
        </w:rPr>
        <w:t>Recomandările CM din cadrul reuniunilor precedente și, după caz, implementarea acestora</w:t>
      </w:r>
    </w:p>
    <w:p w:rsidR="000F17E7" w:rsidRDefault="000F17E7" w:rsidP="000B672D">
      <w:pPr>
        <w:spacing w:after="0" w:line="240" w:lineRule="auto"/>
        <w:jc w:val="both"/>
        <w:rPr>
          <w:sz w:val="24"/>
          <w:szCs w:val="24"/>
          <w:lang w:val="ro-RO"/>
        </w:rPr>
      </w:pPr>
    </w:p>
    <w:p w:rsidR="000F17E7" w:rsidRDefault="000B672D" w:rsidP="000B672D">
      <w:pPr>
        <w:spacing w:after="0" w:line="240" w:lineRule="auto"/>
        <w:jc w:val="both"/>
        <w:rPr>
          <w:sz w:val="24"/>
          <w:szCs w:val="24"/>
          <w:lang w:val="ro-RO"/>
        </w:rPr>
      </w:pPr>
      <w:r w:rsidRPr="000B672D">
        <w:rPr>
          <w:sz w:val="24"/>
          <w:szCs w:val="24"/>
          <w:lang w:val="ro-RO"/>
        </w:rPr>
        <w:t xml:space="preserve">Din procesul verbal al ultimului CM POCU reiese faptul că membrii CM nu au făcut recomandări sau observații referitoare la </w:t>
      </w:r>
      <w:r w:rsidR="000F17E7">
        <w:rPr>
          <w:sz w:val="24"/>
          <w:szCs w:val="24"/>
          <w:lang w:val="ro-RO"/>
        </w:rPr>
        <w:t>evaluarea POCU</w:t>
      </w:r>
      <w:r w:rsidRPr="000B672D">
        <w:rPr>
          <w:sz w:val="24"/>
          <w:szCs w:val="24"/>
          <w:lang w:val="ro-RO"/>
        </w:rPr>
        <w:t xml:space="preserve">. Cu toate acestea, </w:t>
      </w:r>
      <w:r w:rsidR="000F17E7">
        <w:rPr>
          <w:sz w:val="24"/>
          <w:szCs w:val="24"/>
          <w:lang w:val="ro-RO"/>
        </w:rPr>
        <w:t xml:space="preserve">Comisia Europeană </w:t>
      </w:r>
      <w:r w:rsidRPr="000B672D">
        <w:rPr>
          <w:sz w:val="24"/>
          <w:szCs w:val="24"/>
          <w:lang w:val="ro-RO"/>
        </w:rPr>
        <w:t>a subliniat faptul că „…</w:t>
      </w:r>
      <w:r w:rsidRPr="000B672D">
        <w:rPr>
          <w:i/>
          <w:sz w:val="24"/>
          <w:szCs w:val="24"/>
          <w:lang w:val="ro-RO"/>
        </w:rPr>
        <w:t xml:space="preserve">trebuie evitat cu orice preț un conflict de interese </w:t>
      </w:r>
      <w:r w:rsidR="000F17E7">
        <w:rPr>
          <w:i/>
          <w:sz w:val="24"/>
          <w:szCs w:val="24"/>
          <w:lang w:val="ro-RO"/>
        </w:rPr>
        <w:t xml:space="preserve">[în procesul evaluării] </w:t>
      </w:r>
      <w:r w:rsidRPr="000B672D">
        <w:rPr>
          <w:i/>
          <w:sz w:val="24"/>
          <w:szCs w:val="24"/>
          <w:lang w:val="ro-RO"/>
        </w:rPr>
        <w:t>având în vedere rolul membrilor implicați în echipele de evaluare sau care au un anumit rol în implementarea ca beneficiari</w:t>
      </w:r>
      <w:r w:rsidRPr="000B672D">
        <w:rPr>
          <w:sz w:val="24"/>
          <w:szCs w:val="24"/>
          <w:lang w:val="ro-RO"/>
        </w:rPr>
        <w:t xml:space="preserve">”. </w:t>
      </w:r>
    </w:p>
    <w:p w:rsidR="000F17E7" w:rsidRDefault="000F17E7" w:rsidP="000B672D">
      <w:pPr>
        <w:spacing w:after="0" w:line="240" w:lineRule="auto"/>
        <w:jc w:val="both"/>
        <w:rPr>
          <w:sz w:val="24"/>
          <w:szCs w:val="24"/>
          <w:lang w:val="ro-RO"/>
        </w:rPr>
      </w:pPr>
    </w:p>
    <w:p w:rsidR="000B672D" w:rsidRPr="000B672D" w:rsidRDefault="000F17E7" w:rsidP="000B672D">
      <w:pPr>
        <w:spacing w:after="0" w:line="240" w:lineRule="auto"/>
        <w:jc w:val="both"/>
        <w:rPr>
          <w:sz w:val="24"/>
          <w:szCs w:val="24"/>
          <w:lang w:val="ro-RO"/>
        </w:rPr>
      </w:pPr>
      <w:r>
        <w:rPr>
          <w:sz w:val="24"/>
          <w:szCs w:val="24"/>
          <w:lang w:val="ro-RO"/>
        </w:rPr>
        <w:t>În acest sens, î</w:t>
      </w:r>
      <w:r w:rsidR="000B672D" w:rsidRPr="000B672D">
        <w:rPr>
          <w:sz w:val="24"/>
          <w:szCs w:val="24"/>
          <w:lang w:val="ro-RO"/>
        </w:rPr>
        <w:t>n etapa de elaborare a documentațiilor de atribuire a contractelor de evaluare,  DGAPE a avut în vedere asigurarea principiilor de independență, integritate, neutralitate, imparțialitate și credibilitate în procesul de implementare a exercițiilor de evaluare. Aceste aspecte vor fi prevăzute în contractele de furnizare a serviciilor de evaluare, în textul cărora va fi stipulată o clauză distinctă privind obligativitatea asigurării de către eva</w:t>
      </w:r>
      <w:r>
        <w:rPr>
          <w:sz w:val="24"/>
          <w:szCs w:val="24"/>
          <w:lang w:val="ro-RO"/>
        </w:rPr>
        <w:t>luatori a acestor principii</w:t>
      </w:r>
      <w:r w:rsidR="000B672D" w:rsidRPr="000B672D">
        <w:rPr>
          <w:sz w:val="24"/>
          <w:szCs w:val="24"/>
          <w:lang w:val="ro-RO"/>
        </w:rPr>
        <w:t xml:space="preserve"> în toate fazele derulării exercițiilor de evaluare. Conform procedurilor de contractare</w:t>
      </w:r>
      <w:r>
        <w:rPr>
          <w:sz w:val="24"/>
          <w:szCs w:val="24"/>
          <w:lang w:val="ro-RO"/>
        </w:rPr>
        <w:t>,</w:t>
      </w:r>
      <w:r w:rsidR="000B672D" w:rsidRPr="000B672D">
        <w:rPr>
          <w:sz w:val="24"/>
          <w:szCs w:val="24"/>
          <w:lang w:val="ro-RO"/>
        </w:rPr>
        <w:t xml:space="preserve"> </w:t>
      </w:r>
      <w:r>
        <w:rPr>
          <w:sz w:val="24"/>
          <w:szCs w:val="24"/>
          <w:lang w:val="ro-RO"/>
        </w:rPr>
        <w:t>experții implicați</w:t>
      </w:r>
      <w:r w:rsidR="000B672D" w:rsidRPr="000B672D">
        <w:rPr>
          <w:sz w:val="24"/>
          <w:szCs w:val="24"/>
          <w:lang w:val="ro-RO"/>
        </w:rPr>
        <w:t xml:space="preserve"> sunt obligați să depună declarații pe proprie răspundere care să includă și respectarea principiilor de independență, integritate, neutralitate, imparțialitate a evaluatorilor pe tot parcursul procesului de evaluare.</w:t>
      </w:r>
    </w:p>
    <w:p w:rsidR="000F17E7" w:rsidRDefault="000F17E7" w:rsidP="000B672D">
      <w:pPr>
        <w:spacing w:after="0" w:line="240" w:lineRule="auto"/>
        <w:jc w:val="both"/>
        <w:rPr>
          <w:sz w:val="24"/>
          <w:szCs w:val="24"/>
          <w:lang w:val="ro-RO"/>
        </w:rPr>
      </w:pPr>
    </w:p>
    <w:p w:rsidR="000B672D" w:rsidRPr="002714DD" w:rsidRDefault="000F17E7" w:rsidP="000B672D">
      <w:pPr>
        <w:spacing w:after="0" w:line="240" w:lineRule="auto"/>
        <w:jc w:val="both"/>
        <w:rPr>
          <w:sz w:val="24"/>
          <w:szCs w:val="24"/>
          <w:lang w:val="ro-RO"/>
        </w:rPr>
      </w:pPr>
      <w:r>
        <w:rPr>
          <w:sz w:val="24"/>
          <w:szCs w:val="24"/>
          <w:lang w:val="ro-RO"/>
        </w:rPr>
        <w:t>Totuși,</w:t>
      </w:r>
      <w:r w:rsidR="000B672D" w:rsidRPr="000B672D">
        <w:rPr>
          <w:sz w:val="24"/>
          <w:szCs w:val="24"/>
          <w:lang w:val="ro-RO"/>
        </w:rPr>
        <w:t xml:space="preserve"> aplicarea deplină a principiului imparțialității  operatorilor economici va genera riscul restrângerii semnificative a pieței de evaluare și va conduce la denaturarea principiului concurențial și competitiv al achizițiilor publice pentru serviciile de evaluare aferente POCU. </w:t>
      </w:r>
      <w:r>
        <w:rPr>
          <w:sz w:val="24"/>
          <w:szCs w:val="24"/>
          <w:lang w:val="ro-RO"/>
        </w:rPr>
        <w:t>În l</w:t>
      </w:r>
      <w:r w:rsidR="000B672D" w:rsidRPr="000B672D">
        <w:rPr>
          <w:sz w:val="24"/>
          <w:szCs w:val="24"/>
          <w:lang w:val="ro-RO"/>
        </w:rPr>
        <w:t xml:space="preserve">ipsa unui cod etic acceptat la nivelul comunității naționale de evaluare a intervențiilor publice este dificilă impunerea de către autoritatea contractantă a unui set riguros de principii specifice </w:t>
      </w:r>
      <w:r w:rsidR="000B672D" w:rsidRPr="000B672D">
        <w:rPr>
          <w:sz w:val="24"/>
          <w:szCs w:val="24"/>
          <w:lang w:val="ro-RO"/>
        </w:rPr>
        <w:lastRenderedPageBreak/>
        <w:t>evaluării intervențiilor publice finanțate din FESI. În acest sens, pentru întărirea gradului de asigurare a principiilor de neutralitate, independență, imparțialitate și credibilitate în procesul de implementare a exercițiilor de evaluare</w:t>
      </w:r>
      <w:r>
        <w:rPr>
          <w:sz w:val="24"/>
          <w:szCs w:val="24"/>
          <w:lang w:val="ro-RO"/>
        </w:rPr>
        <w:t>,</w:t>
      </w:r>
      <w:r w:rsidR="000B672D" w:rsidRPr="000B672D">
        <w:rPr>
          <w:sz w:val="24"/>
          <w:szCs w:val="24"/>
          <w:lang w:val="ro-RO"/>
        </w:rPr>
        <w:t xml:space="preserve"> DGAPE are în vedere desfășurarea unor activități de  sprijinire a consolidării culturii de evaluare din România prin intermediul fondurilor prevăzute din PO Asistența Tehnică. </w:t>
      </w:r>
      <w:r w:rsidR="002714DD">
        <w:rPr>
          <w:sz w:val="24"/>
          <w:szCs w:val="24"/>
          <w:lang w:val="ro-RO"/>
        </w:rPr>
        <w:t xml:space="preserve">În acest sens, pentru obținerea de finanțare în cadrul POAT, a fost depus proiectul intitulat </w:t>
      </w:r>
      <w:r w:rsidR="002714DD">
        <w:rPr>
          <w:sz w:val="24"/>
          <w:szCs w:val="24"/>
        </w:rPr>
        <w:t>“</w:t>
      </w:r>
      <w:r w:rsidR="002714DD" w:rsidRPr="002714DD">
        <w:rPr>
          <w:sz w:val="24"/>
          <w:szCs w:val="24"/>
          <w:lang w:val="ro-RO"/>
        </w:rPr>
        <w:t>Asistență Tehnică pentru susținerea capacității de evaluare”, care include activități privind stabilirea și animarea unei rețele de evaluare.</w:t>
      </w:r>
    </w:p>
    <w:p w:rsidR="000B672D" w:rsidRPr="000B672D" w:rsidRDefault="000B672D" w:rsidP="000B672D">
      <w:pPr>
        <w:spacing w:after="0" w:line="240" w:lineRule="auto"/>
        <w:jc w:val="both"/>
        <w:rPr>
          <w:sz w:val="24"/>
          <w:szCs w:val="24"/>
          <w:lang w:val="ro-RO"/>
        </w:rPr>
      </w:pPr>
    </w:p>
    <w:p w:rsidR="000B672D" w:rsidRPr="000B672D" w:rsidRDefault="000B672D" w:rsidP="000B672D">
      <w:pPr>
        <w:numPr>
          <w:ilvl w:val="0"/>
          <w:numId w:val="24"/>
        </w:numPr>
        <w:spacing w:after="0" w:line="240" w:lineRule="auto"/>
        <w:jc w:val="both"/>
        <w:rPr>
          <w:b/>
          <w:sz w:val="24"/>
          <w:szCs w:val="24"/>
          <w:lang w:val="ro-RO"/>
        </w:rPr>
      </w:pPr>
      <w:r w:rsidRPr="000B672D">
        <w:rPr>
          <w:b/>
          <w:sz w:val="24"/>
          <w:szCs w:val="24"/>
          <w:lang w:val="ro-RO"/>
        </w:rPr>
        <w:t>Evaluările și activitățile de evaluare planificate pentru anul următor</w:t>
      </w:r>
    </w:p>
    <w:p w:rsidR="002714DD" w:rsidRDefault="002714DD" w:rsidP="000B672D">
      <w:pPr>
        <w:spacing w:after="0" w:line="240" w:lineRule="auto"/>
        <w:jc w:val="both"/>
        <w:rPr>
          <w:sz w:val="24"/>
          <w:szCs w:val="24"/>
          <w:lang w:val="ro-RO"/>
        </w:rPr>
      </w:pPr>
    </w:p>
    <w:p w:rsidR="000B672D" w:rsidRPr="000B672D" w:rsidRDefault="000B672D" w:rsidP="000B672D">
      <w:pPr>
        <w:spacing w:after="0" w:line="240" w:lineRule="auto"/>
        <w:jc w:val="both"/>
        <w:rPr>
          <w:sz w:val="24"/>
          <w:szCs w:val="24"/>
          <w:lang w:val="ro-RO"/>
        </w:rPr>
      </w:pPr>
      <w:r w:rsidRPr="000B672D">
        <w:rPr>
          <w:sz w:val="24"/>
          <w:szCs w:val="24"/>
          <w:lang w:val="ro-RO"/>
        </w:rPr>
        <w:t>Conform calendarului estimativ stabilit prin Planul de Evaluare a POCU pentru perioada 2014-2020, în perioada următoare, precum și pentru anul 2017</w:t>
      </w:r>
      <w:r w:rsidR="002714DD">
        <w:rPr>
          <w:sz w:val="24"/>
          <w:szCs w:val="24"/>
          <w:lang w:val="ro-RO"/>
        </w:rPr>
        <w:t>,</w:t>
      </w:r>
      <w:r w:rsidRPr="000B672D">
        <w:rPr>
          <w:sz w:val="24"/>
          <w:szCs w:val="24"/>
          <w:lang w:val="ro-RO"/>
        </w:rPr>
        <w:t xml:space="preserve"> în cadrul DGAPE sunt planificate următoarele activități: </w:t>
      </w:r>
    </w:p>
    <w:p w:rsidR="000B672D" w:rsidRPr="000B672D" w:rsidRDefault="000B672D" w:rsidP="000B672D">
      <w:pPr>
        <w:numPr>
          <w:ilvl w:val="0"/>
          <w:numId w:val="26"/>
        </w:numPr>
        <w:spacing w:after="0" w:line="240" w:lineRule="auto"/>
        <w:jc w:val="both"/>
        <w:rPr>
          <w:sz w:val="24"/>
          <w:szCs w:val="24"/>
          <w:lang w:val="ro-RO"/>
        </w:rPr>
      </w:pPr>
      <w:r w:rsidRPr="000B672D">
        <w:rPr>
          <w:sz w:val="24"/>
          <w:szCs w:val="24"/>
          <w:lang w:val="ro-RO"/>
        </w:rPr>
        <w:t xml:space="preserve">Finalizarea evaluării </w:t>
      </w:r>
      <w:r w:rsidR="00F27E87">
        <w:rPr>
          <w:sz w:val="24"/>
          <w:szCs w:val="24"/>
          <w:lang w:val="ro-RO"/>
        </w:rPr>
        <w:t>YEI</w:t>
      </w:r>
      <w:r w:rsidRPr="000B672D">
        <w:rPr>
          <w:sz w:val="24"/>
          <w:szCs w:val="24"/>
          <w:lang w:val="ro-RO"/>
        </w:rPr>
        <w:t>, dezbaterea și aprobarea raportului final de evaluare în cadrul CEE POCU</w:t>
      </w:r>
    </w:p>
    <w:p w:rsidR="000B672D" w:rsidRPr="000B672D" w:rsidRDefault="000B672D" w:rsidP="000B672D">
      <w:pPr>
        <w:numPr>
          <w:ilvl w:val="0"/>
          <w:numId w:val="26"/>
        </w:numPr>
        <w:spacing w:after="0" w:line="240" w:lineRule="auto"/>
        <w:jc w:val="both"/>
        <w:rPr>
          <w:sz w:val="24"/>
          <w:szCs w:val="24"/>
          <w:lang w:val="ro-RO"/>
        </w:rPr>
      </w:pPr>
      <w:r w:rsidRPr="000B672D">
        <w:rPr>
          <w:sz w:val="24"/>
          <w:szCs w:val="24"/>
          <w:lang w:val="ro-RO"/>
        </w:rPr>
        <w:t>Derularea procedurilor de achiziție publică a serviciilor de evaluare și contractarea operatorilor economici declarați câștigători</w:t>
      </w:r>
    </w:p>
    <w:p w:rsidR="000B672D" w:rsidRPr="000B672D" w:rsidRDefault="000B672D" w:rsidP="000B672D">
      <w:pPr>
        <w:numPr>
          <w:ilvl w:val="0"/>
          <w:numId w:val="26"/>
        </w:numPr>
        <w:spacing w:after="0" w:line="240" w:lineRule="auto"/>
        <w:jc w:val="both"/>
        <w:rPr>
          <w:sz w:val="24"/>
          <w:szCs w:val="24"/>
          <w:lang w:val="ro-RO"/>
        </w:rPr>
      </w:pPr>
      <w:r w:rsidRPr="000B672D">
        <w:rPr>
          <w:sz w:val="24"/>
          <w:szCs w:val="24"/>
          <w:lang w:val="ro-RO"/>
        </w:rPr>
        <w:t>Facilitarea derulării activităților de evaluare planificate pentru ultimul trimestru al anului 2016 aferent celor patru domenii evaluate</w:t>
      </w:r>
    </w:p>
    <w:p w:rsidR="000B672D" w:rsidRPr="000B672D" w:rsidRDefault="000B672D" w:rsidP="000B672D">
      <w:pPr>
        <w:numPr>
          <w:ilvl w:val="0"/>
          <w:numId w:val="26"/>
        </w:numPr>
        <w:spacing w:after="0" w:line="240" w:lineRule="auto"/>
        <w:jc w:val="both"/>
        <w:rPr>
          <w:sz w:val="24"/>
          <w:szCs w:val="24"/>
          <w:lang w:val="ro-RO"/>
        </w:rPr>
      </w:pPr>
      <w:r w:rsidRPr="000B672D">
        <w:rPr>
          <w:sz w:val="24"/>
          <w:szCs w:val="24"/>
          <w:lang w:val="ro-RO"/>
        </w:rPr>
        <w:t>Dezbaterea și aprobarea în cadrul CCE POCU a rapoartelor inițiale ale evaluărilor pentru cele patru domenii evaluate</w:t>
      </w:r>
    </w:p>
    <w:p w:rsidR="000B672D" w:rsidRPr="000B672D" w:rsidRDefault="000B672D" w:rsidP="000B672D">
      <w:pPr>
        <w:numPr>
          <w:ilvl w:val="0"/>
          <w:numId w:val="26"/>
        </w:numPr>
        <w:spacing w:after="0" w:line="240" w:lineRule="auto"/>
        <w:jc w:val="both"/>
        <w:rPr>
          <w:sz w:val="24"/>
          <w:szCs w:val="24"/>
          <w:lang w:val="ro-RO"/>
        </w:rPr>
      </w:pPr>
      <w:r w:rsidRPr="000B672D">
        <w:rPr>
          <w:sz w:val="24"/>
          <w:szCs w:val="24"/>
          <w:lang w:val="ro-RO"/>
        </w:rPr>
        <w:t>Constituirea Comitetului Științific al Evaluării conform atribuțiilor specificate pentru această structură în Planul de evaluare a POCU 2014-2020</w:t>
      </w:r>
    </w:p>
    <w:p w:rsidR="000B672D" w:rsidRPr="000B672D" w:rsidRDefault="000B672D" w:rsidP="000B672D">
      <w:pPr>
        <w:numPr>
          <w:ilvl w:val="0"/>
          <w:numId w:val="26"/>
        </w:numPr>
        <w:spacing w:after="0" w:line="240" w:lineRule="auto"/>
        <w:jc w:val="both"/>
        <w:rPr>
          <w:sz w:val="24"/>
          <w:szCs w:val="24"/>
          <w:lang w:val="ro-RO"/>
        </w:rPr>
      </w:pPr>
      <w:r w:rsidRPr="000B672D">
        <w:rPr>
          <w:sz w:val="24"/>
          <w:szCs w:val="24"/>
          <w:lang w:val="ro-RO"/>
        </w:rPr>
        <w:t>Dezbaterea și aprobarea rapoartelor de</w:t>
      </w:r>
      <w:r w:rsidR="002714DD">
        <w:rPr>
          <w:sz w:val="24"/>
          <w:szCs w:val="24"/>
          <w:lang w:val="ro-RO"/>
        </w:rPr>
        <w:t xml:space="preserve"> evaluare aferente anului 2017 pentru toate cele patru domenii</w:t>
      </w:r>
    </w:p>
    <w:p w:rsidR="000B672D" w:rsidRPr="000B672D" w:rsidRDefault="000B672D" w:rsidP="000B672D">
      <w:pPr>
        <w:numPr>
          <w:ilvl w:val="0"/>
          <w:numId w:val="26"/>
        </w:numPr>
        <w:spacing w:after="0" w:line="240" w:lineRule="auto"/>
        <w:jc w:val="both"/>
        <w:rPr>
          <w:sz w:val="24"/>
          <w:szCs w:val="24"/>
          <w:lang w:val="ro-RO"/>
        </w:rPr>
      </w:pPr>
      <w:r w:rsidRPr="000B672D">
        <w:rPr>
          <w:sz w:val="24"/>
          <w:szCs w:val="24"/>
          <w:lang w:val="ro-RO"/>
        </w:rPr>
        <w:t>Comunicarea și diseminarea rezultatelor evaluărilor la nivelul publicului interesat</w:t>
      </w:r>
    </w:p>
    <w:p w:rsidR="000B672D" w:rsidRPr="000B672D" w:rsidRDefault="000B672D" w:rsidP="000B672D">
      <w:pPr>
        <w:numPr>
          <w:ilvl w:val="0"/>
          <w:numId w:val="26"/>
        </w:numPr>
        <w:spacing w:after="0" w:line="240" w:lineRule="auto"/>
        <w:jc w:val="both"/>
        <w:rPr>
          <w:sz w:val="24"/>
          <w:szCs w:val="24"/>
          <w:lang w:val="ro-RO"/>
        </w:rPr>
      </w:pPr>
      <w:r w:rsidRPr="000B672D">
        <w:rPr>
          <w:sz w:val="24"/>
          <w:szCs w:val="24"/>
          <w:lang w:val="ro-RO"/>
        </w:rPr>
        <w:t>Aplicarea recomandărilor rezultate în urma primului exercițiu de evaluare din perioada de programare 2014-2020</w:t>
      </w:r>
    </w:p>
    <w:p w:rsidR="000B672D" w:rsidRPr="000B672D" w:rsidRDefault="000B672D" w:rsidP="000B672D">
      <w:pPr>
        <w:numPr>
          <w:ilvl w:val="0"/>
          <w:numId w:val="26"/>
        </w:numPr>
        <w:spacing w:after="0" w:line="240" w:lineRule="auto"/>
        <w:jc w:val="both"/>
        <w:rPr>
          <w:sz w:val="24"/>
          <w:szCs w:val="24"/>
          <w:lang w:val="ro-RO"/>
        </w:rPr>
      </w:pPr>
      <w:r w:rsidRPr="000B672D">
        <w:rPr>
          <w:sz w:val="24"/>
          <w:szCs w:val="24"/>
          <w:lang w:val="ro-RO"/>
        </w:rPr>
        <w:t>Monitorizarea aplicării recomandărilor rezultate în urma primului exercițiu de evaluare din perioada de programare 2014-2020</w:t>
      </w:r>
    </w:p>
    <w:p w:rsidR="000B672D" w:rsidRPr="000B672D" w:rsidRDefault="000B672D" w:rsidP="000B672D">
      <w:pPr>
        <w:numPr>
          <w:ilvl w:val="0"/>
          <w:numId w:val="26"/>
        </w:numPr>
        <w:spacing w:after="0" w:line="240" w:lineRule="auto"/>
        <w:jc w:val="both"/>
        <w:rPr>
          <w:sz w:val="24"/>
          <w:szCs w:val="24"/>
          <w:lang w:val="ro-RO"/>
        </w:rPr>
      </w:pPr>
      <w:r w:rsidRPr="000B672D">
        <w:rPr>
          <w:sz w:val="24"/>
          <w:szCs w:val="24"/>
          <w:lang w:val="ro-RO"/>
        </w:rPr>
        <w:t>Monitorizarea Planului de evaluare a POCU 2014-2020 și redactarea Notei anuale privind evaluarea aferentă anului 2016</w:t>
      </w:r>
    </w:p>
    <w:p w:rsidR="000B672D" w:rsidRPr="000B672D" w:rsidRDefault="000B672D" w:rsidP="000B672D">
      <w:pPr>
        <w:spacing w:after="0" w:line="240" w:lineRule="auto"/>
        <w:jc w:val="both"/>
        <w:rPr>
          <w:sz w:val="24"/>
          <w:szCs w:val="24"/>
          <w:lang w:val="ro-RO"/>
        </w:rPr>
      </w:pPr>
    </w:p>
    <w:p w:rsidR="000B672D" w:rsidRPr="000B672D" w:rsidRDefault="000B672D" w:rsidP="000B672D">
      <w:pPr>
        <w:numPr>
          <w:ilvl w:val="0"/>
          <w:numId w:val="24"/>
        </w:numPr>
        <w:spacing w:after="0" w:line="240" w:lineRule="auto"/>
        <w:jc w:val="both"/>
        <w:rPr>
          <w:b/>
          <w:sz w:val="24"/>
          <w:szCs w:val="24"/>
          <w:lang w:val="ro-RO"/>
        </w:rPr>
      </w:pPr>
      <w:r w:rsidRPr="000B672D">
        <w:rPr>
          <w:b/>
          <w:sz w:val="24"/>
          <w:szCs w:val="24"/>
          <w:lang w:val="ro-RO"/>
        </w:rPr>
        <w:t xml:space="preserve">Riscuri și acțiuni de diminuare a efectelor acestora </w:t>
      </w:r>
    </w:p>
    <w:p w:rsidR="002714DD" w:rsidRDefault="002714DD" w:rsidP="000B672D">
      <w:pPr>
        <w:spacing w:after="0" w:line="240" w:lineRule="auto"/>
        <w:jc w:val="both"/>
        <w:rPr>
          <w:sz w:val="24"/>
          <w:szCs w:val="24"/>
          <w:lang w:val="ro-RO"/>
        </w:rPr>
      </w:pPr>
    </w:p>
    <w:p w:rsidR="000B672D" w:rsidRPr="000B672D" w:rsidRDefault="000B672D" w:rsidP="000B672D">
      <w:pPr>
        <w:spacing w:after="0" w:line="240" w:lineRule="auto"/>
        <w:jc w:val="both"/>
        <w:rPr>
          <w:sz w:val="24"/>
          <w:szCs w:val="24"/>
          <w:lang w:val="ro-RO"/>
        </w:rPr>
      </w:pPr>
      <w:r w:rsidRPr="000B672D">
        <w:rPr>
          <w:sz w:val="24"/>
          <w:szCs w:val="24"/>
          <w:lang w:val="ro-RO"/>
        </w:rPr>
        <w:t>Având în vedere progresul limitat al implementării POCU</w:t>
      </w:r>
      <w:r w:rsidR="002714DD">
        <w:rPr>
          <w:sz w:val="24"/>
          <w:szCs w:val="24"/>
          <w:lang w:val="ro-RO"/>
        </w:rPr>
        <w:t>,</w:t>
      </w:r>
      <w:r w:rsidRPr="000B672D">
        <w:rPr>
          <w:sz w:val="24"/>
          <w:szCs w:val="24"/>
          <w:lang w:val="ro-RO"/>
        </w:rPr>
        <w:t xml:space="preserve"> principalul risc care se evidențiază se referă la lipsa proiectelor contractate care să facă obiectul evaluării în conformitate cu prevederile art. 56(3) din Regulamentul nr. 1303/2013 privind dispozițiile comune de implementare a fondurilor </w:t>
      </w:r>
      <w:r w:rsidR="002714DD" w:rsidRPr="000B672D">
        <w:rPr>
          <w:sz w:val="24"/>
          <w:szCs w:val="24"/>
          <w:lang w:val="ro-RO"/>
        </w:rPr>
        <w:t xml:space="preserve">europene </w:t>
      </w:r>
      <w:r w:rsidRPr="000B672D">
        <w:rPr>
          <w:sz w:val="24"/>
          <w:szCs w:val="24"/>
          <w:lang w:val="ro-RO"/>
        </w:rPr>
        <w:t xml:space="preserve">structurale și de investiții. </w:t>
      </w:r>
      <w:r w:rsidR="00F27E87">
        <w:rPr>
          <w:sz w:val="24"/>
          <w:szCs w:val="24"/>
          <w:lang w:val="ro-RO"/>
        </w:rPr>
        <w:t>În acest sens, în urma discuțiilor din cadrul Comitetului de Coordonare a Evaluării POCU 2014-2020 s-a conturat recomandarea de a introduce ca obiect al evaluării aferente anului</w:t>
      </w:r>
      <w:r w:rsidR="00671757">
        <w:rPr>
          <w:sz w:val="24"/>
          <w:szCs w:val="24"/>
          <w:lang w:val="ro-RO"/>
        </w:rPr>
        <w:t xml:space="preserve"> 2017</w:t>
      </w:r>
      <w:r w:rsidR="00F27E87">
        <w:rPr>
          <w:sz w:val="24"/>
          <w:szCs w:val="24"/>
          <w:lang w:val="ro-RO"/>
        </w:rPr>
        <w:t>, intervenții similare POSDRU 2007-2013</w:t>
      </w:r>
      <w:r w:rsidRPr="000B672D">
        <w:rPr>
          <w:sz w:val="24"/>
          <w:szCs w:val="24"/>
          <w:lang w:val="ro-RO"/>
        </w:rPr>
        <w:t xml:space="preserve">, așa cum s-a procedat </w:t>
      </w:r>
      <w:r w:rsidR="00671757">
        <w:rPr>
          <w:sz w:val="24"/>
          <w:szCs w:val="24"/>
          <w:lang w:val="ro-RO"/>
        </w:rPr>
        <w:t xml:space="preserve">la </w:t>
      </w:r>
      <w:r w:rsidR="00F27E87">
        <w:rPr>
          <w:sz w:val="24"/>
          <w:szCs w:val="24"/>
          <w:lang w:val="ro-RO"/>
        </w:rPr>
        <w:t>Evaluarea YEI</w:t>
      </w:r>
      <w:r w:rsidRPr="000B672D">
        <w:rPr>
          <w:sz w:val="24"/>
          <w:szCs w:val="24"/>
          <w:lang w:val="ro-RO"/>
        </w:rPr>
        <w:t>.</w:t>
      </w:r>
      <w:r w:rsidR="00F27E87">
        <w:rPr>
          <w:sz w:val="24"/>
          <w:szCs w:val="24"/>
          <w:lang w:val="ro-RO"/>
        </w:rPr>
        <w:t xml:space="preserve"> Acest lucru este în conformitate cu </w:t>
      </w:r>
      <w:r w:rsidR="00671757">
        <w:rPr>
          <w:sz w:val="24"/>
          <w:szCs w:val="24"/>
          <w:lang w:val="ro-RO"/>
        </w:rPr>
        <w:t>Documentul director</w:t>
      </w:r>
      <w:r w:rsidR="00F27E87">
        <w:rPr>
          <w:sz w:val="24"/>
          <w:szCs w:val="24"/>
          <w:lang w:val="ro-RO"/>
        </w:rPr>
        <w:t xml:space="preserve"> al Comisiei Europene</w:t>
      </w:r>
      <w:r w:rsidR="00671757">
        <w:rPr>
          <w:sz w:val="24"/>
          <w:szCs w:val="24"/>
          <w:lang w:val="ro-RO"/>
        </w:rPr>
        <w:t xml:space="preserve"> privind planul de evaluare și va aduce valoare adăugată evaluării, conform celor menționate la punctul h) </w:t>
      </w:r>
      <w:r w:rsidR="00671757" w:rsidRPr="00671757">
        <w:rPr>
          <w:sz w:val="24"/>
          <w:szCs w:val="24"/>
          <w:lang w:val="ro-RO"/>
        </w:rPr>
        <w:t>Propuneri de modificare a planului pentru aprobarea CM</w:t>
      </w:r>
      <w:r w:rsidR="00671757">
        <w:rPr>
          <w:sz w:val="24"/>
          <w:szCs w:val="24"/>
          <w:lang w:val="ro-RO"/>
        </w:rPr>
        <w:t>.</w:t>
      </w:r>
    </w:p>
    <w:p w:rsidR="00F27E87" w:rsidRDefault="00F27E87" w:rsidP="000B672D">
      <w:pPr>
        <w:spacing w:after="0" w:line="240" w:lineRule="auto"/>
        <w:jc w:val="both"/>
        <w:rPr>
          <w:sz w:val="24"/>
          <w:szCs w:val="24"/>
          <w:lang w:val="ro-RO"/>
        </w:rPr>
      </w:pPr>
    </w:p>
    <w:p w:rsidR="000B672D" w:rsidRPr="000B672D" w:rsidRDefault="000B672D" w:rsidP="000B672D">
      <w:pPr>
        <w:spacing w:after="0" w:line="240" w:lineRule="auto"/>
        <w:jc w:val="both"/>
        <w:rPr>
          <w:sz w:val="24"/>
          <w:szCs w:val="24"/>
          <w:lang w:val="ro-RO"/>
        </w:rPr>
      </w:pPr>
      <w:r w:rsidRPr="000B672D">
        <w:rPr>
          <w:sz w:val="24"/>
          <w:szCs w:val="24"/>
          <w:lang w:val="ro-RO"/>
        </w:rPr>
        <w:lastRenderedPageBreak/>
        <w:t xml:space="preserve">Un alt risc major se referă la colectarea </w:t>
      </w:r>
      <w:r w:rsidR="00671757">
        <w:rPr>
          <w:sz w:val="24"/>
          <w:szCs w:val="24"/>
          <w:lang w:val="ro-RO"/>
        </w:rPr>
        <w:t>din surse externe a</w:t>
      </w:r>
      <w:r w:rsidR="00671757" w:rsidRPr="000B672D">
        <w:rPr>
          <w:sz w:val="24"/>
          <w:szCs w:val="24"/>
          <w:lang w:val="ro-RO"/>
        </w:rPr>
        <w:t xml:space="preserve"> </w:t>
      </w:r>
      <w:r w:rsidRPr="000B672D">
        <w:rPr>
          <w:sz w:val="24"/>
          <w:szCs w:val="24"/>
          <w:lang w:val="ro-RO"/>
        </w:rPr>
        <w:t>datelor</w:t>
      </w:r>
      <w:r w:rsidR="00671757">
        <w:rPr>
          <w:sz w:val="24"/>
          <w:szCs w:val="24"/>
          <w:lang w:val="ro-RO"/>
        </w:rPr>
        <w:t xml:space="preserve"> necesare evaluărilor</w:t>
      </w:r>
      <w:r w:rsidRPr="000B672D">
        <w:rPr>
          <w:sz w:val="24"/>
          <w:szCs w:val="24"/>
          <w:lang w:val="ro-RO"/>
        </w:rPr>
        <w:t>, în situația în care acestea nu sunt agregate în baze de date convergente și ușor accesibile evaluatorilor. De aceea, unul dintre rolurile evaluărilor din 2017 este acela de a consolida relațiile interinstituționale, în special în ceea ce privește disponibilitatea datelor pentru evaluare. În acest context, DGAPE a inițiat redactarea unei propuneri de HG privind sistemele statistice și indicatorii de rezultat necesari evaluării și monitorizării programelor finanțate din FESI</w:t>
      </w:r>
      <w:r w:rsidR="00671757">
        <w:rPr>
          <w:sz w:val="24"/>
          <w:szCs w:val="24"/>
          <w:lang w:val="ro-RO"/>
        </w:rPr>
        <w:t xml:space="preserve"> și are în vedere organizarea unui seminar pentru furnizorii externi de date, cu scopul sensibilizării acestora și creșterii înțelegerii necesităților de furnizare a datelor pentru evaluare</w:t>
      </w:r>
      <w:r w:rsidRPr="000B672D">
        <w:rPr>
          <w:sz w:val="24"/>
          <w:szCs w:val="24"/>
          <w:lang w:val="ro-RO"/>
        </w:rPr>
        <w:t xml:space="preserve">. </w:t>
      </w:r>
    </w:p>
    <w:p w:rsidR="00671757" w:rsidRDefault="00671757" w:rsidP="000B672D">
      <w:pPr>
        <w:spacing w:after="0" w:line="240" w:lineRule="auto"/>
        <w:jc w:val="both"/>
        <w:rPr>
          <w:sz w:val="24"/>
          <w:szCs w:val="24"/>
          <w:lang w:val="ro-RO"/>
        </w:rPr>
      </w:pPr>
    </w:p>
    <w:p w:rsidR="000B672D" w:rsidRDefault="000B672D" w:rsidP="000B672D">
      <w:pPr>
        <w:spacing w:after="0" w:line="240" w:lineRule="auto"/>
        <w:jc w:val="both"/>
        <w:rPr>
          <w:sz w:val="24"/>
          <w:szCs w:val="24"/>
          <w:lang w:val="ro-RO"/>
        </w:rPr>
      </w:pPr>
      <w:r w:rsidRPr="000B672D">
        <w:rPr>
          <w:sz w:val="24"/>
          <w:szCs w:val="24"/>
          <w:lang w:val="ro-RO"/>
        </w:rPr>
        <w:t xml:space="preserve">Un alt risc ce trebuie menționat se referă la interpretarea evaluării de către beneficiarii proiectelor ca fiind </w:t>
      </w:r>
      <w:r w:rsidR="00834A0B">
        <w:rPr>
          <w:sz w:val="24"/>
          <w:szCs w:val="24"/>
          <w:lang w:val="ro-RO"/>
        </w:rPr>
        <w:t xml:space="preserve">verificări suplimentare </w:t>
      </w:r>
      <w:r w:rsidR="00671757">
        <w:rPr>
          <w:sz w:val="24"/>
          <w:szCs w:val="24"/>
          <w:lang w:val="ro-RO"/>
        </w:rPr>
        <w:t>din partea autorități</w:t>
      </w:r>
      <w:r w:rsidR="00834A0B">
        <w:rPr>
          <w:sz w:val="24"/>
          <w:szCs w:val="24"/>
          <w:lang w:val="ro-RO"/>
        </w:rPr>
        <w:t>i de management</w:t>
      </w:r>
      <w:r w:rsidRPr="000B672D">
        <w:rPr>
          <w:sz w:val="24"/>
          <w:szCs w:val="24"/>
          <w:lang w:val="ro-RO"/>
        </w:rPr>
        <w:t>. Astfel, pe parcursul activităților de evaluare</w:t>
      </w:r>
      <w:r w:rsidR="00834A0B">
        <w:rPr>
          <w:sz w:val="24"/>
          <w:szCs w:val="24"/>
          <w:lang w:val="ro-RO"/>
        </w:rPr>
        <w:t>,</w:t>
      </w:r>
      <w:r w:rsidRPr="000B672D">
        <w:rPr>
          <w:sz w:val="24"/>
          <w:szCs w:val="24"/>
          <w:lang w:val="ro-RO"/>
        </w:rPr>
        <w:t xml:space="preserve"> beneficiarii proiectelor evaluate au deseori un comportament reticent, evaziv, netransparent și necooperant față de evaluatori. Acest aspect a fost evidențiat </w:t>
      </w:r>
      <w:r w:rsidR="00834A0B">
        <w:rPr>
          <w:sz w:val="24"/>
          <w:szCs w:val="24"/>
          <w:lang w:val="ro-RO"/>
        </w:rPr>
        <w:t>deja</w:t>
      </w:r>
      <w:r w:rsidRPr="000B672D">
        <w:rPr>
          <w:sz w:val="24"/>
          <w:szCs w:val="24"/>
          <w:lang w:val="ro-RO"/>
        </w:rPr>
        <w:t xml:space="preserve"> în evaluarea YEI. Pe de o parte, evaluatorii sunt cei responsabili pentru generarea cadrului de încredere, cooperare și deschidere a beneficiarilor</w:t>
      </w:r>
      <w:r w:rsidR="00451FDE">
        <w:rPr>
          <w:sz w:val="24"/>
          <w:szCs w:val="24"/>
          <w:lang w:val="ro-RO"/>
        </w:rPr>
        <w:t>, i</w:t>
      </w:r>
      <w:r w:rsidRPr="000B672D">
        <w:rPr>
          <w:sz w:val="24"/>
          <w:szCs w:val="24"/>
          <w:lang w:val="ro-RO"/>
        </w:rPr>
        <w:t xml:space="preserve">ar, pe de altă parte, conform prevederilor </w:t>
      </w:r>
      <w:r w:rsidR="00834A0B">
        <w:rPr>
          <w:sz w:val="24"/>
          <w:szCs w:val="24"/>
          <w:lang w:val="ro-RO"/>
        </w:rPr>
        <w:t>din c</w:t>
      </w:r>
      <w:r w:rsidRPr="000B672D">
        <w:rPr>
          <w:sz w:val="24"/>
          <w:szCs w:val="24"/>
          <w:lang w:val="ro-RO"/>
        </w:rPr>
        <w:t>ontractul de finanțare  „</w:t>
      </w:r>
      <w:r w:rsidRPr="000B672D">
        <w:rPr>
          <w:i/>
          <w:sz w:val="24"/>
          <w:szCs w:val="24"/>
          <w:lang w:val="ro-RO"/>
        </w:rPr>
        <w:t>Beneficiarul își asumă obligația de a furniza AM/OI, Comisiei Europene şi/sau agenţilor lor autorizaţi orice document sau informație solicitată, în termenul indicat, în vederea realizării evaluării Programului Operaţional … şi/sau a Proiectului implementat</w:t>
      </w:r>
      <w:r w:rsidRPr="000B672D">
        <w:rPr>
          <w:sz w:val="24"/>
          <w:szCs w:val="24"/>
          <w:lang w:val="ro-RO"/>
        </w:rPr>
        <w:t>”.  Cu toate acestea, starea de reticență este una de natură structurală</w:t>
      </w:r>
      <w:r w:rsidR="00834A0B">
        <w:rPr>
          <w:sz w:val="24"/>
          <w:szCs w:val="24"/>
          <w:lang w:val="ro-RO"/>
        </w:rPr>
        <w:t>, iar</w:t>
      </w:r>
      <w:r w:rsidRPr="000B672D">
        <w:rPr>
          <w:sz w:val="24"/>
          <w:szCs w:val="24"/>
          <w:lang w:val="ro-RO"/>
        </w:rPr>
        <w:t xml:space="preserve"> mizând pe ideea că evaluatorii sunt responsabili pentru crearea climatului corespunzător, iar beneficiarii sunt obligați să pună la dispoziția evaluatorilor orice document sau informație solicitată, se menține riscul persistenț</w:t>
      </w:r>
      <w:r w:rsidR="00834A0B">
        <w:rPr>
          <w:sz w:val="24"/>
          <w:szCs w:val="24"/>
          <w:lang w:val="ro-RO"/>
        </w:rPr>
        <w:t>ei</w:t>
      </w:r>
      <w:r w:rsidRPr="000B672D">
        <w:rPr>
          <w:sz w:val="24"/>
          <w:szCs w:val="24"/>
          <w:lang w:val="ro-RO"/>
        </w:rPr>
        <w:t xml:space="preserve"> acestui comportament. De aceea, în vederea creșterii gradului de încredere, cooperare și deschidere a beneficiarilor proiectelor POCU față de activitățile de evaluare</w:t>
      </w:r>
      <w:r w:rsidR="00B51E58">
        <w:rPr>
          <w:sz w:val="24"/>
          <w:szCs w:val="24"/>
          <w:lang w:val="ro-RO"/>
        </w:rPr>
        <w:t xml:space="preserve"> este nevoie să se desfășoare acțiuni care</w:t>
      </w:r>
      <w:r w:rsidR="00451FDE">
        <w:rPr>
          <w:sz w:val="24"/>
          <w:szCs w:val="24"/>
          <w:lang w:val="ro-RO"/>
        </w:rPr>
        <w:t xml:space="preserve"> să</w:t>
      </w:r>
      <w:r w:rsidRPr="000B672D">
        <w:rPr>
          <w:sz w:val="24"/>
          <w:szCs w:val="24"/>
          <w:lang w:val="ro-RO"/>
        </w:rPr>
        <w:t xml:space="preserve"> contribuie la sporirea culturii de evaluare la nivelul </w:t>
      </w:r>
      <w:r w:rsidR="00451FDE">
        <w:rPr>
          <w:sz w:val="24"/>
          <w:szCs w:val="24"/>
          <w:lang w:val="ro-RO"/>
        </w:rPr>
        <w:t>acestora. Din păcate, resursele limitate ale POAT 2014-2020, precum și constrângerile legate de eligibilitate ale</w:t>
      </w:r>
      <w:r w:rsidR="005D3CBC">
        <w:rPr>
          <w:sz w:val="24"/>
          <w:szCs w:val="24"/>
          <w:lang w:val="ro-RO"/>
        </w:rPr>
        <w:t xml:space="preserve"> </w:t>
      </w:r>
      <w:r w:rsidR="00B51E58">
        <w:rPr>
          <w:sz w:val="24"/>
          <w:szCs w:val="24"/>
          <w:lang w:val="ro-RO"/>
        </w:rPr>
        <w:t xml:space="preserve">AP 7 Asistență Tehnică POCU </w:t>
      </w:r>
      <w:r w:rsidR="00451FDE">
        <w:rPr>
          <w:sz w:val="24"/>
          <w:szCs w:val="24"/>
          <w:lang w:val="ro-RO"/>
        </w:rPr>
        <w:t>2014-2020 nu permit desfășurarea unor astfel de activități</w:t>
      </w:r>
      <w:r w:rsidR="00B51E58">
        <w:rPr>
          <w:sz w:val="24"/>
          <w:szCs w:val="24"/>
          <w:lang w:val="ro-RO"/>
        </w:rPr>
        <w:t>.</w:t>
      </w:r>
    </w:p>
    <w:p w:rsidR="007B3197" w:rsidRDefault="007B3197" w:rsidP="000B672D">
      <w:pPr>
        <w:spacing w:after="0" w:line="240" w:lineRule="auto"/>
        <w:jc w:val="both"/>
        <w:rPr>
          <w:sz w:val="24"/>
          <w:szCs w:val="24"/>
          <w:lang w:val="ro-RO"/>
        </w:rPr>
      </w:pPr>
    </w:p>
    <w:p w:rsidR="007B3197" w:rsidRPr="000B672D" w:rsidRDefault="007B3197" w:rsidP="000B672D">
      <w:pPr>
        <w:spacing w:after="0" w:line="240" w:lineRule="auto"/>
        <w:jc w:val="both"/>
        <w:rPr>
          <w:sz w:val="24"/>
          <w:szCs w:val="24"/>
          <w:lang w:val="ro-RO"/>
        </w:rPr>
      </w:pPr>
      <w:r>
        <w:rPr>
          <w:sz w:val="24"/>
          <w:szCs w:val="24"/>
          <w:lang w:val="ro-RO"/>
        </w:rPr>
        <w:t>Cel de-al patrulea risc identificat privește capacitatea de înțelege</w:t>
      </w:r>
      <w:r w:rsidR="00246DF6">
        <w:rPr>
          <w:sz w:val="24"/>
          <w:szCs w:val="24"/>
          <w:lang w:val="ro-RO"/>
        </w:rPr>
        <w:t>re a</w:t>
      </w:r>
      <w:r>
        <w:rPr>
          <w:sz w:val="24"/>
          <w:szCs w:val="24"/>
          <w:lang w:val="ro-RO"/>
        </w:rPr>
        <w:t xml:space="preserve"> natur</w:t>
      </w:r>
      <w:r w:rsidR="00246DF6">
        <w:rPr>
          <w:sz w:val="24"/>
          <w:szCs w:val="24"/>
          <w:lang w:val="ro-RO"/>
        </w:rPr>
        <w:t>ii</w:t>
      </w:r>
      <w:r>
        <w:rPr>
          <w:sz w:val="24"/>
          <w:szCs w:val="24"/>
          <w:lang w:val="ro-RO"/>
        </w:rPr>
        <w:t xml:space="preserve"> serviciilor de evaluare a programelor </w:t>
      </w:r>
      <w:r w:rsidR="00246DF6">
        <w:rPr>
          <w:sz w:val="24"/>
          <w:szCs w:val="24"/>
          <w:lang w:val="ro-RO"/>
        </w:rPr>
        <w:t xml:space="preserve">operaționale, </w:t>
      </w:r>
      <w:r>
        <w:rPr>
          <w:sz w:val="24"/>
          <w:szCs w:val="24"/>
          <w:lang w:val="ro-RO"/>
        </w:rPr>
        <w:t>în vederea aplicării</w:t>
      </w:r>
      <w:r w:rsidR="00246DF6">
        <w:rPr>
          <w:sz w:val="24"/>
          <w:szCs w:val="24"/>
          <w:lang w:val="ro-RO"/>
        </w:rPr>
        <w:t xml:space="preserve"> eficiente și eficace a</w:t>
      </w:r>
      <w:r>
        <w:rPr>
          <w:sz w:val="24"/>
          <w:szCs w:val="24"/>
          <w:lang w:val="ro-RO"/>
        </w:rPr>
        <w:t xml:space="preserve"> procedurilor de achiziție publică necesare con</w:t>
      </w:r>
      <w:r w:rsidR="00246DF6">
        <w:rPr>
          <w:sz w:val="24"/>
          <w:szCs w:val="24"/>
          <w:lang w:val="ro-RO"/>
        </w:rPr>
        <w:t>tractării evaluatorilor externi</w:t>
      </w:r>
      <w:r w:rsidR="00246DF6" w:rsidRPr="00246DF6">
        <w:rPr>
          <w:sz w:val="24"/>
          <w:szCs w:val="24"/>
          <w:lang w:val="ro-RO"/>
        </w:rPr>
        <w:t xml:space="preserve"> </w:t>
      </w:r>
      <w:r w:rsidR="00246DF6">
        <w:rPr>
          <w:sz w:val="24"/>
          <w:szCs w:val="24"/>
          <w:lang w:val="ro-RO"/>
        </w:rPr>
        <w:t xml:space="preserve">de către structurile cu atribuții în domeniu. Derularea unor contracte de servicii multianuale, precum și gradul de complexitate și noutate a caietelor de sarcini, inclusiv a factorilor de evaluare a ofertelor, par să împiedice acceptarea cu ușurință a propunerilor. În acest sens, este necesar ca DG APE să depună eforturi suplimentare în dialogul cu aceste structuri, inclusiv prin cooptarea acestora în </w:t>
      </w:r>
      <w:r w:rsidR="00082F7C">
        <w:rPr>
          <w:sz w:val="24"/>
          <w:szCs w:val="24"/>
          <w:lang w:val="ro-RO"/>
        </w:rPr>
        <w:t>comitetele de coordonare a evaluării și în programele de instruire prevăzute.</w:t>
      </w:r>
      <w:r w:rsidR="00246DF6">
        <w:rPr>
          <w:sz w:val="24"/>
          <w:szCs w:val="24"/>
          <w:lang w:val="ro-RO"/>
        </w:rPr>
        <w:t xml:space="preserve"> </w:t>
      </w:r>
    </w:p>
    <w:p w:rsidR="000B672D" w:rsidRPr="000B672D" w:rsidRDefault="000B672D" w:rsidP="000B672D">
      <w:pPr>
        <w:spacing w:after="0" w:line="240" w:lineRule="auto"/>
        <w:jc w:val="both"/>
        <w:rPr>
          <w:sz w:val="24"/>
          <w:szCs w:val="24"/>
          <w:lang w:val="ro-RO"/>
        </w:rPr>
      </w:pPr>
    </w:p>
    <w:p w:rsidR="000B672D" w:rsidRPr="000B672D" w:rsidRDefault="000B672D" w:rsidP="000B672D">
      <w:pPr>
        <w:numPr>
          <w:ilvl w:val="0"/>
          <w:numId w:val="24"/>
        </w:numPr>
        <w:spacing w:after="0" w:line="240" w:lineRule="auto"/>
        <w:jc w:val="both"/>
        <w:rPr>
          <w:b/>
          <w:sz w:val="24"/>
          <w:szCs w:val="24"/>
          <w:lang w:val="ro-RO"/>
        </w:rPr>
      </w:pPr>
      <w:r w:rsidRPr="000B672D">
        <w:rPr>
          <w:b/>
          <w:sz w:val="24"/>
          <w:szCs w:val="24"/>
          <w:lang w:val="ro-RO"/>
        </w:rPr>
        <w:t xml:space="preserve">Propuneri de modificare a planului </w:t>
      </w:r>
      <w:r w:rsidR="00082F7C">
        <w:rPr>
          <w:b/>
          <w:sz w:val="24"/>
          <w:szCs w:val="24"/>
          <w:lang w:val="ro-RO"/>
        </w:rPr>
        <w:t xml:space="preserve">de evaluare </w:t>
      </w:r>
      <w:r w:rsidRPr="000B672D">
        <w:rPr>
          <w:b/>
          <w:sz w:val="24"/>
          <w:szCs w:val="24"/>
          <w:lang w:val="ro-RO"/>
        </w:rPr>
        <w:t>pentru aprobarea CM</w:t>
      </w:r>
    </w:p>
    <w:p w:rsidR="00082F7C" w:rsidRDefault="00082F7C" w:rsidP="000B672D">
      <w:pPr>
        <w:spacing w:after="0" w:line="240" w:lineRule="auto"/>
        <w:jc w:val="both"/>
        <w:rPr>
          <w:sz w:val="24"/>
          <w:szCs w:val="24"/>
          <w:lang w:val="ro-RO"/>
        </w:rPr>
      </w:pPr>
    </w:p>
    <w:p w:rsidR="000B672D" w:rsidRPr="000B672D" w:rsidRDefault="000B672D" w:rsidP="000B672D">
      <w:pPr>
        <w:spacing w:after="0" w:line="240" w:lineRule="auto"/>
        <w:jc w:val="both"/>
        <w:rPr>
          <w:sz w:val="24"/>
          <w:szCs w:val="24"/>
          <w:lang w:val="ro-RO"/>
        </w:rPr>
      </w:pPr>
      <w:r w:rsidRPr="000B672D">
        <w:rPr>
          <w:sz w:val="24"/>
          <w:szCs w:val="24"/>
          <w:lang w:val="ro-RO"/>
        </w:rPr>
        <w:t xml:space="preserve">În procesul de consultare privind caietele de sarcini </w:t>
      </w:r>
      <w:r w:rsidR="00082F7C">
        <w:rPr>
          <w:sz w:val="24"/>
          <w:szCs w:val="24"/>
          <w:lang w:val="ro-RO"/>
        </w:rPr>
        <w:t>aferente</w:t>
      </w:r>
      <w:r w:rsidRPr="000B672D">
        <w:rPr>
          <w:sz w:val="24"/>
          <w:szCs w:val="24"/>
          <w:lang w:val="ro-RO"/>
        </w:rPr>
        <w:t xml:space="preserve"> evalu</w:t>
      </w:r>
      <w:r w:rsidR="00082F7C">
        <w:rPr>
          <w:sz w:val="24"/>
          <w:szCs w:val="24"/>
          <w:lang w:val="ro-RO"/>
        </w:rPr>
        <w:t>ării</w:t>
      </w:r>
      <w:r w:rsidRPr="000B672D">
        <w:rPr>
          <w:sz w:val="24"/>
          <w:szCs w:val="24"/>
          <w:lang w:val="ro-RO"/>
        </w:rPr>
        <w:t xml:space="preserve"> intervențiilor Programului Operațional Capitalul Uman (POCU) 2014-2020 în domeniile educație, incluziune, ocupare și asistență tehnică (rapoarte de evaluare 2017, 2019, 2023)</w:t>
      </w:r>
      <w:r w:rsidR="00082F7C">
        <w:rPr>
          <w:sz w:val="24"/>
          <w:szCs w:val="24"/>
          <w:lang w:val="ro-RO"/>
        </w:rPr>
        <w:t>,</w:t>
      </w:r>
      <w:r w:rsidRPr="000B672D">
        <w:rPr>
          <w:sz w:val="24"/>
          <w:szCs w:val="24"/>
          <w:lang w:val="ro-RO"/>
        </w:rPr>
        <w:t xml:space="preserve"> </w:t>
      </w:r>
      <w:r w:rsidR="00082F7C">
        <w:rPr>
          <w:sz w:val="24"/>
          <w:szCs w:val="24"/>
          <w:lang w:val="ro-RO"/>
        </w:rPr>
        <w:t xml:space="preserve">Comitetul de Coordonare a Evaluării a recomandat în cadrul reuniunii sale din data de 4 mai 2016, </w:t>
      </w:r>
      <w:r w:rsidRPr="000B672D">
        <w:rPr>
          <w:sz w:val="24"/>
          <w:szCs w:val="24"/>
          <w:lang w:val="ro-RO"/>
        </w:rPr>
        <w:t xml:space="preserve">ca pentru primul exercițiu de evaluare, planificat pentru anul 2017, să se analizeze succesul intervențiilor POCU 2014-2020 în comparație cu POSDRU 2007-2013. Astfel, pentru exercițiul de evaluare din 2017, acolo unde nu există suficiente proiecte contractate, propunerea este să se evalueze intervenții similare POSDRU. Scopul apelării la această abordare este de a spori utilitatea evaluărilor, având în </w:t>
      </w:r>
      <w:r w:rsidRPr="000B672D">
        <w:rPr>
          <w:sz w:val="24"/>
          <w:szCs w:val="24"/>
          <w:lang w:val="ro-RO"/>
        </w:rPr>
        <w:lastRenderedPageBreak/>
        <w:t>vedere progresul limitat în implementarea POCU, precum și de a compara cele două perioade de programare în condițiile în care evaluările trecute (2007-2013) sunt insuficiente și nu au fost construite într-o manieră care permite comparabilitatea. Aplicarea acestei abordări va sprijini AM POCU în definirea sau redefinirea intervențiilor astfel încât să se asigure creșterea eficienței și eficacității programului.</w:t>
      </w:r>
    </w:p>
    <w:p w:rsidR="00082F7C" w:rsidRDefault="00082F7C" w:rsidP="000B672D">
      <w:pPr>
        <w:spacing w:after="0" w:line="240" w:lineRule="auto"/>
        <w:jc w:val="both"/>
        <w:rPr>
          <w:sz w:val="24"/>
          <w:szCs w:val="24"/>
          <w:lang w:val="ro-RO"/>
        </w:rPr>
      </w:pPr>
    </w:p>
    <w:p w:rsidR="000B672D" w:rsidRPr="000B672D" w:rsidRDefault="00082F7C" w:rsidP="000B672D">
      <w:pPr>
        <w:spacing w:after="0" w:line="240" w:lineRule="auto"/>
        <w:jc w:val="both"/>
        <w:rPr>
          <w:sz w:val="24"/>
          <w:szCs w:val="24"/>
          <w:lang w:val="ro-RO"/>
        </w:rPr>
      </w:pPr>
      <w:r>
        <w:rPr>
          <w:sz w:val="24"/>
          <w:szCs w:val="24"/>
          <w:lang w:val="ro-RO"/>
        </w:rPr>
        <w:t>În acest sens</w:t>
      </w:r>
      <w:r w:rsidR="000B672D" w:rsidRPr="000B672D">
        <w:rPr>
          <w:sz w:val="24"/>
          <w:szCs w:val="24"/>
          <w:lang w:val="ro-RO"/>
        </w:rPr>
        <w:t xml:space="preserve">, în acord cu prevederile procedurii operaționale PO-DGAPE-03, Direcția Generală de Analiză, Programare și Evaluare </w:t>
      </w:r>
      <w:r>
        <w:rPr>
          <w:sz w:val="24"/>
          <w:szCs w:val="24"/>
          <w:lang w:val="ro-RO"/>
        </w:rPr>
        <w:t>propune</w:t>
      </w:r>
      <w:r w:rsidR="000B672D" w:rsidRPr="000B672D">
        <w:rPr>
          <w:sz w:val="24"/>
          <w:szCs w:val="24"/>
          <w:lang w:val="ro-RO"/>
        </w:rPr>
        <w:t xml:space="preserve"> revizuirea Planului de Evaluare a POCU 2014-2020.  Revizuir</w:t>
      </w:r>
      <w:r>
        <w:rPr>
          <w:sz w:val="24"/>
          <w:szCs w:val="24"/>
          <w:lang w:val="ro-RO"/>
        </w:rPr>
        <w:t>ea</w:t>
      </w:r>
      <w:r w:rsidR="000B672D" w:rsidRPr="000B672D">
        <w:rPr>
          <w:sz w:val="24"/>
          <w:szCs w:val="24"/>
          <w:lang w:val="ro-RO"/>
        </w:rPr>
        <w:t xml:space="preserve"> vizează introducerea în contextele potrivite a aspectelor referitoare la:</w:t>
      </w:r>
    </w:p>
    <w:p w:rsidR="000B672D" w:rsidRPr="000B672D" w:rsidRDefault="000B672D" w:rsidP="000B672D">
      <w:pPr>
        <w:numPr>
          <w:ilvl w:val="0"/>
          <w:numId w:val="27"/>
        </w:numPr>
        <w:spacing w:after="0" w:line="240" w:lineRule="auto"/>
        <w:jc w:val="both"/>
        <w:rPr>
          <w:sz w:val="24"/>
          <w:szCs w:val="24"/>
          <w:lang w:val="ro-RO"/>
        </w:rPr>
      </w:pPr>
      <w:r w:rsidRPr="000B672D">
        <w:rPr>
          <w:sz w:val="24"/>
          <w:szCs w:val="24"/>
          <w:lang w:val="ro-RO"/>
        </w:rPr>
        <w:t xml:space="preserve">evaluarea în exercițiul </w:t>
      </w:r>
      <w:r w:rsidR="00082F7C">
        <w:rPr>
          <w:sz w:val="24"/>
          <w:szCs w:val="24"/>
          <w:lang w:val="ro-RO"/>
        </w:rPr>
        <w:t>2017</w:t>
      </w:r>
      <w:r w:rsidRPr="000B672D">
        <w:rPr>
          <w:sz w:val="24"/>
          <w:szCs w:val="24"/>
          <w:lang w:val="ro-RO"/>
        </w:rPr>
        <w:t xml:space="preserve"> a intervențiilor similare POSDRU, acolo unde nu există suficiente proiecte POCU contractate;</w:t>
      </w:r>
    </w:p>
    <w:p w:rsidR="000B672D" w:rsidRPr="000B672D" w:rsidRDefault="000B672D" w:rsidP="000B672D">
      <w:pPr>
        <w:numPr>
          <w:ilvl w:val="0"/>
          <w:numId w:val="27"/>
        </w:numPr>
        <w:spacing w:after="0" w:line="240" w:lineRule="auto"/>
        <w:jc w:val="both"/>
        <w:rPr>
          <w:sz w:val="24"/>
          <w:szCs w:val="24"/>
          <w:lang w:val="ro-RO"/>
        </w:rPr>
      </w:pPr>
      <w:r w:rsidRPr="000B672D">
        <w:rPr>
          <w:sz w:val="24"/>
          <w:szCs w:val="24"/>
          <w:lang w:val="ro-RO"/>
        </w:rPr>
        <w:t>analizarea succesului intervențiilor POCU 2014-2020 în comparație cu POSDRU 2007-2013.</w:t>
      </w:r>
    </w:p>
    <w:p w:rsidR="00082F7C" w:rsidRDefault="00082F7C" w:rsidP="000B672D">
      <w:pPr>
        <w:spacing w:after="0" w:line="240" w:lineRule="auto"/>
        <w:jc w:val="both"/>
        <w:rPr>
          <w:sz w:val="24"/>
          <w:szCs w:val="24"/>
          <w:lang w:val="ro-RO"/>
        </w:rPr>
      </w:pPr>
    </w:p>
    <w:p w:rsidR="00082F7C" w:rsidRDefault="00082F7C" w:rsidP="000B672D">
      <w:pPr>
        <w:spacing w:after="0" w:line="240" w:lineRule="auto"/>
        <w:jc w:val="both"/>
        <w:rPr>
          <w:sz w:val="24"/>
          <w:szCs w:val="24"/>
          <w:lang w:val="ro-RO"/>
        </w:rPr>
      </w:pPr>
      <w:r>
        <w:rPr>
          <w:sz w:val="24"/>
          <w:szCs w:val="24"/>
          <w:lang w:val="ro-RO"/>
        </w:rPr>
        <w:t xml:space="preserve">Tabelul de mai jos ilustrează corespondența dintre temele de evaluare incluse în Planul de Evaluare a POCU 2014-2020 și </w:t>
      </w:r>
      <w:r w:rsidR="00451FDE">
        <w:rPr>
          <w:sz w:val="24"/>
          <w:szCs w:val="24"/>
          <w:lang w:val="ro-RO"/>
        </w:rPr>
        <w:t>intervențiile</w:t>
      </w:r>
      <w:r>
        <w:rPr>
          <w:sz w:val="24"/>
          <w:szCs w:val="24"/>
          <w:lang w:val="ro-RO"/>
        </w:rPr>
        <w:t xml:space="preserve"> POSDRU 2007-2013, propuse a fi evaluate în anul 2017:</w:t>
      </w:r>
    </w:p>
    <w:p w:rsidR="00082F7C" w:rsidRDefault="00082F7C" w:rsidP="000B672D">
      <w:pPr>
        <w:spacing w:after="0" w:line="240" w:lineRule="auto"/>
        <w:jc w:val="both"/>
        <w:rPr>
          <w:sz w:val="24"/>
          <w:szCs w:val="24"/>
          <w:lang w:val="ro-RO"/>
        </w:rPr>
      </w:pPr>
    </w:p>
    <w:tbl>
      <w:tblPr>
        <w:tblW w:w="4944"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tblPr>
      <w:tblGrid>
        <w:gridCol w:w="535"/>
        <w:gridCol w:w="4115"/>
        <w:gridCol w:w="4813"/>
      </w:tblGrid>
      <w:tr w:rsidR="00AC7A2E" w:rsidRPr="002424E3" w:rsidTr="002424E3">
        <w:trPr>
          <w:trHeight w:val="60"/>
        </w:trPr>
        <w:tc>
          <w:tcPr>
            <w:tcW w:w="283" w:type="pct"/>
            <w:tcBorders>
              <w:top w:val="single" w:sz="4" w:space="0" w:color="ED7D31"/>
              <w:left w:val="single" w:sz="4" w:space="0" w:color="ED7D31"/>
              <w:bottom w:val="single" w:sz="4" w:space="0" w:color="ED7D31"/>
              <w:right w:val="nil"/>
            </w:tcBorders>
            <w:shd w:val="clear" w:color="auto" w:fill="ED7D31"/>
            <w:noWrap/>
            <w:hideMark/>
          </w:tcPr>
          <w:p w:rsidR="00AC7A2E" w:rsidRPr="002424E3" w:rsidRDefault="00AC7A2E" w:rsidP="002424E3">
            <w:pPr>
              <w:pStyle w:val="Style3"/>
              <w:spacing w:after="0" w:line="240" w:lineRule="auto"/>
              <w:jc w:val="center"/>
              <w:rPr>
                <w:rFonts w:ascii="Calibri" w:hAnsi="Calibri" w:cs="Calibri"/>
                <w:b/>
                <w:bCs/>
                <w:sz w:val="18"/>
                <w:szCs w:val="18"/>
              </w:rPr>
            </w:pPr>
            <w:r w:rsidRPr="002424E3">
              <w:rPr>
                <w:rFonts w:ascii="Calibri" w:hAnsi="Calibri" w:cs="Calibri"/>
                <w:b/>
                <w:bCs/>
                <w:sz w:val="18"/>
                <w:szCs w:val="18"/>
              </w:rPr>
              <w:t>Nr</w:t>
            </w:r>
          </w:p>
        </w:tc>
        <w:tc>
          <w:tcPr>
            <w:tcW w:w="2174" w:type="pct"/>
            <w:tcBorders>
              <w:top w:val="single" w:sz="4" w:space="0" w:color="ED7D31"/>
              <w:left w:val="nil"/>
              <w:bottom w:val="single" w:sz="4" w:space="0" w:color="ED7D31"/>
              <w:right w:val="nil"/>
            </w:tcBorders>
            <w:shd w:val="clear" w:color="auto" w:fill="ED7D31"/>
            <w:noWrap/>
            <w:hideMark/>
          </w:tcPr>
          <w:p w:rsidR="00AC7A2E" w:rsidRPr="002424E3" w:rsidRDefault="00AC7A2E" w:rsidP="002424E3">
            <w:pPr>
              <w:pStyle w:val="Style3"/>
              <w:spacing w:after="0" w:line="240" w:lineRule="auto"/>
              <w:jc w:val="center"/>
              <w:rPr>
                <w:rFonts w:ascii="Calibri" w:hAnsi="Calibri" w:cs="Calibri"/>
                <w:b/>
                <w:bCs/>
                <w:sz w:val="18"/>
                <w:szCs w:val="18"/>
              </w:rPr>
            </w:pPr>
            <w:r w:rsidRPr="002424E3">
              <w:rPr>
                <w:rFonts w:ascii="Calibri" w:hAnsi="Calibri" w:cs="Calibri"/>
                <w:b/>
                <w:bCs/>
                <w:sz w:val="18"/>
                <w:szCs w:val="18"/>
              </w:rPr>
              <w:t>Tema</w:t>
            </w:r>
          </w:p>
        </w:tc>
        <w:tc>
          <w:tcPr>
            <w:tcW w:w="2543" w:type="pct"/>
            <w:tcBorders>
              <w:top w:val="single" w:sz="4" w:space="0" w:color="ED7D31"/>
              <w:left w:val="nil"/>
              <w:bottom w:val="single" w:sz="4" w:space="0" w:color="ED7D31"/>
              <w:right w:val="single" w:sz="4" w:space="0" w:color="ED7D31"/>
            </w:tcBorders>
            <w:shd w:val="clear" w:color="auto" w:fill="ED7D31"/>
          </w:tcPr>
          <w:p w:rsidR="00AC7A2E" w:rsidRPr="002424E3" w:rsidRDefault="00451FDE" w:rsidP="002424E3">
            <w:pPr>
              <w:pStyle w:val="Style3"/>
              <w:spacing w:after="0" w:line="240" w:lineRule="auto"/>
              <w:jc w:val="center"/>
              <w:rPr>
                <w:rFonts w:ascii="Calibri" w:hAnsi="Calibri" w:cs="Calibri"/>
                <w:b/>
                <w:bCs/>
                <w:sz w:val="18"/>
                <w:szCs w:val="18"/>
              </w:rPr>
            </w:pPr>
            <w:r>
              <w:rPr>
                <w:rFonts w:ascii="Calibri" w:hAnsi="Calibri" w:cs="Calibri"/>
                <w:b/>
                <w:bCs/>
                <w:sz w:val="18"/>
                <w:szCs w:val="18"/>
              </w:rPr>
              <w:t xml:space="preserve">Intervenții </w:t>
            </w:r>
            <w:r w:rsidR="00AC7A2E" w:rsidRPr="002424E3">
              <w:rPr>
                <w:rFonts w:ascii="Calibri" w:hAnsi="Calibri" w:cs="Calibri"/>
                <w:b/>
                <w:bCs/>
                <w:sz w:val="18"/>
                <w:szCs w:val="18"/>
              </w:rPr>
              <w:t>corespondent</w:t>
            </w:r>
            <w:r>
              <w:rPr>
                <w:rFonts w:ascii="Calibri" w:hAnsi="Calibri" w:cs="Calibri"/>
                <w:b/>
                <w:bCs/>
                <w:sz w:val="18"/>
                <w:szCs w:val="18"/>
              </w:rPr>
              <w:t>e</w:t>
            </w:r>
            <w:r w:rsidR="00AC7A2E" w:rsidRPr="002424E3">
              <w:rPr>
                <w:rFonts w:ascii="Calibri" w:hAnsi="Calibri" w:cs="Calibri"/>
                <w:b/>
                <w:bCs/>
                <w:sz w:val="18"/>
                <w:szCs w:val="18"/>
              </w:rPr>
              <w:t xml:space="preserve"> din POSDRU</w:t>
            </w:r>
          </w:p>
        </w:tc>
      </w:tr>
      <w:tr w:rsidR="00AC7A2E" w:rsidRPr="002424E3" w:rsidTr="002424E3">
        <w:trPr>
          <w:trHeight w:val="555"/>
        </w:trPr>
        <w:tc>
          <w:tcPr>
            <w:tcW w:w="283" w:type="pct"/>
            <w:shd w:val="clear" w:color="auto" w:fill="FBE4D5"/>
            <w:noWrap/>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1</w:t>
            </w:r>
          </w:p>
        </w:tc>
        <w:tc>
          <w:tcPr>
            <w:tcW w:w="2174" w:type="pct"/>
            <w:shd w:val="clear" w:color="auto" w:fill="FBE4D5"/>
            <w:hideMark/>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Evaluarea contribuției POCU la creșterea ocupării în rândul tinerilor NEETs</w:t>
            </w:r>
          </w:p>
        </w:tc>
        <w:tc>
          <w:tcPr>
            <w:tcW w:w="2543" w:type="pct"/>
            <w:shd w:val="clear" w:color="auto" w:fill="FBE4D5"/>
          </w:tcPr>
          <w:p w:rsidR="00AC7A2E" w:rsidRPr="002424E3" w:rsidRDefault="00451FDE" w:rsidP="00451FDE">
            <w:pPr>
              <w:pStyle w:val="Style3"/>
              <w:spacing w:after="0" w:line="240" w:lineRule="auto"/>
              <w:jc w:val="left"/>
              <w:rPr>
                <w:rFonts w:ascii="Calibri" w:hAnsi="Calibri" w:cs="Calibri"/>
                <w:sz w:val="18"/>
                <w:szCs w:val="18"/>
              </w:rPr>
            </w:pPr>
            <w:r>
              <w:rPr>
                <w:rFonts w:ascii="Calibri" w:hAnsi="Calibri" w:cs="Calibri"/>
                <w:sz w:val="18"/>
                <w:szCs w:val="18"/>
              </w:rPr>
              <w:t xml:space="preserve"> 2 proiecte pilot privind tinerii: </w:t>
            </w:r>
            <w:r w:rsidRPr="00451FDE">
              <w:rPr>
                <w:rFonts w:ascii="Calibri" w:hAnsi="Calibri" w:cs="Calibri"/>
                <w:sz w:val="18"/>
                <w:szCs w:val="18"/>
              </w:rPr>
              <w:t>Garantii pentru TINEri!</w:t>
            </w:r>
            <w:r>
              <w:rPr>
                <w:rFonts w:ascii="Calibri" w:hAnsi="Calibri" w:cs="Calibri"/>
                <w:sz w:val="18"/>
                <w:szCs w:val="18"/>
              </w:rPr>
              <w:t xml:space="preserve"> și </w:t>
            </w:r>
            <w:r w:rsidRPr="00451FDE">
              <w:rPr>
                <w:rFonts w:ascii="Calibri" w:hAnsi="Calibri" w:cs="Calibri"/>
                <w:sz w:val="18"/>
                <w:szCs w:val="18"/>
                <w:lang w:val="en-US"/>
              </w:rPr>
              <w:t>Investitia in tineri, investitia in viitorul nostru!</w:t>
            </w:r>
          </w:p>
        </w:tc>
      </w:tr>
      <w:tr w:rsidR="00AC7A2E" w:rsidRPr="002424E3" w:rsidTr="002424E3">
        <w:trPr>
          <w:trHeight w:val="1171"/>
        </w:trPr>
        <w:tc>
          <w:tcPr>
            <w:tcW w:w="283" w:type="pct"/>
            <w:shd w:val="clear" w:color="auto" w:fill="auto"/>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2</w:t>
            </w:r>
          </w:p>
        </w:tc>
        <w:tc>
          <w:tcPr>
            <w:tcW w:w="2174" w:type="pct"/>
            <w:shd w:val="clear" w:color="auto" w:fill="auto"/>
            <w:hideMark/>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Evaluarea contribuției POCU la creșterea gradului de ocupare în rândul următoarele grupuri țintă:</w:t>
            </w:r>
          </w:p>
          <w:p w:rsidR="00AC7A2E" w:rsidRPr="002424E3" w:rsidRDefault="00AC7A2E" w:rsidP="002424E3">
            <w:pPr>
              <w:pStyle w:val="Style3"/>
              <w:spacing w:after="0" w:line="240" w:lineRule="auto"/>
              <w:jc w:val="left"/>
              <w:rPr>
                <w:rFonts w:ascii="Calibri" w:hAnsi="Calibri" w:cs="Calibri"/>
                <w:sz w:val="18"/>
                <w:szCs w:val="18"/>
              </w:rPr>
            </w:pPr>
            <w:r w:rsidRPr="002424E3">
              <w:rPr>
                <w:rFonts w:cs="Arial"/>
                <w:sz w:val="18"/>
                <w:szCs w:val="18"/>
              </w:rPr>
              <w:t xml:space="preserve">► </w:t>
            </w:r>
            <w:r w:rsidRPr="002424E3">
              <w:rPr>
                <w:rFonts w:ascii="Calibri" w:hAnsi="Calibri" w:cs="Calibri"/>
                <w:sz w:val="18"/>
                <w:szCs w:val="18"/>
              </w:rPr>
              <w:t xml:space="preserve">Șomeri și inactivi (OS 3.1, 3.4) inclusiv </w:t>
            </w:r>
          </w:p>
          <w:p w:rsidR="00AC7A2E" w:rsidRPr="002424E3" w:rsidRDefault="00AC7A2E" w:rsidP="002424E3">
            <w:pPr>
              <w:pStyle w:val="Style3"/>
              <w:numPr>
                <w:ilvl w:val="0"/>
                <w:numId w:val="29"/>
              </w:numPr>
              <w:spacing w:after="0" w:line="240" w:lineRule="auto"/>
              <w:jc w:val="left"/>
              <w:rPr>
                <w:rFonts w:ascii="Calibri" w:hAnsi="Calibri" w:cs="Calibri"/>
                <w:sz w:val="18"/>
                <w:szCs w:val="18"/>
              </w:rPr>
            </w:pPr>
            <w:r w:rsidRPr="002424E3">
              <w:rPr>
                <w:rFonts w:ascii="Calibri" w:hAnsi="Calibri" w:cs="Calibri"/>
                <w:sz w:val="18"/>
                <w:szCs w:val="18"/>
              </w:rPr>
              <w:t xml:space="preserve">Minoritate Roma (OS 3.2, 3.5) </w:t>
            </w:r>
          </w:p>
          <w:p w:rsidR="00AC7A2E" w:rsidRPr="002424E3" w:rsidRDefault="00AC7A2E" w:rsidP="002424E3">
            <w:pPr>
              <w:pStyle w:val="Style3"/>
              <w:numPr>
                <w:ilvl w:val="0"/>
                <w:numId w:val="29"/>
              </w:numPr>
              <w:spacing w:after="0" w:line="240" w:lineRule="auto"/>
              <w:jc w:val="left"/>
              <w:rPr>
                <w:rFonts w:ascii="Calibri" w:hAnsi="Calibri" w:cs="Calibri"/>
                <w:sz w:val="18"/>
                <w:szCs w:val="18"/>
              </w:rPr>
            </w:pPr>
            <w:r w:rsidRPr="002424E3">
              <w:rPr>
                <w:rFonts w:ascii="Calibri" w:hAnsi="Calibri" w:cs="Calibri"/>
                <w:sz w:val="18"/>
                <w:szCs w:val="18"/>
              </w:rPr>
              <w:t xml:space="preserve">Populația din mediul rural (OS 3.3, 3.6) </w:t>
            </w:r>
          </w:p>
          <w:p w:rsidR="00AC7A2E" w:rsidRPr="002424E3" w:rsidRDefault="00AC7A2E" w:rsidP="002424E3">
            <w:pPr>
              <w:pStyle w:val="Style3"/>
              <w:spacing w:after="0" w:line="240" w:lineRule="auto"/>
              <w:jc w:val="left"/>
              <w:rPr>
                <w:rFonts w:ascii="Calibri" w:hAnsi="Calibri" w:cs="Calibri"/>
                <w:sz w:val="18"/>
                <w:szCs w:val="18"/>
              </w:rPr>
            </w:pPr>
            <w:r w:rsidRPr="002424E3">
              <w:rPr>
                <w:rFonts w:cs="Arial"/>
                <w:sz w:val="18"/>
                <w:szCs w:val="18"/>
              </w:rPr>
              <w:t>►</w:t>
            </w:r>
            <w:r w:rsidRPr="002424E3">
              <w:rPr>
                <w:rFonts w:ascii="Calibri" w:hAnsi="Calibri" w:cs="Calibri"/>
                <w:sz w:val="18"/>
                <w:szCs w:val="18"/>
              </w:rPr>
              <w:t xml:space="preserve"> Angajații din sectoarele economice cu potențial competitiv și în domenii de specializare inteligentă, care urmează a fi disponibilizați/concediați  (OS 3.9)</w:t>
            </w:r>
          </w:p>
        </w:tc>
        <w:tc>
          <w:tcPr>
            <w:tcW w:w="2543" w:type="pct"/>
            <w:shd w:val="clear" w:color="auto" w:fill="auto"/>
          </w:tcPr>
          <w:p w:rsidR="00AC7A2E" w:rsidRPr="002424E3" w:rsidRDefault="00FD577B" w:rsidP="002424E3">
            <w:pPr>
              <w:pStyle w:val="Style3"/>
              <w:spacing w:after="0" w:line="240" w:lineRule="auto"/>
              <w:jc w:val="left"/>
              <w:rPr>
                <w:rFonts w:ascii="Calibri" w:hAnsi="Calibri" w:cs="Calibri"/>
                <w:iCs/>
                <w:sz w:val="18"/>
                <w:szCs w:val="18"/>
              </w:rPr>
            </w:pPr>
            <w:r>
              <w:rPr>
                <w:rFonts w:ascii="Calibri" w:hAnsi="Calibri" w:cs="Calibri"/>
                <w:iCs/>
                <w:sz w:val="18"/>
                <w:szCs w:val="18"/>
              </w:rPr>
              <w:t xml:space="preserve">DMI </w:t>
            </w:r>
            <w:r w:rsidR="00AC7A2E" w:rsidRPr="002424E3">
              <w:rPr>
                <w:rFonts w:ascii="Calibri" w:hAnsi="Calibri" w:cs="Calibri"/>
                <w:iCs/>
                <w:sz w:val="18"/>
                <w:szCs w:val="18"/>
              </w:rPr>
              <w:t xml:space="preserve">3.2 Formare și sprijin pentru întreprinderi și angajați pentru promovarea adaptabilității; </w:t>
            </w:r>
          </w:p>
          <w:p w:rsidR="00AC7A2E" w:rsidRPr="002424E3" w:rsidRDefault="00FD577B" w:rsidP="002424E3">
            <w:pPr>
              <w:pStyle w:val="Style3"/>
              <w:spacing w:after="0" w:line="240" w:lineRule="auto"/>
              <w:jc w:val="left"/>
              <w:rPr>
                <w:rFonts w:ascii="Calibri" w:hAnsi="Calibri" w:cs="Calibri"/>
                <w:iCs/>
                <w:sz w:val="18"/>
                <w:szCs w:val="18"/>
              </w:rPr>
            </w:pPr>
            <w:r>
              <w:rPr>
                <w:rFonts w:ascii="Calibri" w:hAnsi="Calibri" w:cs="Calibri"/>
                <w:iCs/>
                <w:sz w:val="18"/>
                <w:szCs w:val="18"/>
              </w:rPr>
              <w:t xml:space="preserve">DMI </w:t>
            </w:r>
            <w:r w:rsidR="00AC7A2E" w:rsidRPr="002424E3">
              <w:rPr>
                <w:rFonts w:ascii="Calibri" w:hAnsi="Calibri" w:cs="Calibri"/>
                <w:iCs/>
                <w:sz w:val="18"/>
                <w:szCs w:val="18"/>
              </w:rPr>
              <w:t xml:space="preserve">5.1 Dezvoltarea și implementarea măsurilor active de ocupare; </w:t>
            </w:r>
          </w:p>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iCs/>
                <w:sz w:val="18"/>
                <w:szCs w:val="18"/>
              </w:rPr>
              <w:t xml:space="preserve">DMI </w:t>
            </w:r>
            <w:r w:rsidR="00AC7A2E" w:rsidRPr="002424E3">
              <w:rPr>
                <w:rFonts w:ascii="Calibri" w:hAnsi="Calibri" w:cs="Calibri"/>
                <w:iCs/>
                <w:sz w:val="18"/>
                <w:szCs w:val="18"/>
              </w:rPr>
              <w:t>5.2 Promovarea  sustenabilității  pe  termen  lung  a  zonelor  rurale  în  ceea  ce  privește dezvoltarea resurselor umane și ocuparea forței de muncă.</w:t>
            </w:r>
          </w:p>
        </w:tc>
      </w:tr>
      <w:tr w:rsidR="00AC7A2E" w:rsidRPr="002424E3" w:rsidTr="002424E3">
        <w:trPr>
          <w:trHeight w:val="263"/>
        </w:trPr>
        <w:tc>
          <w:tcPr>
            <w:tcW w:w="283" w:type="pct"/>
            <w:shd w:val="clear" w:color="auto" w:fill="FBE4D5"/>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3</w:t>
            </w:r>
          </w:p>
        </w:tc>
        <w:tc>
          <w:tcPr>
            <w:tcW w:w="2174" w:type="pct"/>
            <w:shd w:val="clear" w:color="auto" w:fill="FBE4D5"/>
            <w:hideMark/>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Evaluarea contribuției POCU la creșterea ocupării forței de muncă prin sprijinirea întreprinderilor non-agricole în zonele urbane</w:t>
            </w:r>
          </w:p>
        </w:tc>
        <w:tc>
          <w:tcPr>
            <w:tcW w:w="2543" w:type="pct"/>
            <w:shd w:val="clear" w:color="auto" w:fill="FBE4D5"/>
          </w:tcPr>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sz w:val="18"/>
                <w:szCs w:val="18"/>
              </w:rPr>
              <w:t xml:space="preserve">DMI </w:t>
            </w:r>
            <w:r w:rsidR="00AC7A2E" w:rsidRPr="002424E3">
              <w:rPr>
                <w:rFonts w:ascii="Calibri" w:hAnsi="Calibri" w:cs="Calibri"/>
                <w:sz w:val="18"/>
                <w:szCs w:val="18"/>
              </w:rPr>
              <w:t>3.1 Promovarea culturii antreprenoriale</w:t>
            </w:r>
          </w:p>
        </w:tc>
      </w:tr>
      <w:tr w:rsidR="00AC7A2E" w:rsidRPr="002424E3" w:rsidTr="002424E3">
        <w:trPr>
          <w:trHeight w:val="60"/>
        </w:trPr>
        <w:tc>
          <w:tcPr>
            <w:tcW w:w="283" w:type="pct"/>
            <w:shd w:val="clear" w:color="auto" w:fill="auto"/>
            <w:noWrap/>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4</w:t>
            </w:r>
          </w:p>
        </w:tc>
        <w:tc>
          <w:tcPr>
            <w:tcW w:w="2174" w:type="pct"/>
            <w:shd w:val="clear" w:color="auto" w:fill="auto"/>
            <w:hideMark/>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Evaluarea contribuției POCU la adaptarea structurilor SPO la nevoile pieței muncii și sporirea gradului de satisfacție a clienților</w:t>
            </w:r>
          </w:p>
        </w:tc>
        <w:tc>
          <w:tcPr>
            <w:tcW w:w="2543" w:type="pct"/>
            <w:shd w:val="clear" w:color="auto" w:fill="auto"/>
          </w:tcPr>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sz w:val="18"/>
                <w:szCs w:val="18"/>
              </w:rPr>
              <w:t xml:space="preserve">DMI </w:t>
            </w:r>
            <w:r w:rsidR="00AC7A2E" w:rsidRPr="002424E3">
              <w:rPr>
                <w:rFonts w:ascii="Calibri" w:hAnsi="Calibri" w:cs="Calibri"/>
                <w:sz w:val="18"/>
                <w:szCs w:val="18"/>
              </w:rPr>
              <w:t>4.1 Întărirea  capacității  SPO  pentru furnizarea serviciilor de ocupare;</w:t>
            </w:r>
          </w:p>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sz w:val="18"/>
                <w:szCs w:val="18"/>
              </w:rPr>
              <w:t xml:space="preserve">DMI </w:t>
            </w:r>
            <w:r w:rsidR="00AC7A2E" w:rsidRPr="002424E3">
              <w:rPr>
                <w:rFonts w:ascii="Calibri" w:hAnsi="Calibri" w:cs="Calibri"/>
                <w:sz w:val="18"/>
                <w:szCs w:val="18"/>
              </w:rPr>
              <w:t>4.2 Formarea personalului propriu al SPO.</w:t>
            </w:r>
          </w:p>
        </w:tc>
      </w:tr>
      <w:tr w:rsidR="00AC7A2E" w:rsidRPr="002424E3" w:rsidTr="002424E3">
        <w:trPr>
          <w:trHeight w:val="671"/>
        </w:trPr>
        <w:tc>
          <w:tcPr>
            <w:tcW w:w="283" w:type="pct"/>
            <w:shd w:val="clear" w:color="auto" w:fill="FBE4D5"/>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5</w:t>
            </w:r>
          </w:p>
        </w:tc>
        <w:tc>
          <w:tcPr>
            <w:tcW w:w="2174" w:type="pct"/>
            <w:shd w:val="clear" w:color="auto" w:fill="FBE4D5"/>
            <w:hideMark/>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 xml:space="preserve">Evaluarea contribuției POCU la creșterea adaptabilității întreprinderilor din sectoarele economice cu potențial competitiv / domeniilor de specializare inteligentă </w:t>
            </w:r>
          </w:p>
        </w:tc>
        <w:tc>
          <w:tcPr>
            <w:tcW w:w="2543" w:type="pct"/>
            <w:shd w:val="clear" w:color="auto" w:fill="FBE4D5"/>
          </w:tcPr>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iCs/>
                <w:sz w:val="18"/>
                <w:szCs w:val="18"/>
              </w:rPr>
              <w:t xml:space="preserve">DMI </w:t>
            </w:r>
            <w:r w:rsidR="00AC7A2E" w:rsidRPr="002424E3">
              <w:rPr>
                <w:rFonts w:ascii="Calibri" w:hAnsi="Calibri" w:cs="Calibri"/>
                <w:iCs/>
                <w:sz w:val="18"/>
                <w:szCs w:val="18"/>
              </w:rPr>
              <w:t>3.2 Formare și sprijin pentru întreprinderi și angajați pentru promovarea adaptabilității din POSDRU</w:t>
            </w:r>
          </w:p>
        </w:tc>
      </w:tr>
      <w:tr w:rsidR="00AC7A2E" w:rsidRPr="002424E3" w:rsidTr="002424E3">
        <w:trPr>
          <w:trHeight w:val="199"/>
        </w:trPr>
        <w:tc>
          <w:tcPr>
            <w:tcW w:w="283" w:type="pct"/>
            <w:shd w:val="clear" w:color="auto" w:fill="auto"/>
            <w:noWrap/>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6</w:t>
            </w:r>
          </w:p>
        </w:tc>
        <w:tc>
          <w:tcPr>
            <w:tcW w:w="2174" w:type="pct"/>
            <w:shd w:val="clear" w:color="auto" w:fill="auto"/>
            <w:hideMark/>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Evaluarea contribuției POCU la îmbunătățirea cunoștințelor / competențelor / abilităților angajaților din sectoarele economice cu potențial competitiv / domeniilor de specializare inteligentă</w:t>
            </w:r>
          </w:p>
        </w:tc>
        <w:tc>
          <w:tcPr>
            <w:tcW w:w="2543" w:type="pct"/>
            <w:shd w:val="clear" w:color="auto" w:fill="auto"/>
          </w:tcPr>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iCs/>
                <w:sz w:val="18"/>
                <w:szCs w:val="18"/>
              </w:rPr>
              <w:t xml:space="preserve">DMI </w:t>
            </w:r>
            <w:r w:rsidR="00AC7A2E" w:rsidRPr="002424E3">
              <w:rPr>
                <w:rFonts w:ascii="Calibri" w:hAnsi="Calibri" w:cs="Calibri"/>
                <w:iCs/>
                <w:sz w:val="18"/>
                <w:szCs w:val="18"/>
              </w:rPr>
              <w:t>3.2 Formare și sprijin pentru întreprinderi și angajați pentru promovarea adaptabilității din POSDRU</w:t>
            </w:r>
          </w:p>
        </w:tc>
      </w:tr>
      <w:tr w:rsidR="00AC7A2E" w:rsidRPr="002424E3" w:rsidTr="002424E3">
        <w:trPr>
          <w:trHeight w:val="1408"/>
        </w:trPr>
        <w:tc>
          <w:tcPr>
            <w:tcW w:w="283" w:type="pct"/>
            <w:shd w:val="clear" w:color="auto" w:fill="FBE4D5"/>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7</w:t>
            </w:r>
          </w:p>
        </w:tc>
        <w:tc>
          <w:tcPr>
            <w:tcW w:w="2174" w:type="pct"/>
            <w:shd w:val="clear" w:color="auto" w:fill="FBE4D5"/>
            <w:hideMark/>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 xml:space="preserve">Evaluarea contribuției POCU la reducerea numărului de persoane expuse riscului de sărăcie în: </w:t>
            </w:r>
          </w:p>
          <w:p w:rsidR="00AC7A2E" w:rsidRPr="002424E3" w:rsidRDefault="00AC7A2E" w:rsidP="002424E3">
            <w:pPr>
              <w:pStyle w:val="Style3"/>
              <w:spacing w:after="0" w:line="240" w:lineRule="auto"/>
              <w:jc w:val="left"/>
              <w:rPr>
                <w:rFonts w:ascii="Calibri" w:hAnsi="Calibri" w:cs="Calibri"/>
                <w:sz w:val="18"/>
                <w:szCs w:val="18"/>
              </w:rPr>
            </w:pPr>
            <w:r w:rsidRPr="002424E3">
              <w:rPr>
                <w:rFonts w:cs="Arial"/>
                <w:sz w:val="18"/>
                <w:szCs w:val="18"/>
              </w:rPr>
              <w:t>►</w:t>
            </w:r>
            <w:r w:rsidRPr="002424E3">
              <w:rPr>
                <w:rFonts w:ascii="Calibri" w:hAnsi="Calibri" w:cs="Calibri"/>
                <w:sz w:val="18"/>
                <w:szCs w:val="18"/>
              </w:rPr>
              <w:t xml:space="preserve"> Comunități marginalizate, cu populație de etnie romă (non - DLRC) (OS 4.1)</w:t>
            </w:r>
          </w:p>
          <w:p w:rsidR="00AC7A2E" w:rsidRPr="002424E3" w:rsidRDefault="00AC7A2E" w:rsidP="002424E3">
            <w:pPr>
              <w:pStyle w:val="Style3"/>
              <w:spacing w:after="0" w:line="240" w:lineRule="auto"/>
              <w:jc w:val="left"/>
              <w:rPr>
                <w:rFonts w:ascii="Calibri" w:hAnsi="Calibri" w:cs="Calibri"/>
                <w:sz w:val="18"/>
                <w:szCs w:val="18"/>
              </w:rPr>
            </w:pPr>
            <w:r w:rsidRPr="002424E3">
              <w:rPr>
                <w:rFonts w:cs="Arial"/>
                <w:sz w:val="18"/>
                <w:szCs w:val="18"/>
              </w:rPr>
              <w:t>►</w:t>
            </w:r>
            <w:r w:rsidRPr="002424E3">
              <w:rPr>
                <w:rFonts w:ascii="Calibri" w:hAnsi="Calibri" w:cs="Calibri"/>
                <w:sz w:val="18"/>
                <w:szCs w:val="18"/>
              </w:rPr>
              <w:t xml:space="preserve"> Comunități marginalizate non-roma (non - DLRC) (OS 4.2) </w:t>
            </w:r>
          </w:p>
          <w:p w:rsidR="00AC7A2E" w:rsidRPr="002424E3" w:rsidRDefault="00AC7A2E" w:rsidP="002424E3">
            <w:pPr>
              <w:pStyle w:val="Style3"/>
              <w:spacing w:after="0" w:line="240" w:lineRule="auto"/>
              <w:jc w:val="left"/>
              <w:rPr>
                <w:rFonts w:ascii="Calibri" w:hAnsi="Calibri" w:cs="Calibri"/>
                <w:sz w:val="18"/>
                <w:szCs w:val="18"/>
              </w:rPr>
            </w:pPr>
            <w:r w:rsidRPr="002424E3">
              <w:rPr>
                <w:rFonts w:cs="Arial"/>
                <w:sz w:val="18"/>
                <w:szCs w:val="18"/>
              </w:rPr>
              <w:t>►</w:t>
            </w:r>
            <w:r w:rsidRPr="002424E3">
              <w:rPr>
                <w:rFonts w:ascii="Calibri" w:hAnsi="Calibri" w:cs="Calibri"/>
                <w:sz w:val="18"/>
                <w:szCs w:val="18"/>
              </w:rPr>
              <w:t xml:space="preserve"> Comunitățile marginalizate eligibile pentru DLRC, cu peste 20.000 de locuitori (OS 5.1) </w:t>
            </w:r>
          </w:p>
          <w:p w:rsidR="00AC7A2E" w:rsidRPr="002424E3" w:rsidRDefault="00AC7A2E" w:rsidP="002424E3">
            <w:pPr>
              <w:pStyle w:val="Style3"/>
              <w:spacing w:after="0" w:line="240" w:lineRule="auto"/>
              <w:jc w:val="left"/>
              <w:rPr>
                <w:rFonts w:ascii="Calibri" w:hAnsi="Calibri" w:cs="Calibri"/>
                <w:sz w:val="18"/>
                <w:szCs w:val="18"/>
              </w:rPr>
            </w:pPr>
            <w:r w:rsidRPr="002424E3">
              <w:rPr>
                <w:rFonts w:cs="Arial"/>
                <w:sz w:val="18"/>
                <w:szCs w:val="18"/>
              </w:rPr>
              <w:t>►</w:t>
            </w:r>
            <w:r w:rsidRPr="002424E3">
              <w:rPr>
                <w:rFonts w:ascii="Calibri" w:hAnsi="Calibri" w:cs="Calibri"/>
                <w:sz w:val="18"/>
                <w:szCs w:val="18"/>
              </w:rPr>
              <w:t xml:space="preserve"> Comunitățile marginalizate eligibile pentru DLRC, având maxim 20.000 de locuitori (OS 5.2)</w:t>
            </w:r>
          </w:p>
        </w:tc>
        <w:tc>
          <w:tcPr>
            <w:tcW w:w="2543" w:type="pct"/>
            <w:shd w:val="clear" w:color="auto" w:fill="FBE4D5"/>
          </w:tcPr>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sz w:val="18"/>
                <w:szCs w:val="18"/>
              </w:rPr>
              <w:t xml:space="preserve">DMI </w:t>
            </w:r>
            <w:r w:rsidR="00AC7A2E" w:rsidRPr="002424E3">
              <w:rPr>
                <w:rFonts w:ascii="Calibri" w:hAnsi="Calibri" w:cs="Calibri"/>
                <w:sz w:val="18"/>
                <w:szCs w:val="18"/>
              </w:rPr>
              <w:t>2.2  Prevenirea și corectarea părăsirii timpurii a școlii;</w:t>
            </w:r>
          </w:p>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sz w:val="18"/>
                <w:szCs w:val="18"/>
              </w:rPr>
              <w:t xml:space="preserve">DMI </w:t>
            </w:r>
            <w:r w:rsidR="00AC7A2E" w:rsidRPr="002424E3">
              <w:rPr>
                <w:rFonts w:ascii="Calibri" w:hAnsi="Calibri" w:cs="Calibri"/>
                <w:sz w:val="18"/>
                <w:szCs w:val="18"/>
              </w:rPr>
              <w:t xml:space="preserve">6.2 Îmbunătățirea accesului și a participării grupurilor vulnerabile pe piața muncii; </w:t>
            </w:r>
          </w:p>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sz w:val="18"/>
                <w:szCs w:val="18"/>
              </w:rPr>
              <w:t xml:space="preserve">DMI </w:t>
            </w:r>
            <w:r w:rsidR="00AC7A2E" w:rsidRPr="002424E3">
              <w:rPr>
                <w:rFonts w:ascii="Calibri" w:hAnsi="Calibri" w:cs="Calibri"/>
                <w:sz w:val="18"/>
                <w:szCs w:val="18"/>
              </w:rPr>
              <w:t>6.3 Promovarea egalității de șanse pe piața muncii.</w:t>
            </w:r>
          </w:p>
        </w:tc>
      </w:tr>
      <w:tr w:rsidR="00AC7A2E" w:rsidRPr="002424E3" w:rsidTr="002424E3">
        <w:trPr>
          <w:trHeight w:val="60"/>
        </w:trPr>
        <w:tc>
          <w:tcPr>
            <w:tcW w:w="283" w:type="pct"/>
            <w:shd w:val="clear" w:color="auto" w:fill="auto"/>
            <w:noWrap/>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8</w:t>
            </w:r>
          </w:p>
        </w:tc>
        <w:tc>
          <w:tcPr>
            <w:tcW w:w="2174" w:type="pct"/>
            <w:shd w:val="clear" w:color="auto" w:fill="auto"/>
            <w:hideMark/>
          </w:tcPr>
          <w:p w:rsidR="00AC7A2E" w:rsidRPr="002424E3" w:rsidRDefault="00AC7A2E" w:rsidP="002424E3">
            <w:pPr>
              <w:pStyle w:val="Style3"/>
              <w:spacing w:after="0" w:line="240" w:lineRule="auto"/>
              <w:jc w:val="left"/>
              <w:rPr>
                <w:rFonts w:ascii="Calibri" w:hAnsi="Calibri" w:cs="Calibri"/>
                <w:iCs/>
                <w:sz w:val="18"/>
                <w:szCs w:val="18"/>
              </w:rPr>
            </w:pPr>
            <w:r w:rsidRPr="002424E3">
              <w:rPr>
                <w:rFonts w:ascii="Calibri" w:hAnsi="Calibri" w:cs="Calibri"/>
                <w:sz w:val="18"/>
                <w:szCs w:val="18"/>
              </w:rPr>
              <w:t>Evaluarea contribuției POCU la îmbunătățirea alfabetizării digitale a populației din comunitățile dezavantajate</w:t>
            </w:r>
          </w:p>
        </w:tc>
        <w:tc>
          <w:tcPr>
            <w:tcW w:w="2543" w:type="pct"/>
            <w:shd w:val="clear" w:color="auto" w:fill="auto"/>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NA</w:t>
            </w:r>
          </w:p>
        </w:tc>
      </w:tr>
      <w:tr w:rsidR="00AC7A2E" w:rsidRPr="002424E3" w:rsidTr="002424E3">
        <w:trPr>
          <w:trHeight w:val="60"/>
        </w:trPr>
        <w:tc>
          <w:tcPr>
            <w:tcW w:w="283" w:type="pct"/>
            <w:shd w:val="clear" w:color="auto" w:fill="FBE4D5"/>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lastRenderedPageBreak/>
              <w:t>9</w:t>
            </w:r>
          </w:p>
        </w:tc>
        <w:tc>
          <w:tcPr>
            <w:tcW w:w="2174" w:type="pct"/>
            <w:shd w:val="clear" w:color="auto" w:fill="FBE4D5"/>
            <w:hideMark/>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Evaluarea contribuției POCU la depășirea situațiilor de vulnerabilitate</w:t>
            </w:r>
          </w:p>
        </w:tc>
        <w:tc>
          <w:tcPr>
            <w:tcW w:w="2543" w:type="pct"/>
            <w:shd w:val="clear" w:color="auto" w:fill="FBE4D5"/>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NA</w:t>
            </w:r>
          </w:p>
        </w:tc>
      </w:tr>
      <w:tr w:rsidR="00AC7A2E" w:rsidRPr="002424E3" w:rsidTr="002424E3">
        <w:trPr>
          <w:trHeight w:val="60"/>
        </w:trPr>
        <w:tc>
          <w:tcPr>
            <w:tcW w:w="283" w:type="pct"/>
            <w:shd w:val="clear" w:color="auto" w:fill="auto"/>
            <w:noWrap/>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10</w:t>
            </w:r>
          </w:p>
        </w:tc>
        <w:tc>
          <w:tcPr>
            <w:tcW w:w="2174" w:type="pct"/>
            <w:shd w:val="clear" w:color="auto" w:fill="auto"/>
            <w:hideMark/>
          </w:tcPr>
          <w:p w:rsidR="00AC7A2E" w:rsidRPr="002424E3" w:rsidRDefault="00AC7A2E" w:rsidP="002424E3">
            <w:pPr>
              <w:pStyle w:val="Style3"/>
              <w:spacing w:after="0" w:line="240" w:lineRule="auto"/>
              <w:jc w:val="left"/>
              <w:rPr>
                <w:rFonts w:ascii="Calibri" w:hAnsi="Calibri" w:cs="Calibri"/>
                <w:iCs/>
                <w:sz w:val="18"/>
                <w:szCs w:val="18"/>
              </w:rPr>
            </w:pPr>
            <w:r w:rsidRPr="002424E3">
              <w:rPr>
                <w:rFonts w:ascii="Calibri" w:hAnsi="Calibri" w:cs="Calibri"/>
                <w:sz w:val="18"/>
                <w:szCs w:val="18"/>
              </w:rPr>
              <w:t>Evaluarea contribuției POCU la creșterea calității și accesului la servicii sociale</w:t>
            </w:r>
          </w:p>
        </w:tc>
        <w:tc>
          <w:tcPr>
            <w:tcW w:w="2543" w:type="pct"/>
            <w:shd w:val="clear" w:color="auto" w:fill="auto"/>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NA</w:t>
            </w:r>
          </w:p>
        </w:tc>
      </w:tr>
      <w:tr w:rsidR="00AC7A2E" w:rsidRPr="002424E3" w:rsidTr="002424E3">
        <w:trPr>
          <w:trHeight w:val="60"/>
        </w:trPr>
        <w:tc>
          <w:tcPr>
            <w:tcW w:w="283" w:type="pct"/>
            <w:shd w:val="clear" w:color="auto" w:fill="FBE4D5"/>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11</w:t>
            </w:r>
          </w:p>
        </w:tc>
        <w:tc>
          <w:tcPr>
            <w:tcW w:w="2174" w:type="pct"/>
            <w:shd w:val="clear" w:color="auto" w:fill="FBE4D5"/>
            <w:hideMark/>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Evaluarea contribuției POCU la creșterea calității și accesului la serviciile medicale</w:t>
            </w:r>
          </w:p>
        </w:tc>
        <w:tc>
          <w:tcPr>
            <w:tcW w:w="2543" w:type="pct"/>
            <w:shd w:val="clear" w:color="auto" w:fill="FBE4D5"/>
          </w:tcPr>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iCs/>
                <w:sz w:val="18"/>
                <w:szCs w:val="18"/>
              </w:rPr>
              <w:t xml:space="preserve">DMI </w:t>
            </w:r>
            <w:r w:rsidR="00AC7A2E" w:rsidRPr="002424E3">
              <w:rPr>
                <w:rFonts w:ascii="Calibri" w:hAnsi="Calibri" w:cs="Calibri"/>
                <w:iCs/>
                <w:sz w:val="18"/>
                <w:szCs w:val="18"/>
              </w:rPr>
              <w:t>2.3 Acces și participare la FPC</w:t>
            </w:r>
          </w:p>
        </w:tc>
      </w:tr>
      <w:tr w:rsidR="00AC7A2E" w:rsidRPr="002424E3" w:rsidTr="002424E3">
        <w:trPr>
          <w:trHeight w:val="60"/>
        </w:trPr>
        <w:tc>
          <w:tcPr>
            <w:tcW w:w="283" w:type="pct"/>
            <w:shd w:val="clear" w:color="auto" w:fill="auto"/>
            <w:noWrap/>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12</w:t>
            </w:r>
          </w:p>
        </w:tc>
        <w:tc>
          <w:tcPr>
            <w:tcW w:w="2174" w:type="pct"/>
            <w:shd w:val="clear" w:color="auto" w:fill="auto"/>
            <w:hideMark/>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Evaluarea contribuției POCU la tranziția de la sistemul instituționalizat către servicii la nivel comunitar</w:t>
            </w:r>
          </w:p>
        </w:tc>
        <w:tc>
          <w:tcPr>
            <w:tcW w:w="2543" w:type="pct"/>
            <w:shd w:val="clear" w:color="auto" w:fill="auto"/>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NA</w:t>
            </w:r>
          </w:p>
        </w:tc>
      </w:tr>
      <w:tr w:rsidR="00AC7A2E" w:rsidRPr="002424E3" w:rsidTr="002424E3">
        <w:trPr>
          <w:trHeight w:val="60"/>
        </w:trPr>
        <w:tc>
          <w:tcPr>
            <w:tcW w:w="283" w:type="pct"/>
            <w:shd w:val="clear" w:color="auto" w:fill="FBE4D5"/>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13</w:t>
            </w:r>
          </w:p>
        </w:tc>
        <w:tc>
          <w:tcPr>
            <w:tcW w:w="2174" w:type="pct"/>
            <w:shd w:val="clear" w:color="auto" w:fill="FBE4D5"/>
            <w:hideMark/>
          </w:tcPr>
          <w:p w:rsidR="00AC7A2E" w:rsidRPr="002424E3" w:rsidRDefault="00AC7A2E" w:rsidP="002424E3">
            <w:pPr>
              <w:pStyle w:val="Style3"/>
              <w:spacing w:after="0" w:line="240" w:lineRule="auto"/>
              <w:jc w:val="left"/>
              <w:rPr>
                <w:rFonts w:ascii="Calibri" w:hAnsi="Calibri" w:cs="Calibri"/>
                <w:iCs/>
                <w:sz w:val="18"/>
                <w:szCs w:val="18"/>
              </w:rPr>
            </w:pPr>
            <w:r w:rsidRPr="002424E3">
              <w:rPr>
                <w:rFonts w:ascii="Calibri" w:hAnsi="Calibri" w:cs="Calibri"/>
                <w:sz w:val="18"/>
                <w:szCs w:val="18"/>
              </w:rPr>
              <w:t>Evaluarea contribuției POCU la dezvoltarea economiei sociale și promovarea antreprenoriatului social</w:t>
            </w:r>
          </w:p>
        </w:tc>
        <w:tc>
          <w:tcPr>
            <w:tcW w:w="2543" w:type="pct"/>
            <w:shd w:val="clear" w:color="auto" w:fill="FBE4D5"/>
          </w:tcPr>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sz w:val="18"/>
                <w:szCs w:val="18"/>
              </w:rPr>
              <w:t xml:space="preserve">DMI </w:t>
            </w:r>
            <w:r w:rsidR="00AC7A2E" w:rsidRPr="002424E3">
              <w:rPr>
                <w:rFonts w:ascii="Calibri" w:hAnsi="Calibri" w:cs="Calibri"/>
                <w:sz w:val="18"/>
                <w:szCs w:val="18"/>
              </w:rPr>
              <w:t>6.1 Dezvoltarea economiei sociale din POSDRU</w:t>
            </w:r>
          </w:p>
        </w:tc>
      </w:tr>
      <w:tr w:rsidR="00AC7A2E" w:rsidRPr="002424E3" w:rsidTr="002424E3">
        <w:trPr>
          <w:trHeight w:val="477"/>
        </w:trPr>
        <w:tc>
          <w:tcPr>
            <w:tcW w:w="283" w:type="pct"/>
            <w:shd w:val="clear" w:color="auto" w:fill="auto"/>
            <w:noWrap/>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14</w:t>
            </w:r>
          </w:p>
        </w:tc>
        <w:tc>
          <w:tcPr>
            <w:tcW w:w="2174" w:type="pct"/>
            <w:shd w:val="clear" w:color="auto" w:fill="auto"/>
            <w:hideMark/>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Evaluarea contribuției POCU la creșterea participării la sistemul de învățământ, ISCED 0-8, inclusiv prin prevenirea și corectarea părăsirii timpurii a școlii</w:t>
            </w:r>
          </w:p>
        </w:tc>
        <w:tc>
          <w:tcPr>
            <w:tcW w:w="2543" w:type="pct"/>
            <w:shd w:val="clear" w:color="auto" w:fill="auto"/>
          </w:tcPr>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sz w:val="18"/>
                <w:szCs w:val="18"/>
              </w:rPr>
              <w:t xml:space="preserve">DMI </w:t>
            </w:r>
            <w:r w:rsidR="00AC7A2E" w:rsidRPr="002424E3">
              <w:rPr>
                <w:rFonts w:ascii="Calibri" w:hAnsi="Calibri" w:cs="Calibri"/>
                <w:sz w:val="18"/>
                <w:szCs w:val="18"/>
              </w:rPr>
              <w:t>2.2  Prevenirea și corectarea părăsirii timpurii a școlii;</w:t>
            </w:r>
          </w:p>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sz w:val="18"/>
                <w:szCs w:val="18"/>
              </w:rPr>
              <w:t xml:space="preserve">DMI </w:t>
            </w:r>
            <w:r w:rsidR="00AC7A2E" w:rsidRPr="002424E3">
              <w:rPr>
                <w:rFonts w:ascii="Calibri" w:hAnsi="Calibri" w:cs="Calibri"/>
                <w:sz w:val="18"/>
                <w:szCs w:val="18"/>
              </w:rPr>
              <w:t>2.3 Acces și participare la FPC;</w:t>
            </w:r>
          </w:p>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sz w:val="18"/>
                <w:szCs w:val="18"/>
              </w:rPr>
              <w:t xml:space="preserve">DMI </w:t>
            </w:r>
            <w:r w:rsidR="00AC7A2E" w:rsidRPr="002424E3">
              <w:rPr>
                <w:rFonts w:ascii="Calibri" w:hAnsi="Calibri" w:cs="Calibri"/>
                <w:sz w:val="18"/>
                <w:szCs w:val="18"/>
              </w:rPr>
              <w:t>6.2 Îmbunătățirea accesului și a participării grupurilor vulnerabile pe piața muncii.</w:t>
            </w:r>
          </w:p>
        </w:tc>
      </w:tr>
      <w:tr w:rsidR="00AC7A2E" w:rsidRPr="002424E3" w:rsidTr="002424E3">
        <w:trPr>
          <w:trHeight w:val="712"/>
        </w:trPr>
        <w:tc>
          <w:tcPr>
            <w:tcW w:w="283" w:type="pct"/>
            <w:shd w:val="clear" w:color="auto" w:fill="FBE4D5"/>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15</w:t>
            </w:r>
          </w:p>
        </w:tc>
        <w:tc>
          <w:tcPr>
            <w:tcW w:w="2174" w:type="pct"/>
            <w:shd w:val="clear" w:color="auto" w:fill="FBE4D5"/>
            <w:hideMark/>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Evaluarea POCU privind creșterea participării la FPC pentru angajați (inclusiv întreprinderi independente și familiale), în special cu un nivel scăzut de calificare, persoane cu vârsta peste 40 de ani, persoanele dezavantajate din mediul rural</w:t>
            </w:r>
          </w:p>
        </w:tc>
        <w:tc>
          <w:tcPr>
            <w:tcW w:w="2543" w:type="pct"/>
            <w:shd w:val="clear" w:color="auto" w:fill="FBE4D5"/>
          </w:tcPr>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iCs/>
                <w:sz w:val="18"/>
                <w:szCs w:val="18"/>
              </w:rPr>
              <w:t xml:space="preserve">DMI </w:t>
            </w:r>
            <w:r w:rsidR="00AC7A2E" w:rsidRPr="002424E3">
              <w:rPr>
                <w:rFonts w:ascii="Calibri" w:hAnsi="Calibri" w:cs="Calibri"/>
                <w:iCs/>
                <w:sz w:val="18"/>
                <w:szCs w:val="18"/>
              </w:rPr>
              <w:t>2.3 Acces și participare la FPC</w:t>
            </w:r>
          </w:p>
        </w:tc>
      </w:tr>
      <w:tr w:rsidR="00AC7A2E" w:rsidRPr="002424E3" w:rsidTr="002424E3">
        <w:trPr>
          <w:trHeight w:val="662"/>
        </w:trPr>
        <w:tc>
          <w:tcPr>
            <w:tcW w:w="283" w:type="pct"/>
            <w:shd w:val="clear" w:color="auto" w:fill="auto"/>
            <w:noWrap/>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16</w:t>
            </w:r>
          </w:p>
        </w:tc>
        <w:tc>
          <w:tcPr>
            <w:tcW w:w="2174" w:type="pct"/>
            <w:shd w:val="clear" w:color="auto" w:fill="auto"/>
            <w:hideMark/>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Evaluarea contribuției POCU la creșterea calității sistemului de învățământ</w:t>
            </w:r>
          </w:p>
        </w:tc>
        <w:tc>
          <w:tcPr>
            <w:tcW w:w="2543" w:type="pct"/>
            <w:shd w:val="clear" w:color="auto" w:fill="auto"/>
          </w:tcPr>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sz w:val="18"/>
                <w:szCs w:val="18"/>
              </w:rPr>
              <w:t xml:space="preserve">DMI </w:t>
            </w:r>
            <w:r w:rsidR="00AC7A2E" w:rsidRPr="002424E3">
              <w:rPr>
                <w:rFonts w:ascii="Calibri" w:hAnsi="Calibri" w:cs="Calibri"/>
                <w:sz w:val="18"/>
                <w:szCs w:val="18"/>
              </w:rPr>
              <w:t>1.1 Acces la educație și formare profesională inițială de calitate;</w:t>
            </w:r>
          </w:p>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sz w:val="18"/>
                <w:szCs w:val="18"/>
              </w:rPr>
              <w:t xml:space="preserve">DMI </w:t>
            </w:r>
            <w:r w:rsidR="00AC7A2E" w:rsidRPr="002424E3">
              <w:rPr>
                <w:rFonts w:ascii="Calibri" w:hAnsi="Calibri" w:cs="Calibri"/>
                <w:sz w:val="18"/>
                <w:szCs w:val="18"/>
              </w:rPr>
              <w:t>1.2 Calitate în învățământul superior;</w:t>
            </w:r>
          </w:p>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sz w:val="18"/>
                <w:szCs w:val="18"/>
              </w:rPr>
              <w:t xml:space="preserve">DMI </w:t>
            </w:r>
            <w:r w:rsidR="00AC7A2E" w:rsidRPr="002424E3">
              <w:rPr>
                <w:rFonts w:ascii="Calibri" w:hAnsi="Calibri" w:cs="Calibri"/>
                <w:sz w:val="18"/>
                <w:szCs w:val="18"/>
              </w:rPr>
              <w:t>1.3 Dezvoltarea resurselor umane din educație și formare profesională.</w:t>
            </w:r>
          </w:p>
        </w:tc>
      </w:tr>
      <w:tr w:rsidR="00AC7A2E" w:rsidRPr="002424E3" w:rsidTr="002424E3">
        <w:trPr>
          <w:trHeight w:val="60"/>
        </w:trPr>
        <w:tc>
          <w:tcPr>
            <w:tcW w:w="283" w:type="pct"/>
            <w:shd w:val="clear" w:color="auto" w:fill="FBE4D5"/>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17</w:t>
            </w:r>
          </w:p>
        </w:tc>
        <w:tc>
          <w:tcPr>
            <w:tcW w:w="2174" w:type="pct"/>
            <w:shd w:val="clear" w:color="auto" w:fill="FBE4D5"/>
            <w:hideMark/>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Evaluarea contribuției POCU la creșterea calității sistemului de formare (FPC și FPI)</w:t>
            </w:r>
          </w:p>
          <w:p w:rsidR="00AC7A2E" w:rsidRPr="002424E3" w:rsidRDefault="00AC7A2E" w:rsidP="002424E3">
            <w:pPr>
              <w:pStyle w:val="Style3"/>
              <w:spacing w:after="0" w:line="240" w:lineRule="auto"/>
              <w:jc w:val="left"/>
              <w:rPr>
                <w:rFonts w:ascii="Calibri" w:hAnsi="Calibri" w:cs="Calibri"/>
                <w:sz w:val="18"/>
                <w:szCs w:val="18"/>
              </w:rPr>
            </w:pPr>
          </w:p>
        </w:tc>
        <w:tc>
          <w:tcPr>
            <w:tcW w:w="2543" w:type="pct"/>
            <w:shd w:val="clear" w:color="auto" w:fill="FBE4D5"/>
          </w:tcPr>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iCs/>
                <w:sz w:val="18"/>
                <w:szCs w:val="18"/>
              </w:rPr>
              <w:t xml:space="preserve">DMI </w:t>
            </w:r>
            <w:r w:rsidR="00AC7A2E" w:rsidRPr="002424E3">
              <w:rPr>
                <w:rFonts w:ascii="Calibri" w:hAnsi="Calibri" w:cs="Calibri"/>
                <w:iCs/>
                <w:sz w:val="18"/>
                <w:szCs w:val="18"/>
              </w:rPr>
              <w:t>1.4 Calitate în  formarea profesională continuă din POSDRU</w:t>
            </w:r>
          </w:p>
        </w:tc>
      </w:tr>
      <w:tr w:rsidR="00AC7A2E" w:rsidRPr="002424E3" w:rsidTr="002424E3">
        <w:trPr>
          <w:trHeight w:val="60"/>
        </w:trPr>
        <w:tc>
          <w:tcPr>
            <w:tcW w:w="283" w:type="pct"/>
            <w:shd w:val="clear" w:color="auto" w:fill="auto"/>
            <w:noWrap/>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18</w:t>
            </w:r>
          </w:p>
        </w:tc>
        <w:tc>
          <w:tcPr>
            <w:tcW w:w="2174" w:type="pct"/>
            <w:shd w:val="clear" w:color="auto" w:fill="auto"/>
            <w:hideMark/>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Evaluarea contribuției POCU la corelarea  sistemul de educație și formare cu nevoile pieței muncii</w:t>
            </w:r>
          </w:p>
        </w:tc>
        <w:tc>
          <w:tcPr>
            <w:tcW w:w="2543" w:type="pct"/>
            <w:shd w:val="clear" w:color="auto" w:fill="auto"/>
          </w:tcPr>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sz w:val="18"/>
                <w:szCs w:val="18"/>
              </w:rPr>
              <w:t xml:space="preserve">DMI </w:t>
            </w:r>
            <w:r w:rsidR="00AC7A2E" w:rsidRPr="002424E3">
              <w:rPr>
                <w:rFonts w:ascii="Calibri" w:hAnsi="Calibri" w:cs="Calibri"/>
                <w:sz w:val="18"/>
                <w:szCs w:val="18"/>
              </w:rPr>
              <w:t>2.1 Tranziția de la școală la viața activă</w:t>
            </w:r>
          </w:p>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sz w:val="18"/>
                <w:szCs w:val="18"/>
              </w:rPr>
              <w:t xml:space="preserve">DMI </w:t>
            </w:r>
            <w:r w:rsidR="00AC7A2E" w:rsidRPr="002424E3">
              <w:rPr>
                <w:rFonts w:ascii="Calibri" w:hAnsi="Calibri" w:cs="Calibri"/>
                <w:sz w:val="18"/>
                <w:szCs w:val="18"/>
              </w:rPr>
              <w:t>1.5 Programe doctorale și post-doctorale în sprijinul cercetării.</w:t>
            </w:r>
          </w:p>
        </w:tc>
      </w:tr>
      <w:tr w:rsidR="00AC7A2E" w:rsidRPr="002424E3" w:rsidTr="002424E3">
        <w:trPr>
          <w:trHeight w:val="347"/>
        </w:trPr>
        <w:tc>
          <w:tcPr>
            <w:tcW w:w="283" w:type="pct"/>
            <w:shd w:val="clear" w:color="auto" w:fill="FBE4D5"/>
            <w:noWrap/>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19</w:t>
            </w:r>
          </w:p>
        </w:tc>
        <w:tc>
          <w:tcPr>
            <w:tcW w:w="2174" w:type="pct"/>
            <w:shd w:val="clear" w:color="auto" w:fill="FBE4D5"/>
            <w:hideMark/>
          </w:tcPr>
          <w:p w:rsidR="00AC7A2E" w:rsidRPr="002424E3" w:rsidRDefault="00AC7A2E" w:rsidP="002424E3">
            <w:pPr>
              <w:pStyle w:val="Style3"/>
              <w:spacing w:after="0" w:line="240" w:lineRule="auto"/>
              <w:jc w:val="left"/>
              <w:rPr>
                <w:rFonts w:ascii="Calibri" w:hAnsi="Calibri" w:cs="Calibri"/>
                <w:iCs/>
                <w:sz w:val="18"/>
                <w:szCs w:val="18"/>
              </w:rPr>
            </w:pPr>
            <w:r w:rsidRPr="002424E3">
              <w:rPr>
                <w:rFonts w:ascii="Calibri" w:hAnsi="Calibri" w:cs="Calibri"/>
                <w:sz w:val="18"/>
                <w:szCs w:val="18"/>
              </w:rPr>
              <w:t xml:space="preserve">Evaluarea contribuției POCU la creșterea capacității administrative a AM și OI POCU pentru gestionarea și implementarea PO într-un mod eficace și eficient </w:t>
            </w:r>
          </w:p>
        </w:tc>
        <w:tc>
          <w:tcPr>
            <w:tcW w:w="2543" w:type="pct"/>
            <w:shd w:val="clear" w:color="auto" w:fill="FBE4D5"/>
          </w:tcPr>
          <w:p w:rsidR="00AC7A2E" w:rsidRPr="002424E3" w:rsidRDefault="00FD577B" w:rsidP="002424E3">
            <w:pPr>
              <w:pStyle w:val="Style3"/>
              <w:spacing w:after="0" w:line="240" w:lineRule="auto"/>
              <w:jc w:val="left"/>
              <w:rPr>
                <w:rFonts w:ascii="Calibri" w:hAnsi="Calibri" w:cs="Calibri"/>
                <w:sz w:val="18"/>
                <w:szCs w:val="18"/>
              </w:rPr>
            </w:pPr>
            <w:r>
              <w:rPr>
                <w:rFonts w:ascii="Calibri" w:hAnsi="Calibri" w:cs="Calibri"/>
                <w:iCs/>
                <w:sz w:val="18"/>
                <w:szCs w:val="18"/>
              </w:rPr>
              <w:t xml:space="preserve">DMI </w:t>
            </w:r>
            <w:r w:rsidR="00AC7A2E" w:rsidRPr="002424E3">
              <w:rPr>
                <w:rFonts w:ascii="Calibri" w:hAnsi="Calibri" w:cs="Calibri"/>
                <w:iCs/>
                <w:sz w:val="18"/>
                <w:szCs w:val="18"/>
              </w:rPr>
              <w:t>7.1 Sprijin pentru implementarea, managementul general</w:t>
            </w:r>
            <w:r w:rsidR="00C92F5E">
              <w:rPr>
                <w:rFonts w:ascii="Calibri" w:hAnsi="Calibri" w:cs="Calibri"/>
                <w:iCs/>
                <w:sz w:val="18"/>
                <w:szCs w:val="18"/>
              </w:rPr>
              <w:t xml:space="preserve"> și evaluarea POSDRU</w:t>
            </w:r>
          </w:p>
        </w:tc>
      </w:tr>
      <w:tr w:rsidR="00AC7A2E" w:rsidRPr="002424E3" w:rsidTr="002424E3">
        <w:trPr>
          <w:trHeight w:val="60"/>
        </w:trPr>
        <w:tc>
          <w:tcPr>
            <w:tcW w:w="283" w:type="pct"/>
            <w:shd w:val="clear" w:color="auto" w:fill="auto"/>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20</w:t>
            </w:r>
          </w:p>
        </w:tc>
        <w:tc>
          <w:tcPr>
            <w:tcW w:w="2174" w:type="pct"/>
            <w:shd w:val="clear" w:color="auto" w:fill="auto"/>
            <w:hideMark/>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 xml:space="preserve">Evaluarea contribuției POCU la îmbunătățirea capacității beneficiarilor POCU pentru implementarea proiectelor FSE într-un mod eficient și eficace </w:t>
            </w:r>
          </w:p>
        </w:tc>
        <w:tc>
          <w:tcPr>
            <w:tcW w:w="2543" w:type="pct"/>
            <w:shd w:val="clear" w:color="auto" w:fill="auto"/>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iCs/>
                <w:sz w:val="18"/>
                <w:szCs w:val="18"/>
              </w:rPr>
              <w:t>DMI 7.2 Sprijin pentru promovare și comunicare POSDRU.</w:t>
            </w:r>
          </w:p>
        </w:tc>
      </w:tr>
      <w:tr w:rsidR="00AC7A2E" w:rsidRPr="002424E3" w:rsidTr="002424E3">
        <w:trPr>
          <w:trHeight w:val="927"/>
        </w:trPr>
        <w:tc>
          <w:tcPr>
            <w:tcW w:w="283" w:type="pct"/>
            <w:shd w:val="clear" w:color="auto" w:fill="FBE4D5"/>
            <w:noWrap/>
            <w:hideMark/>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21</w:t>
            </w:r>
          </w:p>
        </w:tc>
        <w:tc>
          <w:tcPr>
            <w:tcW w:w="2174" w:type="pct"/>
            <w:shd w:val="clear" w:color="auto" w:fill="FBE4D5"/>
            <w:hideMark/>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 xml:space="preserve">Evaluarea contribuției POCU la creșterea nivelului de conștientizare a beneficiarilor POCU și a potențialilor beneficiari cu privire la activitățile care pot fi implementate prin intermediul FSE, valorificarea si implementarea celor mai bune practici și inițiative ale FSE </w:t>
            </w:r>
          </w:p>
        </w:tc>
        <w:tc>
          <w:tcPr>
            <w:tcW w:w="2543" w:type="pct"/>
            <w:shd w:val="clear" w:color="auto" w:fill="FBE4D5"/>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iCs/>
                <w:sz w:val="18"/>
                <w:szCs w:val="18"/>
              </w:rPr>
              <w:t>DMI 7.2 Sprijin pentru promovare și comunicare POSDRU.</w:t>
            </w:r>
          </w:p>
        </w:tc>
      </w:tr>
      <w:tr w:rsidR="00AC7A2E" w:rsidRPr="002424E3" w:rsidTr="002424E3">
        <w:trPr>
          <w:trHeight w:val="60"/>
        </w:trPr>
        <w:tc>
          <w:tcPr>
            <w:tcW w:w="283" w:type="pct"/>
            <w:shd w:val="clear" w:color="auto" w:fill="auto"/>
          </w:tcPr>
          <w:p w:rsidR="00AC7A2E" w:rsidRPr="002424E3" w:rsidRDefault="00AC7A2E" w:rsidP="002424E3">
            <w:pPr>
              <w:pStyle w:val="Style3"/>
              <w:spacing w:after="0" w:line="240" w:lineRule="auto"/>
              <w:rPr>
                <w:rFonts w:ascii="Calibri" w:hAnsi="Calibri" w:cs="Calibri"/>
                <w:b/>
                <w:bCs/>
                <w:sz w:val="18"/>
                <w:szCs w:val="18"/>
              </w:rPr>
            </w:pPr>
            <w:r w:rsidRPr="002424E3">
              <w:rPr>
                <w:rFonts w:ascii="Calibri" w:hAnsi="Calibri" w:cs="Calibri"/>
                <w:b/>
                <w:bCs/>
                <w:sz w:val="18"/>
                <w:szCs w:val="18"/>
              </w:rPr>
              <w:t>22</w:t>
            </w:r>
          </w:p>
        </w:tc>
        <w:tc>
          <w:tcPr>
            <w:tcW w:w="2174" w:type="pct"/>
            <w:shd w:val="clear" w:color="auto" w:fill="auto"/>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Sinteza evaluărilor</w:t>
            </w:r>
          </w:p>
        </w:tc>
        <w:tc>
          <w:tcPr>
            <w:tcW w:w="2543" w:type="pct"/>
            <w:shd w:val="clear" w:color="auto" w:fill="auto"/>
          </w:tcPr>
          <w:p w:rsidR="00AC7A2E" w:rsidRPr="002424E3" w:rsidRDefault="00AC7A2E" w:rsidP="002424E3">
            <w:pPr>
              <w:pStyle w:val="Style3"/>
              <w:spacing w:after="0" w:line="240" w:lineRule="auto"/>
              <w:jc w:val="left"/>
              <w:rPr>
                <w:rFonts w:ascii="Calibri" w:hAnsi="Calibri" w:cs="Calibri"/>
                <w:sz w:val="18"/>
                <w:szCs w:val="18"/>
              </w:rPr>
            </w:pPr>
            <w:r w:rsidRPr="002424E3">
              <w:rPr>
                <w:rFonts w:ascii="Calibri" w:hAnsi="Calibri" w:cs="Calibri"/>
                <w:sz w:val="18"/>
                <w:szCs w:val="18"/>
              </w:rPr>
              <w:t>NA</w:t>
            </w:r>
          </w:p>
        </w:tc>
      </w:tr>
    </w:tbl>
    <w:p w:rsidR="00AC7A2E" w:rsidRDefault="00AC7A2E" w:rsidP="000B672D">
      <w:pPr>
        <w:spacing w:after="0" w:line="240" w:lineRule="auto"/>
        <w:jc w:val="both"/>
        <w:rPr>
          <w:sz w:val="24"/>
          <w:szCs w:val="24"/>
          <w:lang w:val="ro-RO"/>
        </w:rPr>
      </w:pPr>
    </w:p>
    <w:p w:rsidR="00F6748C" w:rsidRPr="00116DB4" w:rsidRDefault="000B672D" w:rsidP="00116DB4">
      <w:pPr>
        <w:spacing w:after="0" w:line="240" w:lineRule="auto"/>
        <w:jc w:val="both"/>
        <w:rPr>
          <w:sz w:val="24"/>
          <w:szCs w:val="24"/>
          <w:lang w:val="es-ES"/>
        </w:rPr>
      </w:pPr>
      <w:r w:rsidRPr="000B672D">
        <w:rPr>
          <w:sz w:val="24"/>
          <w:szCs w:val="24"/>
          <w:lang w:val="ro-RO"/>
        </w:rPr>
        <w:t>Versiunea revizuită a Planului de Evaluare a POCU 2014-2020 este înaintată spre examinare, discuții și aprobare membrilor CM POCU 2014-2020</w:t>
      </w:r>
      <w:r w:rsidR="00082F7C">
        <w:rPr>
          <w:sz w:val="24"/>
          <w:szCs w:val="24"/>
          <w:lang w:val="ro-RO"/>
        </w:rPr>
        <w:t xml:space="preserve"> pentru reuniunea din data de 8 iunie 2016</w:t>
      </w:r>
      <w:r w:rsidRPr="000B672D">
        <w:rPr>
          <w:sz w:val="24"/>
          <w:szCs w:val="24"/>
          <w:lang w:val="ro-RO"/>
        </w:rPr>
        <w:t>.</w:t>
      </w:r>
    </w:p>
    <w:sectPr w:rsidR="00F6748C" w:rsidRPr="00116DB4" w:rsidSect="000F17E7">
      <w:footerReference w:type="even" r:id="rId8"/>
      <w:footerReference w:type="default" r:id="rId9"/>
      <w:headerReference w:type="first" r:id="rId10"/>
      <w:pgSz w:w="12240" w:h="15840" w:code="1"/>
      <w:pgMar w:top="658" w:right="1327" w:bottom="567" w:left="1559" w:header="357" w:footer="6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1CA" w:rsidRDefault="001561CA" w:rsidP="00043A65">
      <w:pPr>
        <w:spacing w:after="0" w:line="240" w:lineRule="auto"/>
      </w:pPr>
      <w:r>
        <w:separator/>
      </w:r>
    </w:p>
  </w:endnote>
  <w:endnote w:type="continuationSeparator" w:id="0">
    <w:p w:rsidR="001561CA" w:rsidRDefault="001561CA" w:rsidP="00043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59" w:rsidRDefault="00D97164" w:rsidP="00A25F47">
    <w:pPr>
      <w:tabs>
        <w:tab w:val="left" w:pos="4665"/>
      </w:tabs>
      <w:autoSpaceDE w:val="0"/>
      <w:autoSpaceDN w:val="0"/>
      <w:adjustRightInd w:val="0"/>
      <w:spacing w:before="139" w:after="0" w:line="240" w:lineRule="auto"/>
      <w:ind w:left="1560"/>
      <w:jc w:val="center"/>
      <w:rPr>
        <w:i/>
        <w:color w:val="000080"/>
        <w:sz w:val="20"/>
        <w:szCs w:val="18"/>
        <w:lang w:val="ro-RO" w:eastAsia="ro-RO"/>
      </w:rPr>
    </w:pPr>
    <w:r>
      <w:rPr>
        <w:noProof/>
      </w:rPr>
      <w:drawing>
        <wp:anchor distT="0" distB="0" distL="114300" distR="114300" simplePos="0" relativeHeight="251658240" behindDoc="0" locked="0" layoutInCell="1" allowOverlap="1">
          <wp:simplePos x="0" y="0"/>
          <wp:positionH relativeFrom="column">
            <wp:posOffset>-138430</wp:posOffset>
          </wp:positionH>
          <wp:positionV relativeFrom="paragraph">
            <wp:posOffset>155575</wp:posOffset>
          </wp:positionV>
          <wp:extent cx="7181850" cy="16192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81850" cy="161925"/>
                  </a:xfrm>
                  <a:prstGeom prst="rect">
                    <a:avLst/>
                  </a:prstGeom>
                  <a:noFill/>
                  <a:ln w="9525">
                    <a:noFill/>
                    <a:miter lim="800000"/>
                    <a:headEnd/>
                    <a:tailEnd/>
                  </a:ln>
                </pic:spPr>
              </pic:pic>
            </a:graphicData>
          </a:graphic>
        </wp:anchor>
      </w:drawing>
    </w:r>
  </w:p>
  <w:p w:rsidR="00FA1259" w:rsidRPr="00DE0F11" w:rsidRDefault="000728D5" w:rsidP="00DE0F11">
    <w:pPr>
      <w:autoSpaceDE w:val="0"/>
      <w:autoSpaceDN w:val="0"/>
      <w:adjustRightInd w:val="0"/>
      <w:spacing w:before="139" w:after="0" w:line="240" w:lineRule="auto"/>
      <w:jc w:val="center"/>
      <w:rPr>
        <w:i/>
        <w:color w:val="000080"/>
        <w:sz w:val="20"/>
        <w:szCs w:val="18"/>
        <w:lang w:val="ro-RO" w:eastAsia="ro-RO"/>
      </w:rPr>
    </w:pPr>
    <w:r>
      <w:rPr>
        <w:i/>
        <w:color w:val="000080"/>
        <w:sz w:val="20"/>
        <w:szCs w:val="18"/>
        <w:lang w:val="ro-RO" w:eastAsia="ro-RO"/>
      </w:rPr>
      <w:t xml:space="preserve">București, </w:t>
    </w:r>
    <w:r w:rsidR="00FA1259" w:rsidRPr="00DE0F11">
      <w:rPr>
        <w:i/>
        <w:color w:val="000080"/>
        <w:sz w:val="20"/>
        <w:szCs w:val="18"/>
        <w:lang w:val="ro-RO" w:eastAsia="ro-RO"/>
      </w:rPr>
      <w:t>Bd</w:t>
    </w:r>
    <w:r>
      <w:rPr>
        <w:i/>
        <w:color w:val="000080"/>
        <w:sz w:val="20"/>
        <w:szCs w:val="18"/>
        <w:lang w:val="ro-RO" w:eastAsia="ro-RO"/>
      </w:rPr>
      <w:t>.</w:t>
    </w:r>
    <w:r w:rsidR="00FA1259" w:rsidRPr="00DE0F11">
      <w:rPr>
        <w:i/>
        <w:color w:val="000080"/>
        <w:sz w:val="20"/>
        <w:szCs w:val="18"/>
        <w:lang w:val="ro-RO" w:eastAsia="ro-RO"/>
      </w:rPr>
      <w:t xml:space="preserve"> Ion Mihalache 15-17, sector 1,</w:t>
    </w:r>
    <w:r>
      <w:rPr>
        <w:i/>
        <w:color w:val="000080"/>
        <w:sz w:val="20"/>
        <w:szCs w:val="18"/>
        <w:lang w:val="ro-RO" w:eastAsia="ro-RO"/>
      </w:rPr>
      <w:t xml:space="preserve"> </w:t>
    </w:r>
    <w:r w:rsidR="00FA1259" w:rsidRPr="00DE0F11">
      <w:rPr>
        <w:i/>
        <w:color w:val="000080"/>
        <w:sz w:val="20"/>
        <w:szCs w:val="18"/>
        <w:lang w:val="ro-RO" w:eastAsia="ro-RO"/>
      </w:rPr>
      <w:t>cod poștal  011171, București, România, tel. 037 283 85 10,  fax. 037 283 85 02</w:t>
    </w:r>
  </w:p>
  <w:p w:rsidR="00FA1259" w:rsidRPr="009C3678" w:rsidRDefault="00FA1259" w:rsidP="00B01A14">
    <w:pPr>
      <w:autoSpaceDE w:val="0"/>
      <w:autoSpaceDN w:val="0"/>
      <w:adjustRightInd w:val="0"/>
      <w:spacing w:before="139" w:after="0" w:line="240" w:lineRule="auto"/>
      <w:jc w:val="center"/>
      <w:rPr>
        <w:i/>
        <w:color w:val="000080"/>
        <w:sz w:val="20"/>
        <w:szCs w:val="18"/>
        <w:lang w:val="ro-RO" w:eastAsia="ro-R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59" w:rsidRDefault="00D97164" w:rsidP="00930D31">
    <w:pPr>
      <w:tabs>
        <w:tab w:val="left" w:pos="4665"/>
      </w:tabs>
      <w:autoSpaceDE w:val="0"/>
      <w:autoSpaceDN w:val="0"/>
      <w:adjustRightInd w:val="0"/>
      <w:spacing w:before="139" w:after="0" w:line="240" w:lineRule="auto"/>
      <w:ind w:left="1560"/>
      <w:jc w:val="center"/>
      <w:rPr>
        <w:i/>
        <w:color w:val="000080"/>
        <w:sz w:val="20"/>
        <w:szCs w:val="18"/>
        <w:lang w:val="ro-RO" w:eastAsia="ro-RO"/>
      </w:rPr>
    </w:pPr>
    <w:r>
      <w:rPr>
        <w:noProof/>
      </w:rPr>
      <w:drawing>
        <wp:anchor distT="0" distB="0" distL="114300" distR="114300" simplePos="0" relativeHeight="251657216" behindDoc="0" locked="0" layoutInCell="1" allowOverlap="1">
          <wp:simplePos x="0" y="0"/>
          <wp:positionH relativeFrom="column">
            <wp:posOffset>-652780</wp:posOffset>
          </wp:positionH>
          <wp:positionV relativeFrom="paragraph">
            <wp:posOffset>155575</wp:posOffset>
          </wp:positionV>
          <wp:extent cx="7181850" cy="161925"/>
          <wp:effectExtent l="1905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7181850" cy="161925"/>
                  </a:xfrm>
                  <a:prstGeom prst="rect">
                    <a:avLst/>
                  </a:prstGeom>
                  <a:noFill/>
                  <a:ln w="9525">
                    <a:noFill/>
                    <a:miter lim="800000"/>
                    <a:headEnd/>
                    <a:tailEnd/>
                  </a:ln>
                </pic:spPr>
              </pic:pic>
            </a:graphicData>
          </a:graphic>
        </wp:anchor>
      </w:drawing>
    </w:r>
  </w:p>
  <w:p w:rsidR="00FA1259" w:rsidRPr="00CC4B30" w:rsidRDefault="009518A0" w:rsidP="00CC4B30">
    <w:pPr>
      <w:autoSpaceDE w:val="0"/>
      <w:autoSpaceDN w:val="0"/>
      <w:adjustRightInd w:val="0"/>
      <w:spacing w:before="139" w:after="0" w:line="240" w:lineRule="auto"/>
      <w:jc w:val="center"/>
      <w:rPr>
        <w:i/>
        <w:color w:val="000080"/>
        <w:sz w:val="20"/>
        <w:szCs w:val="18"/>
        <w:lang w:val="ro-RO" w:eastAsia="ro-RO"/>
      </w:rPr>
    </w:pPr>
    <w:r w:rsidRPr="009518A0">
      <w:rPr>
        <w:i/>
        <w:color w:val="000080"/>
        <w:sz w:val="20"/>
        <w:szCs w:val="18"/>
        <w:lang w:val="ro-RO" w:eastAsia="ro-RO"/>
      </w:rPr>
      <w:t>Bd Ion Mihalache 15-17, sector 1,cod poștal  011171, București, România, tel. 037 283 85 10,  fax. 037 283 85 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1CA" w:rsidRDefault="001561CA" w:rsidP="00043A65">
      <w:pPr>
        <w:spacing w:after="0" w:line="240" w:lineRule="auto"/>
      </w:pPr>
      <w:r>
        <w:separator/>
      </w:r>
    </w:p>
  </w:footnote>
  <w:footnote w:type="continuationSeparator" w:id="0">
    <w:p w:rsidR="001561CA" w:rsidRDefault="001561CA" w:rsidP="00043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E7" w:rsidRPr="00043A65" w:rsidRDefault="00D97164" w:rsidP="000F17E7">
    <w:pPr>
      <w:spacing w:after="0" w:line="240" w:lineRule="auto"/>
      <w:rPr>
        <w:b/>
        <w:bCs/>
        <w:color w:val="000080"/>
        <w:sz w:val="32"/>
        <w:szCs w:val="28"/>
        <w:lang w:val="ro-RO" w:eastAsia="ro-RO"/>
      </w:rPr>
    </w:pPr>
    <w:r>
      <w:rPr>
        <w:rFonts w:cs="Arial"/>
        <w:b/>
        <w:noProof/>
        <w:color w:val="000000"/>
        <w:sz w:val="28"/>
        <w:szCs w:val="28"/>
      </w:rPr>
      <w:drawing>
        <wp:inline distT="0" distB="0" distL="0" distR="0">
          <wp:extent cx="1323975" cy="1238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23975" cy="1238250"/>
                  </a:xfrm>
                  <a:prstGeom prst="rect">
                    <a:avLst/>
                  </a:prstGeom>
                  <a:noFill/>
                  <a:ln w="9525">
                    <a:noFill/>
                    <a:miter lim="800000"/>
                    <a:headEnd/>
                    <a:tailEnd/>
                  </a:ln>
                </pic:spPr>
              </pic:pic>
            </a:graphicData>
          </a:graphic>
        </wp:inline>
      </w:drawing>
    </w:r>
    <w:r w:rsidR="000F17E7">
      <w:rPr>
        <w:b/>
        <w:bCs/>
        <w:color w:val="000080"/>
        <w:sz w:val="32"/>
        <w:szCs w:val="28"/>
        <w:lang w:val="ro-RO" w:eastAsia="ro-RO"/>
      </w:rPr>
      <w:t xml:space="preserve">                    </w:t>
    </w:r>
    <w:r>
      <w:rPr>
        <w:b/>
        <w:bCs/>
        <w:noProof/>
        <w:color w:val="000080"/>
        <w:sz w:val="32"/>
        <w:szCs w:val="28"/>
      </w:rPr>
      <w:drawing>
        <wp:inline distT="0" distB="0" distL="0" distR="0">
          <wp:extent cx="1143000" cy="1038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43000" cy="1038225"/>
                  </a:xfrm>
                  <a:prstGeom prst="rect">
                    <a:avLst/>
                  </a:prstGeom>
                  <a:noFill/>
                  <a:ln w="9525">
                    <a:noFill/>
                    <a:miter lim="800000"/>
                    <a:headEnd/>
                    <a:tailEnd/>
                  </a:ln>
                </pic:spPr>
              </pic:pic>
            </a:graphicData>
          </a:graphic>
        </wp:inline>
      </w:drawing>
    </w:r>
    <w:r w:rsidR="000F17E7">
      <w:rPr>
        <w:b/>
        <w:bCs/>
        <w:color w:val="000080"/>
        <w:sz w:val="32"/>
        <w:szCs w:val="28"/>
        <w:lang w:val="ro-RO" w:eastAsia="ro-RO"/>
      </w:rPr>
      <w:t xml:space="preserve">                  </w:t>
    </w:r>
    <w:r>
      <w:rPr>
        <w:b/>
        <w:bCs/>
        <w:noProof/>
        <w:color w:val="000080"/>
        <w:sz w:val="32"/>
        <w:szCs w:val="28"/>
      </w:rPr>
      <w:drawing>
        <wp:inline distT="0" distB="0" distL="0" distR="0">
          <wp:extent cx="1295400" cy="1152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295400" cy="1152525"/>
                  </a:xfrm>
                  <a:prstGeom prst="rect">
                    <a:avLst/>
                  </a:prstGeom>
                  <a:noFill/>
                  <a:ln w="9525">
                    <a:noFill/>
                    <a:miter lim="800000"/>
                    <a:headEnd/>
                    <a:tailEnd/>
                  </a:ln>
                </pic:spPr>
              </pic:pic>
            </a:graphicData>
          </a:graphic>
        </wp:inline>
      </w:drawing>
    </w:r>
  </w:p>
  <w:p w:rsidR="000F17E7" w:rsidRDefault="000F17E7" w:rsidP="000F17E7">
    <w:pPr>
      <w:pStyle w:val="Header"/>
    </w:pPr>
  </w:p>
  <w:p w:rsidR="000F17E7" w:rsidRDefault="000F17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CF0"/>
    <w:multiLevelType w:val="multilevel"/>
    <w:tmpl w:val="F662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724EB"/>
    <w:multiLevelType w:val="hybridMultilevel"/>
    <w:tmpl w:val="E79CD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C34D66"/>
    <w:multiLevelType w:val="hybridMultilevel"/>
    <w:tmpl w:val="9F1470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4E766A"/>
    <w:multiLevelType w:val="multilevel"/>
    <w:tmpl w:val="429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373DF"/>
    <w:multiLevelType w:val="hybridMultilevel"/>
    <w:tmpl w:val="EBA250A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17C64E0D"/>
    <w:multiLevelType w:val="hybridMultilevel"/>
    <w:tmpl w:val="3D52CE32"/>
    <w:lvl w:ilvl="0" w:tplc="7F08FCA0">
      <w:start w:val="1"/>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4256A"/>
    <w:multiLevelType w:val="hybridMultilevel"/>
    <w:tmpl w:val="E27EA4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11258A"/>
    <w:multiLevelType w:val="multilevel"/>
    <w:tmpl w:val="B0AC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A1CDF"/>
    <w:multiLevelType w:val="multilevel"/>
    <w:tmpl w:val="BBFA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30A7C"/>
    <w:multiLevelType w:val="hybridMultilevel"/>
    <w:tmpl w:val="DE82A44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2E4F4126"/>
    <w:multiLevelType w:val="multilevel"/>
    <w:tmpl w:val="21E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53D91"/>
    <w:multiLevelType w:val="hybridMultilevel"/>
    <w:tmpl w:val="6B563C16"/>
    <w:lvl w:ilvl="0" w:tplc="040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3A551A88"/>
    <w:multiLevelType w:val="hybridMultilevel"/>
    <w:tmpl w:val="B1C20546"/>
    <w:lvl w:ilvl="0" w:tplc="9B14F1B8">
      <w:start w:val="1"/>
      <w:numFmt w:val="decimal"/>
      <w:lvlText w:val="%1."/>
      <w:lvlJc w:val="left"/>
      <w:pPr>
        <w:ind w:left="1140" w:hanging="360"/>
      </w:pPr>
      <w:rPr>
        <w:rFonts w:cs="Times New Roman" w:hint="default"/>
        <w:b/>
      </w:rPr>
    </w:lvl>
    <w:lvl w:ilvl="1" w:tplc="04180019">
      <w:start w:val="1"/>
      <w:numFmt w:val="lowerLetter"/>
      <w:lvlText w:val="%2."/>
      <w:lvlJc w:val="left"/>
      <w:pPr>
        <w:ind w:left="1860" w:hanging="360"/>
      </w:pPr>
      <w:rPr>
        <w:rFonts w:cs="Times New Roman"/>
      </w:rPr>
    </w:lvl>
    <w:lvl w:ilvl="2" w:tplc="0418001B" w:tentative="1">
      <w:start w:val="1"/>
      <w:numFmt w:val="lowerRoman"/>
      <w:lvlText w:val="%3."/>
      <w:lvlJc w:val="right"/>
      <w:pPr>
        <w:ind w:left="2580" w:hanging="180"/>
      </w:pPr>
      <w:rPr>
        <w:rFonts w:cs="Times New Roman"/>
      </w:rPr>
    </w:lvl>
    <w:lvl w:ilvl="3" w:tplc="0418000F" w:tentative="1">
      <w:start w:val="1"/>
      <w:numFmt w:val="decimal"/>
      <w:lvlText w:val="%4."/>
      <w:lvlJc w:val="left"/>
      <w:pPr>
        <w:ind w:left="3300" w:hanging="360"/>
      </w:pPr>
      <w:rPr>
        <w:rFonts w:cs="Times New Roman"/>
      </w:rPr>
    </w:lvl>
    <w:lvl w:ilvl="4" w:tplc="04180019" w:tentative="1">
      <w:start w:val="1"/>
      <w:numFmt w:val="lowerLetter"/>
      <w:lvlText w:val="%5."/>
      <w:lvlJc w:val="left"/>
      <w:pPr>
        <w:ind w:left="4020" w:hanging="360"/>
      </w:pPr>
      <w:rPr>
        <w:rFonts w:cs="Times New Roman"/>
      </w:rPr>
    </w:lvl>
    <w:lvl w:ilvl="5" w:tplc="0418001B" w:tentative="1">
      <w:start w:val="1"/>
      <w:numFmt w:val="lowerRoman"/>
      <w:lvlText w:val="%6."/>
      <w:lvlJc w:val="right"/>
      <w:pPr>
        <w:ind w:left="4740" w:hanging="180"/>
      </w:pPr>
      <w:rPr>
        <w:rFonts w:cs="Times New Roman"/>
      </w:rPr>
    </w:lvl>
    <w:lvl w:ilvl="6" w:tplc="0418000F" w:tentative="1">
      <w:start w:val="1"/>
      <w:numFmt w:val="decimal"/>
      <w:lvlText w:val="%7."/>
      <w:lvlJc w:val="left"/>
      <w:pPr>
        <w:ind w:left="5460" w:hanging="360"/>
      </w:pPr>
      <w:rPr>
        <w:rFonts w:cs="Times New Roman"/>
      </w:rPr>
    </w:lvl>
    <w:lvl w:ilvl="7" w:tplc="04180019" w:tentative="1">
      <w:start w:val="1"/>
      <w:numFmt w:val="lowerLetter"/>
      <w:lvlText w:val="%8."/>
      <w:lvlJc w:val="left"/>
      <w:pPr>
        <w:ind w:left="6180" w:hanging="360"/>
      </w:pPr>
      <w:rPr>
        <w:rFonts w:cs="Times New Roman"/>
      </w:rPr>
    </w:lvl>
    <w:lvl w:ilvl="8" w:tplc="0418001B" w:tentative="1">
      <w:start w:val="1"/>
      <w:numFmt w:val="lowerRoman"/>
      <w:lvlText w:val="%9."/>
      <w:lvlJc w:val="right"/>
      <w:pPr>
        <w:ind w:left="6900" w:hanging="180"/>
      </w:pPr>
      <w:rPr>
        <w:rFonts w:cs="Times New Roman"/>
      </w:rPr>
    </w:lvl>
  </w:abstractNum>
  <w:abstractNum w:abstractNumId="13">
    <w:nsid w:val="3FB6729B"/>
    <w:multiLevelType w:val="multilevel"/>
    <w:tmpl w:val="D16A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E375FF"/>
    <w:multiLevelType w:val="multilevel"/>
    <w:tmpl w:val="1D52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AC127F"/>
    <w:multiLevelType w:val="multilevel"/>
    <w:tmpl w:val="665A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76722"/>
    <w:multiLevelType w:val="hybridMultilevel"/>
    <w:tmpl w:val="CB061BDC"/>
    <w:lvl w:ilvl="0" w:tplc="5C6067C8">
      <w:start w:val="1"/>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E7760"/>
    <w:multiLevelType w:val="hybridMultilevel"/>
    <w:tmpl w:val="E96C5C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3467007"/>
    <w:multiLevelType w:val="multilevel"/>
    <w:tmpl w:val="1042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0C1F68"/>
    <w:multiLevelType w:val="hybridMultilevel"/>
    <w:tmpl w:val="1284C570"/>
    <w:lvl w:ilvl="0" w:tplc="0CD0DCF0">
      <w:numFmt w:val="bullet"/>
      <w:lvlText w:val="•"/>
      <w:lvlJc w:val="left"/>
      <w:pPr>
        <w:ind w:left="1800" w:hanging="72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58421270"/>
    <w:multiLevelType w:val="hybridMultilevel"/>
    <w:tmpl w:val="4404D552"/>
    <w:lvl w:ilvl="0" w:tplc="04090003">
      <w:start w:val="1"/>
      <w:numFmt w:val="bullet"/>
      <w:lvlText w:val="o"/>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63E634DC"/>
    <w:multiLevelType w:val="multilevel"/>
    <w:tmpl w:val="1640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EB6861"/>
    <w:multiLevelType w:val="multilevel"/>
    <w:tmpl w:val="5FC2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A75F7"/>
    <w:multiLevelType w:val="hybridMultilevel"/>
    <w:tmpl w:val="453C7D74"/>
    <w:lvl w:ilvl="0" w:tplc="65503E38">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34C8F"/>
    <w:multiLevelType w:val="hybridMultilevel"/>
    <w:tmpl w:val="54B89D40"/>
    <w:lvl w:ilvl="0" w:tplc="3022024C">
      <w:start w:val="19"/>
      <w:numFmt w:val="bullet"/>
      <w:lvlText w:val="-"/>
      <w:lvlJc w:val="left"/>
      <w:pPr>
        <w:tabs>
          <w:tab w:val="num" w:pos="1800"/>
        </w:tabs>
        <w:ind w:left="1800" w:hanging="108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ABD26ED"/>
    <w:multiLevelType w:val="multilevel"/>
    <w:tmpl w:val="03A2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166FFB"/>
    <w:multiLevelType w:val="multilevel"/>
    <w:tmpl w:val="7724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7439A8"/>
    <w:multiLevelType w:val="hybridMultilevel"/>
    <w:tmpl w:val="2230EB74"/>
    <w:lvl w:ilvl="0" w:tplc="0CD0DCF0">
      <w:numFmt w:val="bullet"/>
      <w:lvlText w:val="•"/>
      <w:lvlJc w:val="left"/>
      <w:pPr>
        <w:ind w:left="720" w:hanging="720"/>
      </w:pPr>
      <w:rPr>
        <w:rFonts w:ascii="Calibri" w:eastAsia="Calibri" w:hAnsi="Calibri" w:cs="Times New Roman" w:hint="default"/>
      </w:rPr>
    </w:lvl>
    <w:lvl w:ilvl="1" w:tplc="04180003">
      <w:start w:val="1"/>
      <w:numFmt w:val="bullet"/>
      <w:lvlText w:val="o"/>
      <w:lvlJc w:val="left"/>
      <w:pPr>
        <w:ind w:left="720" w:hanging="360"/>
      </w:pPr>
      <w:rPr>
        <w:rFonts w:ascii="Courier New" w:hAnsi="Courier New" w:cs="Courier New" w:hint="default"/>
      </w:rPr>
    </w:lvl>
    <w:lvl w:ilvl="2" w:tplc="04180005">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28">
    <w:nsid w:val="7D9E68AD"/>
    <w:multiLevelType w:val="hybridMultilevel"/>
    <w:tmpl w:val="55DEB73A"/>
    <w:lvl w:ilvl="0" w:tplc="040E0001">
      <w:start w:val="1"/>
      <w:numFmt w:val="bullet"/>
      <w:lvlText w:val=""/>
      <w:lvlJc w:val="left"/>
      <w:pPr>
        <w:tabs>
          <w:tab w:val="num" w:pos="720"/>
        </w:tabs>
        <w:ind w:left="720" w:hanging="360"/>
      </w:pPr>
      <w:rPr>
        <w:rFonts w:ascii="Symbol" w:hAnsi="Symbol" w:hint="default"/>
      </w:rPr>
    </w:lvl>
    <w:lvl w:ilvl="1" w:tplc="3976AF04">
      <w:start w:val="1"/>
      <w:numFmt w:val="decimal"/>
      <w:lvlText w:val="%2."/>
      <w:lvlJc w:val="left"/>
      <w:pPr>
        <w:tabs>
          <w:tab w:val="num" w:pos="1440"/>
        </w:tabs>
        <w:ind w:left="1440" w:hanging="360"/>
      </w:pPr>
      <w:rPr>
        <w:rFonts w:hint="default"/>
      </w:rPr>
    </w:lvl>
    <w:lvl w:ilvl="2" w:tplc="E33C0754">
      <w:start w:val="1"/>
      <w:numFmt w:val="lowerRoman"/>
      <w:lvlText w:val="%3."/>
      <w:lvlJc w:val="right"/>
      <w:pPr>
        <w:tabs>
          <w:tab w:val="num" w:pos="2160"/>
        </w:tabs>
        <w:ind w:left="2160" w:hanging="180"/>
      </w:pPr>
    </w:lvl>
    <w:lvl w:ilvl="3" w:tplc="A41A0582">
      <w:start w:val="1"/>
      <w:numFmt w:val="upperLetter"/>
      <w:lvlText w:val="%4."/>
      <w:lvlJc w:val="left"/>
      <w:pPr>
        <w:ind w:left="2880" w:hanging="360"/>
      </w:pPr>
      <w:rPr>
        <w:rFonts w:hint="default"/>
      </w:rPr>
    </w:lvl>
    <w:lvl w:ilvl="4" w:tplc="EC1ED6FA">
      <w:start w:val="1"/>
      <w:numFmt w:val="lowerLetter"/>
      <w:lvlText w:val="%5."/>
      <w:lvlJc w:val="left"/>
      <w:pPr>
        <w:tabs>
          <w:tab w:val="num" w:pos="3600"/>
        </w:tabs>
        <w:ind w:left="3600" w:hanging="360"/>
      </w:pPr>
    </w:lvl>
    <w:lvl w:ilvl="5" w:tplc="C2B410D0">
      <w:start w:val="1"/>
      <w:numFmt w:val="lowerRoman"/>
      <w:lvlText w:val="%6."/>
      <w:lvlJc w:val="right"/>
      <w:pPr>
        <w:tabs>
          <w:tab w:val="num" w:pos="4320"/>
        </w:tabs>
        <w:ind w:left="4320" w:hanging="180"/>
      </w:pPr>
    </w:lvl>
    <w:lvl w:ilvl="6" w:tplc="7ECCE1CC" w:tentative="1">
      <w:start w:val="1"/>
      <w:numFmt w:val="decimal"/>
      <w:lvlText w:val="%7."/>
      <w:lvlJc w:val="left"/>
      <w:pPr>
        <w:tabs>
          <w:tab w:val="num" w:pos="5040"/>
        </w:tabs>
        <w:ind w:left="5040" w:hanging="360"/>
      </w:pPr>
    </w:lvl>
    <w:lvl w:ilvl="7" w:tplc="DA081072" w:tentative="1">
      <w:start w:val="1"/>
      <w:numFmt w:val="lowerLetter"/>
      <w:lvlText w:val="%8."/>
      <w:lvlJc w:val="left"/>
      <w:pPr>
        <w:tabs>
          <w:tab w:val="num" w:pos="5760"/>
        </w:tabs>
        <w:ind w:left="5760" w:hanging="360"/>
      </w:pPr>
    </w:lvl>
    <w:lvl w:ilvl="8" w:tplc="525ADA3A" w:tentative="1">
      <w:start w:val="1"/>
      <w:numFmt w:val="lowerRoman"/>
      <w:lvlText w:val="%9."/>
      <w:lvlJc w:val="right"/>
      <w:pPr>
        <w:tabs>
          <w:tab w:val="num" w:pos="6480"/>
        </w:tabs>
        <w:ind w:left="6480" w:hanging="180"/>
      </w:pPr>
    </w:lvl>
  </w:abstractNum>
  <w:num w:numId="1">
    <w:abstractNumId w:val="1"/>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25"/>
  </w:num>
  <w:num w:numId="6">
    <w:abstractNumId w:val="22"/>
  </w:num>
  <w:num w:numId="7">
    <w:abstractNumId w:val="8"/>
  </w:num>
  <w:num w:numId="8">
    <w:abstractNumId w:val="18"/>
  </w:num>
  <w:num w:numId="9">
    <w:abstractNumId w:val="15"/>
  </w:num>
  <w:num w:numId="10">
    <w:abstractNumId w:val="0"/>
  </w:num>
  <w:num w:numId="11">
    <w:abstractNumId w:val="3"/>
  </w:num>
  <w:num w:numId="12">
    <w:abstractNumId w:val="10"/>
  </w:num>
  <w:num w:numId="13">
    <w:abstractNumId w:val="13"/>
  </w:num>
  <w:num w:numId="14">
    <w:abstractNumId w:val="14"/>
  </w:num>
  <w:num w:numId="15">
    <w:abstractNumId w:val="7"/>
  </w:num>
  <w:num w:numId="16">
    <w:abstractNumId w:val="6"/>
  </w:num>
  <w:num w:numId="17">
    <w:abstractNumId w:val="24"/>
  </w:num>
  <w:num w:numId="18">
    <w:abstractNumId w:val="12"/>
  </w:num>
  <w:num w:numId="19">
    <w:abstractNumId w:val="28"/>
  </w:num>
  <w:num w:numId="20">
    <w:abstractNumId w:val="4"/>
  </w:num>
  <w:num w:numId="21">
    <w:abstractNumId w:val="16"/>
  </w:num>
  <w:num w:numId="22">
    <w:abstractNumId w:val="5"/>
  </w:num>
  <w:num w:numId="23">
    <w:abstractNumId w:val="23"/>
  </w:num>
  <w:num w:numId="24">
    <w:abstractNumId w:val="2"/>
  </w:num>
  <w:num w:numId="25">
    <w:abstractNumId w:val="27"/>
  </w:num>
  <w:num w:numId="26">
    <w:abstractNumId w:val="17"/>
  </w:num>
  <w:num w:numId="27">
    <w:abstractNumId w:val="9"/>
  </w:num>
  <w:num w:numId="28">
    <w:abstractNumId w:val="19"/>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A03D60"/>
    <w:rsid w:val="00000C11"/>
    <w:rsid w:val="0001217D"/>
    <w:rsid w:val="00012DA4"/>
    <w:rsid w:val="00021193"/>
    <w:rsid w:val="00043A65"/>
    <w:rsid w:val="00051B01"/>
    <w:rsid w:val="00053E94"/>
    <w:rsid w:val="00062BB3"/>
    <w:rsid w:val="0006314B"/>
    <w:rsid w:val="0006372F"/>
    <w:rsid w:val="0006519A"/>
    <w:rsid w:val="0006536B"/>
    <w:rsid w:val="00067A0D"/>
    <w:rsid w:val="000728D5"/>
    <w:rsid w:val="0007361A"/>
    <w:rsid w:val="0008024B"/>
    <w:rsid w:val="00082F7C"/>
    <w:rsid w:val="000A4E74"/>
    <w:rsid w:val="000A71E4"/>
    <w:rsid w:val="000B052B"/>
    <w:rsid w:val="000B46C5"/>
    <w:rsid w:val="000B672D"/>
    <w:rsid w:val="000C23CF"/>
    <w:rsid w:val="000D37FE"/>
    <w:rsid w:val="000E41C7"/>
    <w:rsid w:val="000E566B"/>
    <w:rsid w:val="000F17E7"/>
    <w:rsid w:val="00104397"/>
    <w:rsid w:val="00105241"/>
    <w:rsid w:val="00106CC1"/>
    <w:rsid w:val="00115573"/>
    <w:rsid w:val="00116DB4"/>
    <w:rsid w:val="001224BB"/>
    <w:rsid w:val="00122D69"/>
    <w:rsid w:val="001247A4"/>
    <w:rsid w:val="00131AC4"/>
    <w:rsid w:val="00135593"/>
    <w:rsid w:val="001374CD"/>
    <w:rsid w:val="001437F1"/>
    <w:rsid w:val="00146432"/>
    <w:rsid w:val="001510EA"/>
    <w:rsid w:val="001561CA"/>
    <w:rsid w:val="001609D8"/>
    <w:rsid w:val="00163E81"/>
    <w:rsid w:val="00171214"/>
    <w:rsid w:val="001728C0"/>
    <w:rsid w:val="0017772B"/>
    <w:rsid w:val="001A4806"/>
    <w:rsid w:val="001B6252"/>
    <w:rsid w:val="001B722C"/>
    <w:rsid w:val="001C09DB"/>
    <w:rsid w:val="001C102D"/>
    <w:rsid w:val="001C3282"/>
    <w:rsid w:val="001C38EE"/>
    <w:rsid w:val="001C5174"/>
    <w:rsid w:val="001C6233"/>
    <w:rsid w:val="001D6304"/>
    <w:rsid w:val="001F2F25"/>
    <w:rsid w:val="001F5F26"/>
    <w:rsid w:val="001F7E17"/>
    <w:rsid w:val="001F7EC8"/>
    <w:rsid w:val="00202D5A"/>
    <w:rsid w:val="0020513B"/>
    <w:rsid w:val="00205921"/>
    <w:rsid w:val="00207303"/>
    <w:rsid w:val="00214944"/>
    <w:rsid w:val="0022411D"/>
    <w:rsid w:val="00227614"/>
    <w:rsid w:val="0023241A"/>
    <w:rsid w:val="00241BB8"/>
    <w:rsid w:val="00241D13"/>
    <w:rsid w:val="00241F93"/>
    <w:rsid w:val="0024218D"/>
    <w:rsid w:val="002424E3"/>
    <w:rsid w:val="00246AB3"/>
    <w:rsid w:val="00246BFF"/>
    <w:rsid w:val="00246DF6"/>
    <w:rsid w:val="0025087E"/>
    <w:rsid w:val="00260A77"/>
    <w:rsid w:val="002714DD"/>
    <w:rsid w:val="00275FC4"/>
    <w:rsid w:val="00280E8F"/>
    <w:rsid w:val="00282B1D"/>
    <w:rsid w:val="00283CB0"/>
    <w:rsid w:val="00284EF3"/>
    <w:rsid w:val="00285893"/>
    <w:rsid w:val="00286724"/>
    <w:rsid w:val="00287F69"/>
    <w:rsid w:val="0029581C"/>
    <w:rsid w:val="002A25ED"/>
    <w:rsid w:val="002B4592"/>
    <w:rsid w:val="002C0F9C"/>
    <w:rsid w:val="002C363C"/>
    <w:rsid w:val="002D7C8C"/>
    <w:rsid w:val="002F57DC"/>
    <w:rsid w:val="003022BC"/>
    <w:rsid w:val="0031624C"/>
    <w:rsid w:val="00324ADD"/>
    <w:rsid w:val="00333E43"/>
    <w:rsid w:val="003345E7"/>
    <w:rsid w:val="0035186D"/>
    <w:rsid w:val="00352100"/>
    <w:rsid w:val="003610BB"/>
    <w:rsid w:val="0036727E"/>
    <w:rsid w:val="0039442D"/>
    <w:rsid w:val="00394977"/>
    <w:rsid w:val="0039736C"/>
    <w:rsid w:val="003B0B44"/>
    <w:rsid w:val="003B209C"/>
    <w:rsid w:val="003C3DDC"/>
    <w:rsid w:val="003C4B8C"/>
    <w:rsid w:val="003C4CD1"/>
    <w:rsid w:val="003D0789"/>
    <w:rsid w:val="003D10E0"/>
    <w:rsid w:val="003D2E27"/>
    <w:rsid w:val="003F3083"/>
    <w:rsid w:val="00402E1C"/>
    <w:rsid w:val="00413A3A"/>
    <w:rsid w:val="00422621"/>
    <w:rsid w:val="00424ADA"/>
    <w:rsid w:val="004265A7"/>
    <w:rsid w:val="004277ED"/>
    <w:rsid w:val="00431AA8"/>
    <w:rsid w:val="004348F3"/>
    <w:rsid w:val="004411F6"/>
    <w:rsid w:val="0044594A"/>
    <w:rsid w:val="00446EE2"/>
    <w:rsid w:val="00451FDE"/>
    <w:rsid w:val="004562E8"/>
    <w:rsid w:val="00463911"/>
    <w:rsid w:val="00466A39"/>
    <w:rsid w:val="00467F14"/>
    <w:rsid w:val="00470506"/>
    <w:rsid w:val="00482C11"/>
    <w:rsid w:val="00484AE8"/>
    <w:rsid w:val="004856A6"/>
    <w:rsid w:val="00487278"/>
    <w:rsid w:val="00487B63"/>
    <w:rsid w:val="00490C64"/>
    <w:rsid w:val="004955D5"/>
    <w:rsid w:val="004A710F"/>
    <w:rsid w:val="004B37F1"/>
    <w:rsid w:val="004B4F8E"/>
    <w:rsid w:val="004B75E4"/>
    <w:rsid w:val="004B7CA8"/>
    <w:rsid w:val="004C00D9"/>
    <w:rsid w:val="004C1822"/>
    <w:rsid w:val="004D5D36"/>
    <w:rsid w:val="004E3101"/>
    <w:rsid w:val="004F11B2"/>
    <w:rsid w:val="004F286C"/>
    <w:rsid w:val="004F394D"/>
    <w:rsid w:val="004F46C9"/>
    <w:rsid w:val="004F52CC"/>
    <w:rsid w:val="0052608F"/>
    <w:rsid w:val="00526DF5"/>
    <w:rsid w:val="00537D98"/>
    <w:rsid w:val="00542BEE"/>
    <w:rsid w:val="00544992"/>
    <w:rsid w:val="00552C3A"/>
    <w:rsid w:val="00552E12"/>
    <w:rsid w:val="005671E7"/>
    <w:rsid w:val="00572CDE"/>
    <w:rsid w:val="00573D87"/>
    <w:rsid w:val="005748E3"/>
    <w:rsid w:val="00584EAC"/>
    <w:rsid w:val="00590E64"/>
    <w:rsid w:val="00593748"/>
    <w:rsid w:val="005A4052"/>
    <w:rsid w:val="005A4141"/>
    <w:rsid w:val="005A7493"/>
    <w:rsid w:val="005B0E87"/>
    <w:rsid w:val="005D2560"/>
    <w:rsid w:val="005D3CBC"/>
    <w:rsid w:val="005E0056"/>
    <w:rsid w:val="005E33FC"/>
    <w:rsid w:val="00606D7C"/>
    <w:rsid w:val="00614F78"/>
    <w:rsid w:val="006154EC"/>
    <w:rsid w:val="0062015F"/>
    <w:rsid w:val="00622200"/>
    <w:rsid w:val="0062303B"/>
    <w:rsid w:val="006265F5"/>
    <w:rsid w:val="00657FA1"/>
    <w:rsid w:val="00660889"/>
    <w:rsid w:val="006624D1"/>
    <w:rsid w:val="00663010"/>
    <w:rsid w:val="00671757"/>
    <w:rsid w:val="006740C8"/>
    <w:rsid w:val="0067416A"/>
    <w:rsid w:val="006A2E17"/>
    <w:rsid w:val="006D1A38"/>
    <w:rsid w:val="006D5100"/>
    <w:rsid w:val="006D532D"/>
    <w:rsid w:val="006D6DA4"/>
    <w:rsid w:val="006E074D"/>
    <w:rsid w:val="006E12AF"/>
    <w:rsid w:val="006F2056"/>
    <w:rsid w:val="006F5506"/>
    <w:rsid w:val="006F6BCD"/>
    <w:rsid w:val="00701A5B"/>
    <w:rsid w:val="007040CB"/>
    <w:rsid w:val="007073D0"/>
    <w:rsid w:val="00710ECF"/>
    <w:rsid w:val="00713EBB"/>
    <w:rsid w:val="007305D8"/>
    <w:rsid w:val="00732156"/>
    <w:rsid w:val="00735714"/>
    <w:rsid w:val="0075011E"/>
    <w:rsid w:val="00750911"/>
    <w:rsid w:val="00750CC4"/>
    <w:rsid w:val="007644D2"/>
    <w:rsid w:val="00772F92"/>
    <w:rsid w:val="007730A1"/>
    <w:rsid w:val="007806D8"/>
    <w:rsid w:val="00785F05"/>
    <w:rsid w:val="0079131F"/>
    <w:rsid w:val="0079635A"/>
    <w:rsid w:val="007963E9"/>
    <w:rsid w:val="007A2180"/>
    <w:rsid w:val="007B2C38"/>
    <w:rsid w:val="007B3197"/>
    <w:rsid w:val="007B7984"/>
    <w:rsid w:val="007C1EB6"/>
    <w:rsid w:val="007C49BB"/>
    <w:rsid w:val="007C6272"/>
    <w:rsid w:val="007C6D8B"/>
    <w:rsid w:val="007D2C0D"/>
    <w:rsid w:val="007E114F"/>
    <w:rsid w:val="007E7EF6"/>
    <w:rsid w:val="007F29DD"/>
    <w:rsid w:val="007F6987"/>
    <w:rsid w:val="008109F4"/>
    <w:rsid w:val="00810CBF"/>
    <w:rsid w:val="008113E5"/>
    <w:rsid w:val="008148ED"/>
    <w:rsid w:val="00821A2B"/>
    <w:rsid w:val="008320D6"/>
    <w:rsid w:val="008330A0"/>
    <w:rsid w:val="00834A0B"/>
    <w:rsid w:val="00835361"/>
    <w:rsid w:val="00843857"/>
    <w:rsid w:val="00844656"/>
    <w:rsid w:val="00846E19"/>
    <w:rsid w:val="00851614"/>
    <w:rsid w:val="00852193"/>
    <w:rsid w:val="0085320C"/>
    <w:rsid w:val="00865E6B"/>
    <w:rsid w:val="00877A60"/>
    <w:rsid w:val="00883485"/>
    <w:rsid w:val="008B1723"/>
    <w:rsid w:val="008B1E3F"/>
    <w:rsid w:val="008B5B86"/>
    <w:rsid w:val="008B78BF"/>
    <w:rsid w:val="008C6493"/>
    <w:rsid w:val="008C6531"/>
    <w:rsid w:val="008E4B5D"/>
    <w:rsid w:val="00904145"/>
    <w:rsid w:val="009155CE"/>
    <w:rsid w:val="00917797"/>
    <w:rsid w:val="0092262A"/>
    <w:rsid w:val="00922EFC"/>
    <w:rsid w:val="00926B3A"/>
    <w:rsid w:val="00930D31"/>
    <w:rsid w:val="0093414C"/>
    <w:rsid w:val="00936898"/>
    <w:rsid w:val="0094047B"/>
    <w:rsid w:val="009422AB"/>
    <w:rsid w:val="00946741"/>
    <w:rsid w:val="009518A0"/>
    <w:rsid w:val="00971602"/>
    <w:rsid w:val="009915F3"/>
    <w:rsid w:val="00994440"/>
    <w:rsid w:val="00997364"/>
    <w:rsid w:val="009A21EC"/>
    <w:rsid w:val="009A56FA"/>
    <w:rsid w:val="009A66AB"/>
    <w:rsid w:val="009B200E"/>
    <w:rsid w:val="009B3C73"/>
    <w:rsid w:val="009C3678"/>
    <w:rsid w:val="009C7D01"/>
    <w:rsid w:val="009D4937"/>
    <w:rsid w:val="009E0B2D"/>
    <w:rsid w:val="009E367F"/>
    <w:rsid w:val="009F580A"/>
    <w:rsid w:val="009F7C23"/>
    <w:rsid w:val="00A0048F"/>
    <w:rsid w:val="00A00618"/>
    <w:rsid w:val="00A00F73"/>
    <w:rsid w:val="00A0171D"/>
    <w:rsid w:val="00A03D60"/>
    <w:rsid w:val="00A23ABD"/>
    <w:rsid w:val="00A25F47"/>
    <w:rsid w:val="00A27A8D"/>
    <w:rsid w:val="00A319B2"/>
    <w:rsid w:val="00A31F4C"/>
    <w:rsid w:val="00A372A7"/>
    <w:rsid w:val="00A57AEA"/>
    <w:rsid w:val="00A660C7"/>
    <w:rsid w:val="00A703C2"/>
    <w:rsid w:val="00A74801"/>
    <w:rsid w:val="00A754C7"/>
    <w:rsid w:val="00A80687"/>
    <w:rsid w:val="00A90D6D"/>
    <w:rsid w:val="00A91EBE"/>
    <w:rsid w:val="00AA3B6B"/>
    <w:rsid w:val="00AC2F5E"/>
    <w:rsid w:val="00AC72AA"/>
    <w:rsid w:val="00AC7A2E"/>
    <w:rsid w:val="00AD0193"/>
    <w:rsid w:val="00AD29FC"/>
    <w:rsid w:val="00AD2F6F"/>
    <w:rsid w:val="00AE0EB3"/>
    <w:rsid w:val="00AE5FA3"/>
    <w:rsid w:val="00AF1681"/>
    <w:rsid w:val="00B018D7"/>
    <w:rsid w:val="00B01A14"/>
    <w:rsid w:val="00B06C41"/>
    <w:rsid w:val="00B11E64"/>
    <w:rsid w:val="00B20893"/>
    <w:rsid w:val="00B355C1"/>
    <w:rsid w:val="00B40D31"/>
    <w:rsid w:val="00B51E58"/>
    <w:rsid w:val="00B53411"/>
    <w:rsid w:val="00B54CC0"/>
    <w:rsid w:val="00B567A7"/>
    <w:rsid w:val="00B615E0"/>
    <w:rsid w:val="00B64398"/>
    <w:rsid w:val="00B71763"/>
    <w:rsid w:val="00B73725"/>
    <w:rsid w:val="00B85BB6"/>
    <w:rsid w:val="00B85CB2"/>
    <w:rsid w:val="00B9273D"/>
    <w:rsid w:val="00B94A59"/>
    <w:rsid w:val="00B9725E"/>
    <w:rsid w:val="00BA5D6D"/>
    <w:rsid w:val="00BB4DEA"/>
    <w:rsid w:val="00BB66C9"/>
    <w:rsid w:val="00BC3F61"/>
    <w:rsid w:val="00BD5565"/>
    <w:rsid w:val="00BD5DC8"/>
    <w:rsid w:val="00BD644A"/>
    <w:rsid w:val="00BE4EFC"/>
    <w:rsid w:val="00BF3078"/>
    <w:rsid w:val="00C0006B"/>
    <w:rsid w:val="00C05E59"/>
    <w:rsid w:val="00C1623E"/>
    <w:rsid w:val="00C31645"/>
    <w:rsid w:val="00C31DE2"/>
    <w:rsid w:val="00C44C59"/>
    <w:rsid w:val="00C471BF"/>
    <w:rsid w:val="00C60FBF"/>
    <w:rsid w:val="00C61A81"/>
    <w:rsid w:val="00C652ED"/>
    <w:rsid w:val="00C65BB7"/>
    <w:rsid w:val="00C70855"/>
    <w:rsid w:val="00C73589"/>
    <w:rsid w:val="00C77D8E"/>
    <w:rsid w:val="00C80ACA"/>
    <w:rsid w:val="00C82AC0"/>
    <w:rsid w:val="00C92F5E"/>
    <w:rsid w:val="00CA1A45"/>
    <w:rsid w:val="00CA2B24"/>
    <w:rsid w:val="00CA65BA"/>
    <w:rsid w:val="00CB28DE"/>
    <w:rsid w:val="00CC2164"/>
    <w:rsid w:val="00CC3485"/>
    <w:rsid w:val="00CC4B30"/>
    <w:rsid w:val="00CD5BB2"/>
    <w:rsid w:val="00CE1D8B"/>
    <w:rsid w:val="00CF4EA2"/>
    <w:rsid w:val="00CF518F"/>
    <w:rsid w:val="00D05E53"/>
    <w:rsid w:val="00D12AE0"/>
    <w:rsid w:val="00D174E6"/>
    <w:rsid w:val="00D2756E"/>
    <w:rsid w:val="00D334C3"/>
    <w:rsid w:val="00D54125"/>
    <w:rsid w:val="00D60F40"/>
    <w:rsid w:val="00D80175"/>
    <w:rsid w:val="00D83064"/>
    <w:rsid w:val="00D86FB0"/>
    <w:rsid w:val="00D97164"/>
    <w:rsid w:val="00D97596"/>
    <w:rsid w:val="00DA0B2D"/>
    <w:rsid w:val="00DA1CC5"/>
    <w:rsid w:val="00DA7B27"/>
    <w:rsid w:val="00DB108A"/>
    <w:rsid w:val="00DC09A0"/>
    <w:rsid w:val="00DC179E"/>
    <w:rsid w:val="00DD2709"/>
    <w:rsid w:val="00DE0F11"/>
    <w:rsid w:val="00DE714E"/>
    <w:rsid w:val="00DF226B"/>
    <w:rsid w:val="00E04CDB"/>
    <w:rsid w:val="00E105B0"/>
    <w:rsid w:val="00E14537"/>
    <w:rsid w:val="00E148ED"/>
    <w:rsid w:val="00E20A3E"/>
    <w:rsid w:val="00E23406"/>
    <w:rsid w:val="00E3666D"/>
    <w:rsid w:val="00E41BEB"/>
    <w:rsid w:val="00E46EC5"/>
    <w:rsid w:val="00E66A6A"/>
    <w:rsid w:val="00E70816"/>
    <w:rsid w:val="00E83921"/>
    <w:rsid w:val="00E850C0"/>
    <w:rsid w:val="00E9022E"/>
    <w:rsid w:val="00EB2FE7"/>
    <w:rsid w:val="00EB3DE7"/>
    <w:rsid w:val="00EC129A"/>
    <w:rsid w:val="00EC402B"/>
    <w:rsid w:val="00EC56CB"/>
    <w:rsid w:val="00ED04D7"/>
    <w:rsid w:val="00ED2F20"/>
    <w:rsid w:val="00ED7603"/>
    <w:rsid w:val="00EE3353"/>
    <w:rsid w:val="00EF1787"/>
    <w:rsid w:val="00F0086E"/>
    <w:rsid w:val="00F01F07"/>
    <w:rsid w:val="00F0257E"/>
    <w:rsid w:val="00F11457"/>
    <w:rsid w:val="00F25AD1"/>
    <w:rsid w:val="00F27E87"/>
    <w:rsid w:val="00F378F1"/>
    <w:rsid w:val="00F42D21"/>
    <w:rsid w:val="00F4347C"/>
    <w:rsid w:val="00F53B8D"/>
    <w:rsid w:val="00F6035F"/>
    <w:rsid w:val="00F6748C"/>
    <w:rsid w:val="00F751A6"/>
    <w:rsid w:val="00F802A7"/>
    <w:rsid w:val="00F87110"/>
    <w:rsid w:val="00F87950"/>
    <w:rsid w:val="00F90BCE"/>
    <w:rsid w:val="00F93B44"/>
    <w:rsid w:val="00F95552"/>
    <w:rsid w:val="00FA0732"/>
    <w:rsid w:val="00FA1259"/>
    <w:rsid w:val="00FA4A80"/>
    <w:rsid w:val="00FA7B5E"/>
    <w:rsid w:val="00FB4665"/>
    <w:rsid w:val="00FB698D"/>
    <w:rsid w:val="00FC03FD"/>
    <w:rsid w:val="00FC29E2"/>
    <w:rsid w:val="00FD45FE"/>
    <w:rsid w:val="00FD4AD9"/>
    <w:rsid w:val="00FD577B"/>
    <w:rsid w:val="00FE21DD"/>
    <w:rsid w:val="00FF105B"/>
    <w:rsid w:val="00FF1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47"/>
    <w:pPr>
      <w:spacing w:after="200" w:line="276" w:lineRule="auto"/>
    </w:pPr>
    <w:rPr>
      <w:sz w:val="22"/>
      <w:szCs w:val="22"/>
    </w:rPr>
  </w:style>
  <w:style w:type="paragraph" w:styleId="Heading2">
    <w:name w:val="heading 2"/>
    <w:basedOn w:val="Normal"/>
    <w:link w:val="Heading2Char"/>
    <w:uiPriority w:val="99"/>
    <w:qFormat/>
    <w:rsid w:val="005A414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semiHidden/>
    <w:unhideWhenUsed/>
    <w:qFormat/>
    <w:locked/>
    <w:rsid w:val="0014643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A4141"/>
    <w:rPr>
      <w:rFonts w:ascii="Times New Roman" w:hAnsi="Times New Roman" w:cs="Times New Roman"/>
      <w:b/>
      <w:bCs/>
      <w:sz w:val="36"/>
      <w:szCs w:val="36"/>
    </w:rPr>
  </w:style>
  <w:style w:type="table" w:styleId="TableGrid">
    <w:name w:val="Table Grid"/>
    <w:basedOn w:val="TableNormal"/>
    <w:uiPriority w:val="99"/>
    <w:rsid w:val="00A03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437F1"/>
    <w:rPr>
      <w:rFonts w:cs="Times New Roman"/>
      <w:color w:val="80292A"/>
      <w:sz w:val="18"/>
      <w:szCs w:val="18"/>
      <w:u w:val="none"/>
      <w:effect w:val="none"/>
      <w:bdr w:val="none" w:sz="0" w:space="0" w:color="auto" w:frame="1"/>
    </w:rPr>
  </w:style>
  <w:style w:type="paragraph" w:styleId="BalloonText">
    <w:name w:val="Balloon Text"/>
    <w:basedOn w:val="Normal"/>
    <w:link w:val="BalloonTextChar"/>
    <w:uiPriority w:val="99"/>
    <w:semiHidden/>
    <w:rsid w:val="00701A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01A5B"/>
    <w:rPr>
      <w:rFonts w:ascii="Tahoma" w:hAnsi="Tahoma" w:cs="Tahoma"/>
      <w:sz w:val="16"/>
      <w:szCs w:val="16"/>
    </w:rPr>
  </w:style>
  <w:style w:type="paragraph" w:styleId="Header">
    <w:name w:val="header"/>
    <w:basedOn w:val="Normal"/>
    <w:link w:val="HeaderChar"/>
    <w:uiPriority w:val="99"/>
    <w:rsid w:val="00043A65"/>
    <w:pPr>
      <w:tabs>
        <w:tab w:val="center" w:pos="4680"/>
        <w:tab w:val="right" w:pos="9360"/>
      </w:tabs>
      <w:spacing w:after="0" w:line="240" w:lineRule="auto"/>
    </w:pPr>
  </w:style>
  <w:style w:type="character" w:customStyle="1" w:styleId="HeaderChar">
    <w:name w:val="Header Char"/>
    <w:link w:val="Header"/>
    <w:uiPriority w:val="99"/>
    <w:locked/>
    <w:rsid w:val="00043A65"/>
    <w:rPr>
      <w:rFonts w:cs="Times New Roman"/>
    </w:rPr>
  </w:style>
  <w:style w:type="paragraph" w:styleId="Footer">
    <w:name w:val="footer"/>
    <w:basedOn w:val="Normal"/>
    <w:link w:val="FooterChar"/>
    <w:uiPriority w:val="99"/>
    <w:rsid w:val="00043A65"/>
    <w:pPr>
      <w:tabs>
        <w:tab w:val="center" w:pos="4680"/>
        <w:tab w:val="right" w:pos="9360"/>
      </w:tabs>
      <w:spacing w:after="0" w:line="240" w:lineRule="auto"/>
    </w:pPr>
  </w:style>
  <w:style w:type="character" w:customStyle="1" w:styleId="FooterChar">
    <w:name w:val="Footer Char"/>
    <w:link w:val="Footer"/>
    <w:uiPriority w:val="99"/>
    <w:locked/>
    <w:rsid w:val="00043A65"/>
    <w:rPr>
      <w:rFonts w:cs="Times New Roman"/>
    </w:rPr>
  </w:style>
  <w:style w:type="paragraph" w:styleId="ListParagraph">
    <w:name w:val="List Paragraph"/>
    <w:basedOn w:val="Normal"/>
    <w:uiPriority w:val="34"/>
    <w:qFormat/>
    <w:rsid w:val="00284EF3"/>
    <w:pPr>
      <w:ind w:left="720"/>
      <w:contextualSpacing/>
    </w:pPr>
  </w:style>
  <w:style w:type="character" w:styleId="CommentReference">
    <w:name w:val="annotation reference"/>
    <w:uiPriority w:val="99"/>
    <w:semiHidden/>
    <w:rsid w:val="00DE714E"/>
    <w:rPr>
      <w:rFonts w:cs="Times New Roman"/>
      <w:sz w:val="16"/>
      <w:szCs w:val="16"/>
    </w:rPr>
  </w:style>
  <w:style w:type="paragraph" w:styleId="CommentText">
    <w:name w:val="annotation text"/>
    <w:basedOn w:val="Normal"/>
    <w:link w:val="CommentTextChar"/>
    <w:uiPriority w:val="99"/>
    <w:semiHidden/>
    <w:rsid w:val="00DE714E"/>
    <w:pPr>
      <w:spacing w:line="240" w:lineRule="auto"/>
    </w:pPr>
    <w:rPr>
      <w:sz w:val="20"/>
      <w:szCs w:val="20"/>
    </w:rPr>
  </w:style>
  <w:style w:type="character" w:customStyle="1" w:styleId="CommentTextChar">
    <w:name w:val="Comment Text Char"/>
    <w:link w:val="CommentText"/>
    <w:uiPriority w:val="99"/>
    <w:semiHidden/>
    <w:locked/>
    <w:rsid w:val="00DE714E"/>
    <w:rPr>
      <w:rFonts w:cs="Times New Roman"/>
      <w:sz w:val="20"/>
      <w:szCs w:val="20"/>
    </w:rPr>
  </w:style>
  <w:style w:type="paragraph" w:styleId="CommentSubject">
    <w:name w:val="annotation subject"/>
    <w:basedOn w:val="CommentText"/>
    <w:next w:val="CommentText"/>
    <w:link w:val="CommentSubjectChar"/>
    <w:uiPriority w:val="99"/>
    <w:semiHidden/>
    <w:rsid w:val="00DE714E"/>
    <w:rPr>
      <w:b/>
      <w:bCs/>
    </w:rPr>
  </w:style>
  <w:style w:type="character" w:customStyle="1" w:styleId="CommentSubjectChar">
    <w:name w:val="Comment Subject Char"/>
    <w:link w:val="CommentSubject"/>
    <w:uiPriority w:val="99"/>
    <w:semiHidden/>
    <w:locked/>
    <w:rsid w:val="00DE714E"/>
    <w:rPr>
      <w:rFonts w:cs="Times New Roman"/>
      <w:b/>
      <w:bCs/>
      <w:sz w:val="20"/>
      <w:szCs w:val="20"/>
    </w:rPr>
  </w:style>
  <w:style w:type="character" w:customStyle="1" w:styleId="FontStyle38">
    <w:name w:val="Font Style38"/>
    <w:uiPriority w:val="99"/>
    <w:rsid w:val="0052608F"/>
    <w:rPr>
      <w:rFonts w:ascii="Arial" w:hAnsi="Arial" w:cs="Arial"/>
      <w:sz w:val="22"/>
      <w:szCs w:val="22"/>
    </w:rPr>
  </w:style>
  <w:style w:type="character" w:customStyle="1" w:styleId="Heading3Char">
    <w:name w:val="Heading 3 Char"/>
    <w:link w:val="Heading3"/>
    <w:semiHidden/>
    <w:rsid w:val="00146432"/>
    <w:rPr>
      <w:rFonts w:ascii="Cambria" w:eastAsia="Times New Roman" w:hAnsi="Cambria" w:cs="Times New Roman"/>
      <w:b/>
      <w:bCs/>
      <w:color w:val="4F81BD"/>
    </w:rPr>
  </w:style>
  <w:style w:type="paragraph" w:styleId="PlainText">
    <w:name w:val="Plain Text"/>
    <w:basedOn w:val="Normal"/>
    <w:link w:val="PlainTextChar"/>
    <w:uiPriority w:val="99"/>
    <w:semiHidden/>
    <w:unhideWhenUsed/>
    <w:rsid w:val="009F7C23"/>
    <w:pPr>
      <w:spacing w:after="0" w:line="240" w:lineRule="auto"/>
    </w:pPr>
    <w:rPr>
      <w:rFonts w:cs="Consolas"/>
      <w:szCs w:val="21"/>
      <w:lang w:val="ro-RO"/>
    </w:rPr>
  </w:style>
  <w:style w:type="character" w:customStyle="1" w:styleId="PlainTextChar">
    <w:name w:val="Plain Text Char"/>
    <w:link w:val="PlainText"/>
    <w:uiPriority w:val="99"/>
    <w:semiHidden/>
    <w:rsid w:val="009F7C23"/>
    <w:rPr>
      <w:rFonts w:eastAsia="Calibri" w:cs="Consolas"/>
      <w:szCs w:val="21"/>
      <w:lang w:val="ro-RO"/>
    </w:rPr>
  </w:style>
  <w:style w:type="character" w:styleId="FollowedHyperlink">
    <w:name w:val="FollowedHyperlink"/>
    <w:uiPriority w:val="99"/>
    <w:semiHidden/>
    <w:unhideWhenUsed/>
    <w:rsid w:val="00994440"/>
    <w:rPr>
      <w:color w:val="800080"/>
      <w:u w:val="single"/>
    </w:rPr>
  </w:style>
  <w:style w:type="character" w:customStyle="1" w:styleId="yiv3709458571">
    <w:name w:val="yiv3709458571"/>
    <w:basedOn w:val="DefaultParagraphFont"/>
    <w:rsid w:val="00A00618"/>
  </w:style>
  <w:style w:type="character" w:customStyle="1" w:styleId="yiv3946109715">
    <w:name w:val="yiv3946109715"/>
    <w:basedOn w:val="DefaultParagraphFont"/>
    <w:rsid w:val="008109F4"/>
  </w:style>
  <w:style w:type="paragraph" w:customStyle="1" w:styleId="Body2">
    <w:name w:val="Body2"/>
    <w:basedOn w:val="Normal"/>
    <w:uiPriority w:val="99"/>
    <w:rsid w:val="00A703C2"/>
    <w:pPr>
      <w:autoSpaceDE w:val="0"/>
      <w:autoSpaceDN w:val="0"/>
      <w:adjustRightInd w:val="0"/>
      <w:spacing w:line="240" w:lineRule="auto"/>
    </w:pPr>
    <w:rPr>
      <w:rFonts w:ascii="Times New Roman" w:hAnsi="Times New Roman"/>
      <w:color w:val="3F3D35"/>
      <w:sz w:val="16"/>
      <w:szCs w:val="16"/>
    </w:rPr>
  </w:style>
  <w:style w:type="character" w:customStyle="1" w:styleId="yiv5228705041">
    <w:name w:val="yiv5228705041"/>
    <w:basedOn w:val="DefaultParagraphFont"/>
    <w:rsid w:val="00482C11"/>
  </w:style>
  <w:style w:type="character" w:styleId="Emphasis">
    <w:name w:val="Emphasis"/>
    <w:uiPriority w:val="20"/>
    <w:qFormat/>
    <w:locked/>
    <w:rsid w:val="00171214"/>
    <w:rPr>
      <w:i/>
      <w:iCs/>
    </w:rPr>
  </w:style>
  <w:style w:type="character" w:customStyle="1" w:styleId="yiv1847325394">
    <w:name w:val="yiv1847325394"/>
    <w:basedOn w:val="DefaultParagraphFont"/>
    <w:rsid w:val="009A66AB"/>
  </w:style>
  <w:style w:type="character" w:customStyle="1" w:styleId="yiv4410984118">
    <w:name w:val="yiv4410984118"/>
    <w:basedOn w:val="DefaultParagraphFont"/>
    <w:rsid w:val="003D10E0"/>
  </w:style>
  <w:style w:type="character" w:customStyle="1" w:styleId="yiv5109588034">
    <w:name w:val="yiv5109588034"/>
    <w:basedOn w:val="DefaultParagraphFont"/>
    <w:rsid w:val="00202D5A"/>
  </w:style>
  <w:style w:type="character" w:customStyle="1" w:styleId="yiv5797810899">
    <w:name w:val="yiv5797810899"/>
    <w:basedOn w:val="DefaultParagraphFont"/>
    <w:rsid w:val="006F2056"/>
  </w:style>
  <w:style w:type="character" w:customStyle="1" w:styleId="apple-converted-space">
    <w:name w:val="apple-converted-space"/>
    <w:basedOn w:val="DefaultParagraphFont"/>
    <w:rsid w:val="006F2056"/>
  </w:style>
  <w:style w:type="character" w:customStyle="1" w:styleId="yiv4516106682">
    <w:name w:val="yiv4516106682"/>
    <w:basedOn w:val="DefaultParagraphFont"/>
    <w:rsid w:val="002C363C"/>
  </w:style>
  <w:style w:type="character" w:customStyle="1" w:styleId="yiv8475258731">
    <w:name w:val="yiv8475258731"/>
    <w:basedOn w:val="DefaultParagraphFont"/>
    <w:rsid w:val="00710ECF"/>
  </w:style>
  <w:style w:type="character" w:customStyle="1" w:styleId="yiv7969862455">
    <w:name w:val="yiv7969862455"/>
    <w:basedOn w:val="DefaultParagraphFont"/>
    <w:rsid w:val="005A4052"/>
  </w:style>
  <w:style w:type="character" w:customStyle="1" w:styleId="yiv3601200201">
    <w:name w:val="yiv3601200201"/>
    <w:basedOn w:val="DefaultParagraphFont"/>
    <w:rsid w:val="00BC3F61"/>
  </w:style>
  <w:style w:type="character" w:customStyle="1" w:styleId="yiv8321031674">
    <w:name w:val="yiv8321031674"/>
    <w:basedOn w:val="DefaultParagraphFont"/>
    <w:rsid w:val="000B052B"/>
  </w:style>
  <w:style w:type="character" w:customStyle="1" w:styleId="yiv0133518388">
    <w:name w:val="yiv0133518388"/>
    <w:basedOn w:val="DefaultParagraphFont"/>
    <w:rsid w:val="00A319B2"/>
  </w:style>
  <w:style w:type="character" w:customStyle="1" w:styleId="yiv4654540836">
    <w:name w:val="yiv4654540836"/>
    <w:basedOn w:val="DefaultParagraphFont"/>
    <w:rsid w:val="008330A0"/>
  </w:style>
  <w:style w:type="paragraph" w:customStyle="1" w:styleId="Style3">
    <w:name w:val="Style3"/>
    <w:basedOn w:val="Normal"/>
    <w:qFormat/>
    <w:rsid w:val="00AC7A2E"/>
    <w:pPr>
      <w:overflowPunct w:val="0"/>
      <w:autoSpaceDE w:val="0"/>
      <w:autoSpaceDN w:val="0"/>
      <w:adjustRightInd w:val="0"/>
      <w:spacing w:after="120" w:line="240" w:lineRule="exact"/>
      <w:jc w:val="both"/>
    </w:pPr>
    <w:rPr>
      <w:rFonts w:ascii="Arial" w:eastAsia="Times New Roman" w:hAnsi="Arial"/>
      <w:kern w:val="12"/>
      <w:sz w:val="24"/>
      <w:szCs w:val="20"/>
      <w:lang w:val="ro-RO"/>
    </w:rPr>
  </w:style>
  <w:style w:type="table" w:customStyle="1" w:styleId="Tabelgril5ntunecat-Accentuare4">
    <w:name w:val="Tabel grilă 5 Întunecat - Accentuare 4"/>
    <w:basedOn w:val="TableNormal"/>
    <w:uiPriority w:val="50"/>
    <w:rsid w:val="00AC7A2E"/>
    <w:rPr>
      <w:rFonts w:ascii="Times New Roman" w:hAnsi="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elgril4-Accentuare2">
    <w:name w:val="Tabel grilă 4 - Accentuare 2"/>
    <w:basedOn w:val="TableNormal"/>
    <w:uiPriority w:val="49"/>
    <w:rsid w:val="00AC7A2E"/>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Revision">
    <w:name w:val="Revision"/>
    <w:hidden/>
    <w:uiPriority w:val="99"/>
    <w:semiHidden/>
    <w:rsid w:val="007073D0"/>
    <w:rPr>
      <w:sz w:val="22"/>
      <w:szCs w:val="22"/>
    </w:rPr>
  </w:style>
</w:styles>
</file>

<file path=word/webSettings.xml><?xml version="1.0" encoding="utf-8"?>
<w:webSettings xmlns:r="http://schemas.openxmlformats.org/officeDocument/2006/relationships" xmlns:w="http://schemas.openxmlformats.org/wordprocessingml/2006/main">
  <w:divs>
    <w:div w:id="14044444">
      <w:bodyDiv w:val="1"/>
      <w:marLeft w:val="0"/>
      <w:marRight w:val="0"/>
      <w:marTop w:val="0"/>
      <w:marBottom w:val="0"/>
      <w:divBdr>
        <w:top w:val="none" w:sz="0" w:space="0" w:color="auto"/>
        <w:left w:val="none" w:sz="0" w:space="0" w:color="auto"/>
        <w:bottom w:val="none" w:sz="0" w:space="0" w:color="auto"/>
        <w:right w:val="none" w:sz="0" w:space="0" w:color="auto"/>
      </w:divBdr>
    </w:div>
    <w:div w:id="105470421">
      <w:bodyDiv w:val="1"/>
      <w:marLeft w:val="0"/>
      <w:marRight w:val="0"/>
      <w:marTop w:val="0"/>
      <w:marBottom w:val="0"/>
      <w:divBdr>
        <w:top w:val="none" w:sz="0" w:space="0" w:color="auto"/>
        <w:left w:val="none" w:sz="0" w:space="0" w:color="auto"/>
        <w:bottom w:val="none" w:sz="0" w:space="0" w:color="auto"/>
        <w:right w:val="none" w:sz="0" w:space="0" w:color="auto"/>
      </w:divBdr>
    </w:div>
    <w:div w:id="244844429">
      <w:bodyDiv w:val="1"/>
      <w:marLeft w:val="0"/>
      <w:marRight w:val="0"/>
      <w:marTop w:val="0"/>
      <w:marBottom w:val="0"/>
      <w:divBdr>
        <w:top w:val="none" w:sz="0" w:space="0" w:color="auto"/>
        <w:left w:val="none" w:sz="0" w:space="0" w:color="auto"/>
        <w:bottom w:val="none" w:sz="0" w:space="0" w:color="auto"/>
        <w:right w:val="none" w:sz="0" w:space="0" w:color="auto"/>
      </w:divBdr>
    </w:div>
    <w:div w:id="305362228">
      <w:bodyDiv w:val="1"/>
      <w:marLeft w:val="0"/>
      <w:marRight w:val="0"/>
      <w:marTop w:val="0"/>
      <w:marBottom w:val="0"/>
      <w:divBdr>
        <w:top w:val="none" w:sz="0" w:space="0" w:color="auto"/>
        <w:left w:val="none" w:sz="0" w:space="0" w:color="auto"/>
        <w:bottom w:val="none" w:sz="0" w:space="0" w:color="auto"/>
        <w:right w:val="none" w:sz="0" w:space="0" w:color="auto"/>
      </w:divBdr>
    </w:div>
    <w:div w:id="413861946">
      <w:bodyDiv w:val="1"/>
      <w:marLeft w:val="0"/>
      <w:marRight w:val="0"/>
      <w:marTop w:val="0"/>
      <w:marBottom w:val="0"/>
      <w:divBdr>
        <w:top w:val="none" w:sz="0" w:space="0" w:color="auto"/>
        <w:left w:val="none" w:sz="0" w:space="0" w:color="auto"/>
        <w:bottom w:val="none" w:sz="0" w:space="0" w:color="auto"/>
        <w:right w:val="none" w:sz="0" w:space="0" w:color="auto"/>
      </w:divBdr>
    </w:div>
    <w:div w:id="490175032">
      <w:bodyDiv w:val="1"/>
      <w:marLeft w:val="0"/>
      <w:marRight w:val="0"/>
      <w:marTop w:val="0"/>
      <w:marBottom w:val="0"/>
      <w:divBdr>
        <w:top w:val="none" w:sz="0" w:space="0" w:color="auto"/>
        <w:left w:val="none" w:sz="0" w:space="0" w:color="auto"/>
        <w:bottom w:val="none" w:sz="0" w:space="0" w:color="auto"/>
        <w:right w:val="none" w:sz="0" w:space="0" w:color="auto"/>
      </w:divBdr>
    </w:div>
    <w:div w:id="534733854">
      <w:bodyDiv w:val="1"/>
      <w:marLeft w:val="0"/>
      <w:marRight w:val="0"/>
      <w:marTop w:val="0"/>
      <w:marBottom w:val="0"/>
      <w:divBdr>
        <w:top w:val="none" w:sz="0" w:space="0" w:color="auto"/>
        <w:left w:val="none" w:sz="0" w:space="0" w:color="auto"/>
        <w:bottom w:val="none" w:sz="0" w:space="0" w:color="auto"/>
        <w:right w:val="none" w:sz="0" w:space="0" w:color="auto"/>
      </w:divBdr>
    </w:div>
    <w:div w:id="545409407">
      <w:bodyDiv w:val="1"/>
      <w:marLeft w:val="0"/>
      <w:marRight w:val="0"/>
      <w:marTop w:val="0"/>
      <w:marBottom w:val="0"/>
      <w:divBdr>
        <w:top w:val="none" w:sz="0" w:space="0" w:color="auto"/>
        <w:left w:val="none" w:sz="0" w:space="0" w:color="auto"/>
        <w:bottom w:val="none" w:sz="0" w:space="0" w:color="auto"/>
        <w:right w:val="none" w:sz="0" w:space="0" w:color="auto"/>
      </w:divBdr>
    </w:div>
    <w:div w:id="602034244">
      <w:bodyDiv w:val="1"/>
      <w:marLeft w:val="0"/>
      <w:marRight w:val="0"/>
      <w:marTop w:val="0"/>
      <w:marBottom w:val="0"/>
      <w:divBdr>
        <w:top w:val="none" w:sz="0" w:space="0" w:color="auto"/>
        <w:left w:val="none" w:sz="0" w:space="0" w:color="auto"/>
        <w:bottom w:val="none" w:sz="0" w:space="0" w:color="auto"/>
        <w:right w:val="none" w:sz="0" w:space="0" w:color="auto"/>
      </w:divBdr>
    </w:div>
    <w:div w:id="617445579">
      <w:bodyDiv w:val="1"/>
      <w:marLeft w:val="0"/>
      <w:marRight w:val="0"/>
      <w:marTop w:val="0"/>
      <w:marBottom w:val="0"/>
      <w:divBdr>
        <w:top w:val="none" w:sz="0" w:space="0" w:color="auto"/>
        <w:left w:val="none" w:sz="0" w:space="0" w:color="auto"/>
        <w:bottom w:val="none" w:sz="0" w:space="0" w:color="auto"/>
        <w:right w:val="none" w:sz="0" w:space="0" w:color="auto"/>
      </w:divBdr>
      <w:divsChild>
        <w:div w:id="1909655400">
          <w:marLeft w:val="0"/>
          <w:marRight w:val="0"/>
          <w:marTop w:val="0"/>
          <w:marBottom w:val="0"/>
          <w:divBdr>
            <w:top w:val="none" w:sz="0" w:space="11" w:color="auto"/>
            <w:left w:val="none" w:sz="0" w:space="11" w:color="auto"/>
            <w:bottom w:val="none" w:sz="0" w:space="11" w:color="auto"/>
            <w:right w:val="single" w:sz="6" w:space="11" w:color="DDDDDD"/>
          </w:divBdr>
          <w:divsChild>
            <w:div w:id="202613">
              <w:marLeft w:val="0"/>
              <w:marRight w:val="0"/>
              <w:marTop w:val="0"/>
              <w:marBottom w:val="0"/>
              <w:divBdr>
                <w:top w:val="none" w:sz="0" w:space="0" w:color="auto"/>
                <w:left w:val="none" w:sz="0" w:space="0" w:color="auto"/>
                <w:bottom w:val="none" w:sz="0" w:space="0" w:color="auto"/>
                <w:right w:val="none" w:sz="0" w:space="0" w:color="auto"/>
              </w:divBdr>
              <w:divsChild>
                <w:div w:id="1196188472">
                  <w:marLeft w:val="0"/>
                  <w:marRight w:val="0"/>
                  <w:marTop w:val="0"/>
                  <w:marBottom w:val="0"/>
                  <w:divBdr>
                    <w:top w:val="none" w:sz="0" w:space="0" w:color="auto"/>
                    <w:left w:val="none" w:sz="0" w:space="0" w:color="auto"/>
                    <w:bottom w:val="none" w:sz="0" w:space="0" w:color="auto"/>
                    <w:right w:val="none" w:sz="0" w:space="0" w:color="auto"/>
                  </w:divBdr>
                  <w:divsChild>
                    <w:div w:id="1484929990">
                      <w:marLeft w:val="0"/>
                      <w:marRight w:val="0"/>
                      <w:marTop w:val="0"/>
                      <w:marBottom w:val="0"/>
                      <w:divBdr>
                        <w:top w:val="single" w:sz="6" w:space="0" w:color="DDDDDD"/>
                        <w:left w:val="single" w:sz="6" w:space="0" w:color="DDDDDD"/>
                        <w:bottom w:val="single" w:sz="6" w:space="0" w:color="DDDDDD"/>
                        <w:right w:val="single" w:sz="6" w:space="0" w:color="DDDDDD"/>
                      </w:divBdr>
                      <w:divsChild>
                        <w:div w:id="393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80802">
      <w:bodyDiv w:val="1"/>
      <w:marLeft w:val="0"/>
      <w:marRight w:val="0"/>
      <w:marTop w:val="0"/>
      <w:marBottom w:val="0"/>
      <w:divBdr>
        <w:top w:val="none" w:sz="0" w:space="0" w:color="auto"/>
        <w:left w:val="none" w:sz="0" w:space="0" w:color="auto"/>
        <w:bottom w:val="none" w:sz="0" w:space="0" w:color="auto"/>
        <w:right w:val="none" w:sz="0" w:space="0" w:color="auto"/>
      </w:divBdr>
    </w:div>
    <w:div w:id="681932782">
      <w:bodyDiv w:val="1"/>
      <w:marLeft w:val="0"/>
      <w:marRight w:val="0"/>
      <w:marTop w:val="0"/>
      <w:marBottom w:val="0"/>
      <w:divBdr>
        <w:top w:val="none" w:sz="0" w:space="0" w:color="auto"/>
        <w:left w:val="none" w:sz="0" w:space="0" w:color="auto"/>
        <w:bottom w:val="none" w:sz="0" w:space="0" w:color="auto"/>
        <w:right w:val="none" w:sz="0" w:space="0" w:color="auto"/>
      </w:divBdr>
    </w:div>
    <w:div w:id="699016578">
      <w:bodyDiv w:val="1"/>
      <w:marLeft w:val="0"/>
      <w:marRight w:val="0"/>
      <w:marTop w:val="0"/>
      <w:marBottom w:val="0"/>
      <w:divBdr>
        <w:top w:val="none" w:sz="0" w:space="0" w:color="auto"/>
        <w:left w:val="none" w:sz="0" w:space="0" w:color="auto"/>
        <w:bottom w:val="none" w:sz="0" w:space="0" w:color="auto"/>
        <w:right w:val="none" w:sz="0" w:space="0" w:color="auto"/>
      </w:divBdr>
    </w:div>
    <w:div w:id="736321386">
      <w:bodyDiv w:val="1"/>
      <w:marLeft w:val="0"/>
      <w:marRight w:val="0"/>
      <w:marTop w:val="0"/>
      <w:marBottom w:val="0"/>
      <w:divBdr>
        <w:top w:val="none" w:sz="0" w:space="0" w:color="auto"/>
        <w:left w:val="none" w:sz="0" w:space="0" w:color="auto"/>
        <w:bottom w:val="none" w:sz="0" w:space="0" w:color="auto"/>
        <w:right w:val="none" w:sz="0" w:space="0" w:color="auto"/>
      </w:divBdr>
    </w:div>
    <w:div w:id="854343865">
      <w:bodyDiv w:val="1"/>
      <w:marLeft w:val="0"/>
      <w:marRight w:val="0"/>
      <w:marTop w:val="0"/>
      <w:marBottom w:val="0"/>
      <w:divBdr>
        <w:top w:val="none" w:sz="0" w:space="0" w:color="auto"/>
        <w:left w:val="none" w:sz="0" w:space="0" w:color="auto"/>
        <w:bottom w:val="none" w:sz="0" w:space="0" w:color="auto"/>
        <w:right w:val="none" w:sz="0" w:space="0" w:color="auto"/>
      </w:divBdr>
    </w:div>
    <w:div w:id="888155085">
      <w:bodyDiv w:val="1"/>
      <w:marLeft w:val="0"/>
      <w:marRight w:val="0"/>
      <w:marTop w:val="0"/>
      <w:marBottom w:val="0"/>
      <w:divBdr>
        <w:top w:val="none" w:sz="0" w:space="0" w:color="auto"/>
        <w:left w:val="none" w:sz="0" w:space="0" w:color="auto"/>
        <w:bottom w:val="none" w:sz="0" w:space="0" w:color="auto"/>
        <w:right w:val="none" w:sz="0" w:space="0" w:color="auto"/>
      </w:divBdr>
      <w:divsChild>
        <w:div w:id="816997695">
          <w:marLeft w:val="994"/>
          <w:marRight w:val="0"/>
          <w:marTop w:val="0"/>
          <w:marBottom w:val="120"/>
          <w:divBdr>
            <w:top w:val="none" w:sz="0" w:space="0" w:color="auto"/>
            <w:left w:val="none" w:sz="0" w:space="0" w:color="auto"/>
            <w:bottom w:val="none" w:sz="0" w:space="0" w:color="auto"/>
            <w:right w:val="none" w:sz="0" w:space="0" w:color="auto"/>
          </w:divBdr>
        </w:div>
      </w:divsChild>
    </w:div>
    <w:div w:id="1053623128">
      <w:bodyDiv w:val="1"/>
      <w:marLeft w:val="0"/>
      <w:marRight w:val="0"/>
      <w:marTop w:val="0"/>
      <w:marBottom w:val="0"/>
      <w:divBdr>
        <w:top w:val="none" w:sz="0" w:space="0" w:color="auto"/>
        <w:left w:val="none" w:sz="0" w:space="0" w:color="auto"/>
        <w:bottom w:val="none" w:sz="0" w:space="0" w:color="auto"/>
        <w:right w:val="none" w:sz="0" w:space="0" w:color="auto"/>
      </w:divBdr>
    </w:div>
    <w:div w:id="1060707746">
      <w:bodyDiv w:val="1"/>
      <w:marLeft w:val="0"/>
      <w:marRight w:val="0"/>
      <w:marTop w:val="0"/>
      <w:marBottom w:val="0"/>
      <w:divBdr>
        <w:top w:val="none" w:sz="0" w:space="0" w:color="auto"/>
        <w:left w:val="none" w:sz="0" w:space="0" w:color="auto"/>
        <w:bottom w:val="none" w:sz="0" w:space="0" w:color="auto"/>
        <w:right w:val="none" w:sz="0" w:space="0" w:color="auto"/>
      </w:divBdr>
    </w:div>
    <w:div w:id="1095830274">
      <w:bodyDiv w:val="1"/>
      <w:marLeft w:val="0"/>
      <w:marRight w:val="0"/>
      <w:marTop w:val="0"/>
      <w:marBottom w:val="0"/>
      <w:divBdr>
        <w:top w:val="none" w:sz="0" w:space="0" w:color="auto"/>
        <w:left w:val="none" w:sz="0" w:space="0" w:color="auto"/>
        <w:bottom w:val="none" w:sz="0" w:space="0" w:color="auto"/>
        <w:right w:val="none" w:sz="0" w:space="0" w:color="auto"/>
      </w:divBdr>
    </w:div>
    <w:div w:id="1305425313">
      <w:bodyDiv w:val="1"/>
      <w:marLeft w:val="0"/>
      <w:marRight w:val="0"/>
      <w:marTop w:val="0"/>
      <w:marBottom w:val="0"/>
      <w:divBdr>
        <w:top w:val="none" w:sz="0" w:space="0" w:color="auto"/>
        <w:left w:val="none" w:sz="0" w:space="0" w:color="auto"/>
        <w:bottom w:val="none" w:sz="0" w:space="0" w:color="auto"/>
        <w:right w:val="none" w:sz="0" w:space="0" w:color="auto"/>
      </w:divBdr>
    </w:div>
    <w:div w:id="1310134576">
      <w:marLeft w:val="0"/>
      <w:marRight w:val="0"/>
      <w:marTop w:val="0"/>
      <w:marBottom w:val="0"/>
      <w:divBdr>
        <w:top w:val="none" w:sz="0" w:space="0" w:color="auto"/>
        <w:left w:val="none" w:sz="0" w:space="0" w:color="auto"/>
        <w:bottom w:val="none" w:sz="0" w:space="0" w:color="auto"/>
        <w:right w:val="none" w:sz="0" w:space="0" w:color="auto"/>
      </w:divBdr>
    </w:div>
    <w:div w:id="1310134577">
      <w:marLeft w:val="0"/>
      <w:marRight w:val="0"/>
      <w:marTop w:val="0"/>
      <w:marBottom w:val="0"/>
      <w:divBdr>
        <w:top w:val="none" w:sz="0" w:space="0" w:color="auto"/>
        <w:left w:val="none" w:sz="0" w:space="0" w:color="auto"/>
        <w:bottom w:val="none" w:sz="0" w:space="0" w:color="auto"/>
        <w:right w:val="none" w:sz="0" w:space="0" w:color="auto"/>
      </w:divBdr>
    </w:div>
    <w:div w:id="1338920523">
      <w:bodyDiv w:val="1"/>
      <w:marLeft w:val="0"/>
      <w:marRight w:val="0"/>
      <w:marTop w:val="0"/>
      <w:marBottom w:val="0"/>
      <w:divBdr>
        <w:top w:val="none" w:sz="0" w:space="0" w:color="auto"/>
        <w:left w:val="none" w:sz="0" w:space="0" w:color="auto"/>
        <w:bottom w:val="none" w:sz="0" w:space="0" w:color="auto"/>
        <w:right w:val="none" w:sz="0" w:space="0" w:color="auto"/>
      </w:divBdr>
    </w:div>
    <w:div w:id="1394695967">
      <w:bodyDiv w:val="1"/>
      <w:marLeft w:val="0"/>
      <w:marRight w:val="0"/>
      <w:marTop w:val="0"/>
      <w:marBottom w:val="0"/>
      <w:divBdr>
        <w:top w:val="none" w:sz="0" w:space="0" w:color="auto"/>
        <w:left w:val="none" w:sz="0" w:space="0" w:color="auto"/>
        <w:bottom w:val="none" w:sz="0" w:space="0" w:color="auto"/>
        <w:right w:val="none" w:sz="0" w:space="0" w:color="auto"/>
      </w:divBdr>
      <w:divsChild>
        <w:div w:id="428163355">
          <w:marLeft w:val="576"/>
          <w:marRight w:val="0"/>
          <w:marTop w:val="80"/>
          <w:marBottom w:val="0"/>
          <w:divBdr>
            <w:top w:val="none" w:sz="0" w:space="0" w:color="auto"/>
            <w:left w:val="none" w:sz="0" w:space="0" w:color="auto"/>
            <w:bottom w:val="none" w:sz="0" w:space="0" w:color="auto"/>
            <w:right w:val="none" w:sz="0" w:space="0" w:color="auto"/>
          </w:divBdr>
        </w:div>
        <w:div w:id="962154660">
          <w:marLeft w:val="576"/>
          <w:marRight w:val="0"/>
          <w:marTop w:val="80"/>
          <w:marBottom w:val="0"/>
          <w:divBdr>
            <w:top w:val="none" w:sz="0" w:space="0" w:color="auto"/>
            <w:left w:val="none" w:sz="0" w:space="0" w:color="auto"/>
            <w:bottom w:val="none" w:sz="0" w:space="0" w:color="auto"/>
            <w:right w:val="none" w:sz="0" w:space="0" w:color="auto"/>
          </w:divBdr>
        </w:div>
        <w:div w:id="1078868839">
          <w:marLeft w:val="576"/>
          <w:marRight w:val="0"/>
          <w:marTop w:val="80"/>
          <w:marBottom w:val="0"/>
          <w:divBdr>
            <w:top w:val="none" w:sz="0" w:space="0" w:color="auto"/>
            <w:left w:val="none" w:sz="0" w:space="0" w:color="auto"/>
            <w:bottom w:val="none" w:sz="0" w:space="0" w:color="auto"/>
            <w:right w:val="none" w:sz="0" w:space="0" w:color="auto"/>
          </w:divBdr>
        </w:div>
        <w:div w:id="1254583811">
          <w:marLeft w:val="1354"/>
          <w:marRight w:val="0"/>
          <w:marTop w:val="70"/>
          <w:marBottom w:val="0"/>
          <w:divBdr>
            <w:top w:val="none" w:sz="0" w:space="0" w:color="auto"/>
            <w:left w:val="none" w:sz="0" w:space="0" w:color="auto"/>
            <w:bottom w:val="none" w:sz="0" w:space="0" w:color="auto"/>
            <w:right w:val="none" w:sz="0" w:space="0" w:color="auto"/>
          </w:divBdr>
        </w:div>
        <w:div w:id="1435832081">
          <w:marLeft w:val="1354"/>
          <w:marRight w:val="0"/>
          <w:marTop w:val="70"/>
          <w:marBottom w:val="0"/>
          <w:divBdr>
            <w:top w:val="none" w:sz="0" w:space="0" w:color="auto"/>
            <w:left w:val="none" w:sz="0" w:space="0" w:color="auto"/>
            <w:bottom w:val="none" w:sz="0" w:space="0" w:color="auto"/>
            <w:right w:val="none" w:sz="0" w:space="0" w:color="auto"/>
          </w:divBdr>
        </w:div>
        <w:div w:id="2093696770">
          <w:marLeft w:val="1354"/>
          <w:marRight w:val="0"/>
          <w:marTop w:val="70"/>
          <w:marBottom w:val="0"/>
          <w:divBdr>
            <w:top w:val="none" w:sz="0" w:space="0" w:color="auto"/>
            <w:left w:val="none" w:sz="0" w:space="0" w:color="auto"/>
            <w:bottom w:val="none" w:sz="0" w:space="0" w:color="auto"/>
            <w:right w:val="none" w:sz="0" w:space="0" w:color="auto"/>
          </w:divBdr>
        </w:div>
      </w:divsChild>
    </w:div>
    <w:div w:id="1431900446">
      <w:bodyDiv w:val="1"/>
      <w:marLeft w:val="0"/>
      <w:marRight w:val="0"/>
      <w:marTop w:val="0"/>
      <w:marBottom w:val="0"/>
      <w:divBdr>
        <w:top w:val="none" w:sz="0" w:space="0" w:color="auto"/>
        <w:left w:val="none" w:sz="0" w:space="0" w:color="auto"/>
        <w:bottom w:val="none" w:sz="0" w:space="0" w:color="auto"/>
        <w:right w:val="none" w:sz="0" w:space="0" w:color="auto"/>
      </w:divBdr>
      <w:divsChild>
        <w:div w:id="166216712">
          <w:marLeft w:val="0"/>
          <w:marRight w:val="0"/>
          <w:marTop w:val="0"/>
          <w:marBottom w:val="0"/>
          <w:divBdr>
            <w:top w:val="none" w:sz="0" w:space="0" w:color="auto"/>
            <w:left w:val="none" w:sz="0" w:space="0" w:color="auto"/>
            <w:bottom w:val="none" w:sz="0" w:space="0" w:color="auto"/>
            <w:right w:val="none" w:sz="0" w:space="0" w:color="auto"/>
          </w:divBdr>
        </w:div>
        <w:div w:id="260340100">
          <w:marLeft w:val="0"/>
          <w:marRight w:val="0"/>
          <w:marTop w:val="0"/>
          <w:marBottom w:val="0"/>
          <w:divBdr>
            <w:top w:val="none" w:sz="0" w:space="0" w:color="auto"/>
            <w:left w:val="none" w:sz="0" w:space="0" w:color="auto"/>
            <w:bottom w:val="none" w:sz="0" w:space="0" w:color="auto"/>
            <w:right w:val="none" w:sz="0" w:space="0" w:color="auto"/>
          </w:divBdr>
        </w:div>
        <w:div w:id="515927846">
          <w:marLeft w:val="0"/>
          <w:marRight w:val="0"/>
          <w:marTop w:val="0"/>
          <w:marBottom w:val="0"/>
          <w:divBdr>
            <w:top w:val="none" w:sz="0" w:space="0" w:color="auto"/>
            <w:left w:val="none" w:sz="0" w:space="0" w:color="auto"/>
            <w:bottom w:val="none" w:sz="0" w:space="0" w:color="auto"/>
            <w:right w:val="none" w:sz="0" w:space="0" w:color="auto"/>
          </w:divBdr>
        </w:div>
        <w:div w:id="592586353">
          <w:marLeft w:val="0"/>
          <w:marRight w:val="0"/>
          <w:marTop w:val="0"/>
          <w:marBottom w:val="0"/>
          <w:divBdr>
            <w:top w:val="none" w:sz="0" w:space="0" w:color="auto"/>
            <w:left w:val="none" w:sz="0" w:space="0" w:color="auto"/>
            <w:bottom w:val="none" w:sz="0" w:space="0" w:color="auto"/>
            <w:right w:val="none" w:sz="0" w:space="0" w:color="auto"/>
          </w:divBdr>
        </w:div>
        <w:div w:id="1371803273">
          <w:marLeft w:val="0"/>
          <w:marRight w:val="0"/>
          <w:marTop w:val="0"/>
          <w:marBottom w:val="0"/>
          <w:divBdr>
            <w:top w:val="none" w:sz="0" w:space="0" w:color="auto"/>
            <w:left w:val="none" w:sz="0" w:space="0" w:color="auto"/>
            <w:bottom w:val="none" w:sz="0" w:space="0" w:color="auto"/>
            <w:right w:val="none" w:sz="0" w:space="0" w:color="auto"/>
          </w:divBdr>
        </w:div>
        <w:div w:id="1853109394">
          <w:marLeft w:val="0"/>
          <w:marRight w:val="0"/>
          <w:marTop w:val="0"/>
          <w:marBottom w:val="0"/>
          <w:divBdr>
            <w:top w:val="none" w:sz="0" w:space="0" w:color="auto"/>
            <w:left w:val="none" w:sz="0" w:space="0" w:color="auto"/>
            <w:bottom w:val="none" w:sz="0" w:space="0" w:color="auto"/>
            <w:right w:val="none" w:sz="0" w:space="0" w:color="auto"/>
          </w:divBdr>
        </w:div>
      </w:divsChild>
    </w:div>
    <w:div w:id="1436243512">
      <w:bodyDiv w:val="1"/>
      <w:marLeft w:val="0"/>
      <w:marRight w:val="0"/>
      <w:marTop w:val="0"/>
      <w:marBottom w:val="0"/>
      <w:divBdr>
        <w:top w:val="none" w:sz="0" w:space="0" w:color="auto"/>
        <w:left w:val="none" w:sz="0" w:space="0" w:color="auto"/>
        <w:bottom w:val="none" w:sz="0" w:space="0" w:color="auto"/>
        <w:right w:val="none" w:sz="0" w:space="0" w:color="auto"/>
      </w:divBdr>
    </w:div>
    <w:div w:id="1523545211">
      <w:bodyDiv w:val="1"/>
      <w:marLeft w:val="0"/>
      <w:marRight w:val="0"/>
      <w:marTop w:val="0"/>
      <w:marBottom w:val="0"/>
      <w:divBdr>
        <w:top w:val="none" w:sz="0" w:space="0" w:color="auto"/>
        <w:left w:val="none" w:sz="0" w:space="0" w:color="auto"/>
        <w:bottom w:val="none" w:sz="0" w:space="0" w:color="auto"/>
        <w:right w:val="none" w:sz="0" w:space="0" w:color="auto"/>
      </w:divBdr>
    </w:div>
    <w:div w:id="1556576535">
      <w:bodyDiv w:val="1"/>
      <w:marLeft w:val="0"/>
      <w:marRight w:val="0"/>
      <w:marTop w:val="0"/>
      <w:marBottom w:val="0"/>
      <w:divBdr>
        <w:top w:val="none" w:sz="0" w:space="0" w:color="auto"/>
        <w:left w:val="none" w:sz="0" w:space="0" w:color="auto"/>
        <w:bottom w:val="none" w:sz="0" w:space="0" w:color="auto"/>
        <w:right w:val="none" w:sz="0" w:space="0" w:color="auto"/>
      </w:divBdr>
    </w:div>
    <w:div w:id="1654523143">
      <w:bodyDiv w:val="1"/>
      <w:marLeft w:val="0"/>
      <w:marRight w:val="0"/>
      <w:marTop w:val="0"/>
      <w:marBottom w:val="0"/>
      <w:divBdr>
        <w:top w:val="none" w:sz="0" w:space="0" w:color="auto"/>
        <w:left w:val="none" w:sz="0" w:space="0" w:color="auto"/>
        <w:bottom w:val="none" w:sz="0" w:space="0" w:color="auto"/>
        <w:right w:val="none" w:sz="0" w:space="0" w:color="auto"/>
      </w:divBdr>
    </w:div>
    <w:div w:id="1681740291">
      <w:bodyDiv w:val="1"/>
      <w:marLeft w:val="0"/>
      <w:marRight w:val="0"/>
      <w:marTop w:val="0"/>
      <w:marBottom w:val="0"/>
      <w:divBdr>
        <w:top w:val="none" w:sz="0" w:space="0" w:color="auto"/>
        <w:left w:val="none" w:sz="0" w:space="0" w:color="auto"/>
        <w:bottom w:val="none" w:sz="0" w:space="0" w:color="auto"/>
        <w:right w:val="none" w:sz="0" w:space="0" w:color="auto"/>
      </w:divBdr>
    </w:div>
    <w:div w:id="1699813199">
      <w:bodyDiv w:val="1"/>
      <w:marLeft w:val="0"/>
      <w:marRight w:val="0"/>
      <w:marTop w:val="0"/>
      <w:marBottom w:val="0"/>
      <w:divBdr>
        <w:top w:val="none" w:sz="0" w:space="0" w:color="auto"/>
        <w:left w:val="none" w:sz="0" w:space="0" w:color="auto"/>
        <w:bottom w:val="none" w:sz="0" w:space="0" w:color="auto"/>
        <w:right w:val="none" w:sz="0" w:space="0" w:color="auto"/>
      </w:divBdr>
    </w:div>
    <w:div w:id="1717388300">
      <w:bodyDiv w:val="1"/>
      <w:marLeft w:val="0"/>
      <w:marRight w:val="0"/>
      <w:marTop w:val="0"/>
      <w:marBottom w:val="0"/>
      <w:divBdr>
        <w:top w:val="none" w:sz="0" w:space="0" w:color="auto"/>
        <w:left w:val="none" w:sz="0" w:space="0" w:color="auto"/>
        <w:bottom w:val="none" w:sz="0" w:space="0" w:color="auto"/>
        <w:right w:val="none" w:sz="0" w:space="0" w:color="auto"/>
      </w:divBdr>
    </w:div>
    <w:div w:id="1723628807">
      <w:bodyDiv w:val="1"/>
      <w:marLeft w:val="0"/>
      <w:marRight w:val="0"/>
      <w:marTop w:val="0"/>
      <w:marBottom w:val="0"/>
      <w:divBdr>
        <w:top w:val="none" w:sz="0" w:space="0" w:color="auto"/>
        <w:left w:val="none" w:sz="0" w:space="0" w:color="auto"/>
        <w:bottom w:val="none" w:sz="0" w:space="0" w:color="auto"/>
        <w:right w:val="none" w:sz="0" w:space="0" w:color="auto"/>
      </w:divBdr>
    </w:div>
    <w:div w:id="1797094408">
      <w:bodyDiv w:val="1"/>
      <w:marLeft w:val="0"/>
      <w:marRight w:val="0"/>
      <w:marTop w:val="0"/>
      <w:marBottom w:val="0"/>
      <w:divBdr>
        <w:top w:val="none" w:sz="0" w:space="0" w:color="auto"/>
        <w:left w:val="none" w:sz="0" w:space="0" w:color="auto"/>
        <w:bottom w:val="none" w:sz="0" w:space="0" w:color="auto"/>
        <w:right w:val="none" w:sz="0" w:space="0" w:color="auto"/>
      </w:divBdr>
    </w:div>
    <w:div w:id="1907648219">
      <w:bodyDiv w:val="1"/>
      <w:marLeft w:val="0"/>
      <w:marRight w:val="0"/>
      <w:marTop w:val="0"/>
      <w:marBottom w:val="0"/>
      <w:divBdr>
        <w:top w:val="none" w:sz="0" w:space="0" w:color="auto"/>
        <w:left w:val="none" w:sz="0" w:space="0" w:color="auto"/>
        <w:bottom w:val="none" w:sz="0" w:space="0" w:color="auto"/>
        <w:right w:val="none" w:sz="0" w:space="0" w:color="auto"/>
      </w:divBdr>
    </w:div>
    <w:div w:id="20726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8382-0FD6-492C-A950-B36C3FFF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3399</Words>
  <Characters>19378</Characters>
  <Application>Microsoft Office Word</Application>
  <DocSecurity>0</DocSecurity>
  <Lines>161</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ioana.paslaru</dc:creator>
  <cp:keywords/>
  <cp:lastModifiedBy>george_c</cp:lastModifiedBy>
  <cp:revision>2</cp:revision>
  <cp:lastPrinted>2015-12-31T09:28:00Z</cp:lastPrinted>
  <dcterms:created xsi:type="dcterms:W3CDTF">2016-06-14T08:03:00Z</dcterms:created>
  <dcterms:modified xsi:type="dcterms:W3CDTF">2016-06-14T08:03:00Z</dcterms:modified>
</cp:coreProperties>
</file>