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A9" w:rsidRPr="003F636F" w:rsidRDefault="003F636F" w:rsidP="003F636F">
      <w:pPr>
        <w:jc w:val="center"/>
        <w:rPr>
          <w:b/>
          <w:color w:val="00B0F0"/>
        </w:rPr>
      </w:pPr>
      <w:r w:rsidRPr="003F636F">
        <w:rPr>
          <w:b/>
          <w:color w:val="00B0F0"/>
        </w:rPr>
        <w:t>REZUMAT PENTRU CETĂŢENI</w:t>
      </w:r>
    </w:p>
    <w:p w:rsidR="003F636F" w:rsidRPr="00375A13" w:rsidRDefault="003F636F" w:rsidP="003F636F">
      <w:pPr>
        <w:spacing w:after="0" w:line="240" w:lineRule="auto"/>
        <w:ind w:firstLine="708"/>
        <w:jc w:val="both"/>
        <w:rPr>
          <w:bCs/>
        </w:rPr>
      </w:pPr>
      <w:r w:rsidRPr="00375A13">
        <w:rPr>
          <w:bCs/>
        </w:rPr>
        <w:t xml:space="preserve">Programul Operațional Competitivitate (POC) a fost aprobat de Comisia Europeană în data de 19 decembrie 2014 (Decizia CE nr. C(2014) 10233), fiind structurat în 2 axe prioritare. Pachetul financiar total pentru programul operațional este stabilit la o alocare financiară totală de </w:t>
      </w:r>
      <w:r w:rsidRPr="00375A13">
        <w:rPr>
          <w:b/>
          <w:bCs/>
        </w:rPr>
        <w:t>1.582,7 mil. Euro</w:t>
      </w:r>
      <w:r w:rsidRPr="00375A13">
        <w:rPr>
          <w:bCs/>
        </w:rPr>
        <w:t xml:space="preserve">, din care </w:t>
      </w:r>
      <w:r w:rsidRPr="00375A13">
        <w:rPr>
          <w:b/>
          <w:bCs/>
        </w:rPr>
        <w:t>1.329,7 mil. Euro</w:t>
      </w:r>
      <w:r w:rsidRPr="00375A13">
        <w:rPr>
          <w:bCs/>
        </w:rPr>
        <w:t xml:space="preserve"> alocare FEDR. POC susține investiții menite să răspundă nevoilor și provocărilor legate de nivelul redus al competitivității economice, în special în ceea ce privește</w:t>
      </w:r>
      <w:r>
        <w:rPr>
          <w:bCs/>
        </w:rPr>
        <w:t xml:space="preserve">: </w:t>
      </w:r>
      <w:r w:rsidRPr="00375A13">
        <w:rPr>
          <w:bCs/>
        </w:rPr>
        <w:t>(a) sprijinul insuficient pentru cercetare, dezvoltare și inovare (CDI) și (b) infrastructura subdezvoltată de TIC.</w:t>
      </w:r>
    </w:p>
    <w:p w:rsidR="003F636F" w:rsidRPr="00375A13" w:rsidRDefault="003F636F" w:rsidP="003F636F">
      <w:pPr>
        <w:spacing w:after="0" w:line="240" w:lineRule="auto"/>
        <w:ind w:firstLine="708"/>
        <w:jc w:val="both"/>
        <w:rPr>
          <w:bCs/>
        </w:rPr>
      </w:pPr>
      <w:r w:rsidRPr="00375A13">
        <w:rPr>
          <w:b/>
          <w:bCs/>
        </w:rPr>
        <w:t>Programul Operațional Competitivitate</w:t>
      </w:r>
      <w:r w:rsidRPr="00375A13">
        <w:rPr>
          <w:bCs/>
        </w:rPr>
        <w:t xml:space="preserve"> este elaborat având în vedere documentele strategice relevante la nivel european și pe baza documentelor strategice relevante la nivel național: </w:t>
      </w:r>
    </w:p>
    <w:p w:rsidR="003F636F" w:rsidRPr="00375A13" w:rsidRDefault="003F636F" w:rsidP="003F636F">
      <w:pPr>
        <w:numPr>
          <w:ilvl w:val="0"/>
          <w:numId w:val="1"/>
        </w:numPr>
        <w:spacing w:after="0" w:line="240" w:lineRule="auto"/>
        <w:jc w:val="both"/>
        <w:rPr>
          <w:bCs/>
        </w:rPr>
      </w:pPr>
      <w:r w:rsidRPr="00375A13">
        <w:rPr>
          <w:bCs/>
        </w:rPr>
        <w:t>Strategia Națională pentru Cercetare, Dezvoltare și Inovare 2014-2020;</w:t>
      </w:r>
    </w:p>
    <w:p w:rsidR="003F636F" w:rsidRPr="00375A13" w:rsidRDefault="003F636F" w:rsidP="003F636F">
      <w:pPr>
        <w:numPr>
          <w:ilvl w:val="0"/>
          <w:numId w:val="1"/>
        </w:numPr>
        <w:spacing w:after="0" w:line="240" w:lineRule="auto"/>
        <w:jc w:val="both"/>
        <w:rPr>
          <w:bCs/>
        </w:rPr>
      </w:pPr>
      <w:r w:rsidRPr="00375A13">
        <w:rPr>
          <w:bCs/>
        </w:rPr>
        <w:t>Strategia Națională privind Agenda Digitală pentru România 2014-2020;</w:t>
      </w:r>
    </w:p>
    <w:p w:rsidR="003F636F" w:rsidRPr="00375A13" w:rsidRDefault="003F636F" w:rsidP="003F636F">
      <w:pPr>
        <w:numPr>
          <w:ilvl w:val="0"/>
          <w:numId w:val="1"/>
        </w:numPr>
        <w:spacing w:after="0" w:line="240" w:lineRule="auto"/>
        <w:jc w:val="both"/>
        <w:rPr>
          <w:bCs/>
        </w:rPr>
      </w:pPr>
      <w:r w:rsidRPr="00375A13">
        <w:rPr>
          <w:bCs/>
        </w:rPr>
        <w:t>Planul Național de Dezvoltare a Infrastructuri</w:t>
      </w:r>
      <w:r>
        <w:rPr>
          <w:bCs/>
        </w:rPr>
        <w:t>i NGN (Next Generation Network).</w:t>
      </w:r>
    </w:p>
    <w:p w:rsidR="003F636F" w:rsidRPr="00375A13" w:rsidRDefault="003F636F" w:rsidP="003F636F">
      <w:pPr>
        <w:spacing w:after="0" w:line="240" w:lineRule="auto"/>
        <w:ind w:left="1211"/>
        <w:jc w:val="both"/>
        <w:rPr>
          <w:bCs/>
        </w:rPr>
      </w:pPr>
    </w:p>
    <w:p w:rsidR="003F636F" w:rsidRPr="00375A13" w:rsidRDefault="003F636F" w:rsidP="00970E00">
      <w:pPr>
        <w:spacing w:after="0" w:line="240" w:lineRule="auto"/>
        <w:rPr>
          <w:b/>
          <w:bCs/>
        </w:rPr>
      </w:pPr>
      <w:r>
        <w:rPr>
          <w:b/>
          <w:bCs/>
        </w:rPr>
        <w:t xml:space="preserve">AXA PRIORITARĂ 1: </w:t>
      </w:r>
      <w:r w:rsidRPr="00375A13">
        <w:rPr>
          <w:b/>
          <w:bCs/>
        </w:rPr>
        <w:t>CERCETARE, DEZVOLTARE TEHNOLOGICĂ ȘI INOVARE ÎN SPRIJINUL COMPETITIVITĂȚII ECONOMICE ȘI DEZVOLTĂRII AFACERILOR</w:t>
      </w:r>
    </w:p>
    <w:p w:rsidR="003F636F" w:rsidRPr="00375A13" w:rsidRDefault="003F636F" w:rsidP="003F636F">
      <w:pPr>
        <w:spacing w:after="0" w:line="240" w:lineRule="auto"/>
        <w:jc w:val="both"/>
        <w:rPr>
          <w:b/>
          <w:bCs/>
          <w:u w:val="single"/>
        </w:rPr>
      </w:pPr>
      <w:bookmarkStart w:id="0" w:name="_Toc449624123"/>
      <w:r w:rsidRPr="00375A13">
        <w:rPr>
          <w:b/>
          <w:bCs/>
          <w:u w:val="single"/>
        </w:rPr>
        <w:t>Prezentare generală</w:t>
      </w:r>
      <w:bookmarkEnd w:id="0"/>
      <w:r w:rsidRPr="00375A13">
        <w:rPr>
          <w:b/>
          <w:bCs/>
          <w:u w:val="single"/>
        </w:rPr>
        <w:t>:</w:t>
      </w:r>
    </w:p>
    <w:p w:rsidR="003F636F" w:rsidRPr="00375A13" w:rsidRDefault="003F636F" w:rsidP="003F636F">
      <w:pPr>
        <w:numPr>
          <w:ilvl w:val="0"/>
          <w:numId w:val="4"/>
        </w:numPr>
        <w:spacing w:after="0" w:line="240" w:lineRule="auto"/>
        <w:jc w:val="both"/>
        <w:rPr>
          <w:bCs/>
        </w:rPr>
      </w:pPr>
      <w:r>
        <w:rPr>
          <w:bCs/>
        </w:rPr>
        <w:t>Buget total  alocat:</w:t>
      </w:r>
      <w:r>
        <w:rPr>
          <w:bCs/>
        </w:rPr>
        <w:tab/>
      </w:r>
      <w:r w:rsidR="00970E00">
        <w:rPr>
          <w:b/>
          <w:bCs/>
          <w:iCs/>
        </w:rPr>
        <w:t>952,5</w:t>
      </w:r>
      <w:r w:rsidRPr="00375A13">
        <w:rPr>
          <w:b/>
          <w:bCs/>
          <w:iCs/>
        </w:rPr>
        <w:t xml:space="preserve"> mil. euro</w:t>
      </w:r>
      <w:r>
        <w:rPr>
          <w:bCs/>
          <w:iCs/>
        </w:rPr>
        <w:t xml:space="preserve"> (60 % </w:t>
      </w:r>
      <w:r w:rsidRPr="00375A13">
        <w:rPr>
          <w:bCs/>
          <w:iCs/>
        </w:rPr>
        <w:t>din POC)</w:t>
      </w:r>
    </w:p>
    <w:p w:rsidR="003F636F" w:rsidRPr="00375A13" w:rsidRDefault="003F636F" w:rsidP="003F636F">
      <w:pPr>
        <w:spacing w:after="0" w:line="240" w:lineRule="auto"/>
        <w:jc w:val="both"/>
        <w:rPr>
          <w:bCs/>
        </w:rPr>
      </w:pPr>
      <w:r>
        <w:rPr>
          <w:bCs/>
        </w:rPr>
        <w:t xml:space="preserve">          </w:t>
      </w:r>
      <w:r>
        <w:rPr>
          <w:bCs/>
        </w:rPr>
        <w:tab/>
      </w:r>
      <w:r>
        <w:rPr>
          <w:bCs/>
        </w:rPr>
        <w:tab/>
      </w:r>
      <w:r>
        <w:rPr>
          <w:bCs/>
        </w:rPr>
        <w:tab/>
      </w:r>
      <w:r w:rsidR="00970E00">
        <w:rPr>
          <w:bCs/>
        </w:rPr>
        <w:tab/>
      </w:r>
      <w:r w:rsidR="00970E00">
        <w:rPr>
          <w:b/>
          <w:bCs/>
        </w:rPr>
        <w:t>797,8</w:t>
      </w:r>
      <w:r w:rsidRPr="00375A13">
        <w:rPr>
          <w:b/>
          <w:bCs/>
        </w:rPr>
        <w:t xml:space="preserve"> mil. euro</w:t>
      </w:r>
      <w:r>
        <w:rPr>
          <w:bCs/>
        </w:rPr>
        <w:t xml:space="preserve"> (FEDR) + </w:t>
      </w:r>
      <w:r w:rsidR="00970E00">
        <w:rPr>
          <w:b/>
          <w:bCs/>
        </w:rPr>
        <w:t>154,6</w:t>
      </w:r>
      <w:r w:rsidRPr="00375A13">
        <w:rPr>
          <w:b/>
          <w:bCs/>
        </w:rPr>
        <w:t xml:space="preserve"> mil. euro</w:t>
      </w:r>
      <w:r w:rsidRPr="00375A13">
        <w:rPr>
          <w:bCs/>
        </w:rPr>
        <w:t xml:space="preserve"> (BS)</w:t>
      </w:r>
    </w:p>
    <w:p w:rsidR="003F636F" w:rsidRPr="00375A13" w:rsidRDefault="003F636F" w:rsidP="003F636F">
      <w:pPr>
        <w:numPr>
          <w:ilvl w:val="0"/>
          <w:numId w:val="4"/>
        </w:numPr>
        <w:spacing w:after="0" w:line="240" w:lineRule="auto"/>
        <w:jc w:val="both"/>
        <w:rPr>
          <w:bCs/>
        </w:rPr>
      </w:pPr>
      <w:r>
        <w:rPr>
          <w:bCs/>
        </w:rPr>
        <w:t xml:space="preserve">Axa prioritară 1 </w:t>
      </w:r>
      <w:r w:rsidRPr="00375A13">
        <w:rPr>
          <w:bCs/>
        </w:rPr>
        <w:t>sprijină domenii</w:t>
      </w:r>
      <w:r>
        <w:rPr>
          <w:bCs/>
        </w:rPr>
        <w:t xml:space="preserve">le de specializare inteligentă </w:t>
      </w:r>
      <w:r w:rsidRPr="00375A13">
        <w:rPr>
          <w:bCs/>
        </w:rPr>
        <w:t xml:space="preserve">identificate prin SNCDI. </w:t>
      </w:r>
    </w:p>
    <w:p w:rsidR="003F636F" w:rsidRPr="00375A13" w:rsidRDefault="003F636F" w:rsidP="003F636F">
      <w:pPr>
        <w:numPr>
          <w:ilvl w:val="0"/>
          <w:numId w:val="3"/>
        </w:numPr>
        <w:spacing w:after="0" w:line="240" w:lineRule="auto"/>
        <w:jc w:val="both"/>
        <w:rPr>
          <w:bCs/>
        </w:rPr>
      </w:pPr>
      <w:r w:rsidRPr="00375A13">
        <w:rPr>
          <w:bCs/>
        </w:rPr>
        <w:t>Programul Operaţional Competitivitate sprijină cercetarea, dezvoltarea şi inovarea în:</w:t>
      </w:r>
    </w:p>
    <w:p w:rsidR="003F636F" w:rsidRPr="00375A13" w:rsidRDefault="003F636F" w:rsidP="003F636F">
      <w:pPr>
        <w:numPr>
          <w:ilvl w:val="0"/>
          <w:numId w:val="2"/>
        </w:numPr>
        <w:tabs>
          <w:tab w:val="num" w:pos="720"/>
        </w:tabs>
        <w:spacing w:after="0" w:line="240" w:lineRule="auto"/>
        <w:jc w:val="both"/>
        <w:rPr>
          <w:bCs/>
        </w:rPr>
      </w:pPr>
      <w:r w:rsidRPr="00375A13">
        <w:rPr>
          <w:bCs/>
        </w:rPr>
        <w:t>Bioeconomie;</w:t>
      </w:r>
    </w:p>
    <w:p w:rsidR="003F636F" w:rsidRPr="00375A13" w:rsidRDefault="003F636F" w:rsidP="003F636F">
      <w:pPr>
        <w:numPr>
          <w:ilvl w:val="0"/>
          <w:numId w:val="2"/>
        </w:numPr>
        <w:tabs>
          <w:tab w:val="num" w:pos="720"/>
        </w:tabs>
        <w:spacing w:after="0" w:line="240" w:lineRule="auto"/>
        <w:jc w:val="both"/>
        <w:rPr>
          <w:bCs/>
        </w:rPr>
      </w:pPr>
      <w:r w:rsidRPr="00375A13">
        <w:rPr>
          <w:bCs/>
        </w:rPr>
        <w:t>Tehnologia Informației și a Comunicațiilor, Spațiu și Securitate;</w:t>
      </w:r>
    </w:p>
    <w:p w:rsidR="003F636F" w:rsidRPr="00375A13" w:rsidRDefault="003F636F" w:rsidP="003F636F">
      <w:pPr>
        <w:numPr>
          <w:ilvl w:val="0"/>
          <w:numId w:val="2"/>
        </w:numPr>
        <w:tabs>
          <w:tab w:val="num" w:pos="720"/>
        </w:tabs>
        <w:spacing w:after="0" w:line="240" w:lineRule="auto"/>
        <w:jc w:val="both"/>
        <w:rPr>
          <w:bCs/>
        </w:rPr>
      </w:pPr>
      <w:r w:rsidRPr="00375A13">
        <w:rPr>
          <w:bCs/>
        </w:rPr>
        <w:t>Energie, Mediu și Schimbări Climatice;</w:t>
      </w:r>
    </w:p>
    <w:p w:rsidR="003F636F" w:rsidRPr="00375A13" w:rsidRDefault="003F636F" w:rsidP="003F636F">
      <w:pPr>
        <w:numPr>
          <w:ilvl w:val="0"/>
          <w:numId w:val="2"/>
        </w:numPr>
        <w:tabs>
          <w:tab w:val="num" w:pos="720"/>
        </w:tabs>
        <w:spacing w:after="0" w:line="240" w:lineRule="auto"/>
        <w:jc w:val="both"/>
        <w:rPr>
          <w:bCs/>
        </w:rPr>
      </w:pPr>
      <w:r w:rsidRPr="00375A13">
        <w:rPr>
          <w:bCs/>
        </w:rPr>
        <w:t>Eco-Nano-Tehnologii și Materiale Avansate;</w:t>
      </w:r>
    </w:p>
    <w:p w:rsidR="003F636F" w:rsidRPr="00375A13" w:rsidRDefault="003F636F" w:rsidP="003F636F">
      <w:pPr>
        <w:numPr>
          <w:ilvl w:val="0"/>
          <w:numId w:val="2"/>
        </w:numPr>
        <w:tabs>
          <w:tab w:val="num" w:pos="720"/>
        </w:tabs>
        <w:spacing w:after="0" w:line="240" w:lineRule="auto"/>
        <w:jc w:val="both"/>
        <w:rPr>
          <w:bCs/>
        </w:rPr>
      </w:pPr>
      <w:r>
        <w:rPr>
          <w:bCs/>
        </w:rPr>
        <w:t xml:space="preserve">Domeniul sănătăţii, </w:t>
      </w:r>
      <w:r w:rsidRPr="00375A13">
        <w:rPr>
          <w:bCs/>
        </w:rPr>
        <w:t>iden</w:t>
      </w:r>
      <w:r>
        <w:rPr>
          <w:bCs/>
        </w:rPr>
        <w:t>tificat ca prioritate naţională.</w:t>
      </w:r>
    </w:p>
    <w:p w:rsidR="003F636F" w:rsidRPr="00375A13" w:rsidRDefault="003F636F" w:rsidP="003F636F">
      <w:pPr>
        <w:numPr>
          <w:ilvl w:val="0"/>
          <w:numId w:val="3"/>
        </w:numPr>
        <w:spacing w:after="0" w:line="240" w:lineRule="auto"/>
        <w:jc w:val="both"/>
        <w:rPr>
          <w:bCs/>
        </w:rPr>
      </w:pPr>
      <w:r w:rsidRPr="00375A13">
        <w:rPr>
          <w:bCs/>
        </w:rPr>
        <w:t>Obiective specifice:</w:t>
      </w:r>
    </w:p>
    <w:p w:rsidR="003F636F" w:rsidRPr="00375A13" w:rsidRDefault="003F636F" w:rsidP="003F636F">
      <w:pPr>
        <w:numPr>
          <w:ilvl w:val="0"/>
          <w:numId w:val="5"/>
        </w:numPr>
        <w:spacing w:after="0" w:line="240" w:lineRule="auto"/>
        <w:jc w:val="both"/>
        <w:rPr>
          <w:bCs/>
        </w:rPr>
      </w:pPr>
      <w:r w:rsidRPr="00375A13">
        <w:rPr>
          <w:bCs/>
        </w:rPr>
        <w:t>Creşterea capacităţii de cercetare, dezvoltare şi inovare în domeniile de specializare inteligentă şi în sănătate;</w:t>
      </w:r>
    </w:p>
    <w:p w:rsidR="003F636F" w:rsidRPr="00375A13" w:rsidRDefault="003F636F" w:rsidP="003F636F">
      <w:pPr>
        <w:numPr>
          <w:ilvl w:val="0"/>
          <w:numId w:val="5"/>
        </w:numPr>
        <w:spacing w:after="0" w:line="240" w:lineRule="auto"/>
        <w:jc w:val="both"/>
        <w:rPr>
          <w:bCs/>
        </w:rPr>
      </w:pPr>
      <w:r w:rsidRPr="00375A13">
        <w:rPr>
          <w:bCs/>
        </w:rPr>
        <w:t>Creşterea participarii româneşti în cercetar</w:t>
      </w:r>
      <w:r>
        <w:rPr>
          <w:bCs/>
        </w:rPr>
        <w:t>e la nivel UE.</w:t>
      </w:r>
    </w:p>
    <w:p w:rsidR="003F636F" w:rsidRPr="00375A13" w:rsidRDefault="003F636F" w:rsidP="003F636F">
      <w:pPr>
        <w:numPr>
          <w:ilvl w:val="0"/>
          <w:numId w:val="3"/>
        </w:numPr>
        <w:spacing w:after="0" w:line="240" w:lineRule="auto"/>
        <w:jc w:val="both"/>
        <w:rPr>
          <w:bCs/>
        </w:rPr>
      </w:pPr>
      <w:r w:rsidRPr="00375A13">
        <w:rPr>
          <w:bCs/>
        </w:rPr>
        <w:t>Rezultate asteptate:</w:t>
      </w:r>
    </w:p>
    <w:p w:rsidR="003F636F" w:rsidRPr="00375A13" w:rsidRDefault="003F636F" w:rsidP="003F636F">
      <w:pPr>
        <w:numPr>
          <w:ilvl w:val="0"/>
          <w:numId w:val="6"/>
        </w:numPr>
        <w:spacing w:after="0" w:line="240" w:lineRule="auto"/>
        <w:jc w:val="both"/>
        <w:rPr>
          <w:bCs/>
        </w:rPr>
      </w:pPr>
      <w:r w:rsidRPr="00375A13">
        <w:rPr>
          <w:bCs/>
        </w:rPr>
        <w:t>Crearea de infrastructuri cercetare dezvoltare cheie pentru sprijinirea dezvoltării competitive a întreprinderilor;</w:t>
      </w:r>
    </w:p>
    <w:p w:rsidR="003F636F" w:rsidRPr="00375A13" w:rsidRDefault="003F636F" w:rsidP="003F636F">
      <w:pPr>
        <w:numPr>
          <w:ilvl w:val="0"/>
          <w:numId w:val="6"/>
        </w:numPr>
        <w:spacing w:after="0" w:line="240" w:lineRule="auto"/>
        <w:jc w:val="both"/>
        <w:rPr>
          <w:bCs/>
        </w:rPr>
      </w:pPr>
      <w:r w:rsidRPr="00375A13">
        <w:rPr>
          <w:bCs/>
        </w:rPr>
        <w:t xml:space="preserve">Creşterea participării organizaţiilor de cercetare şi întreprinderilor (în special IMM-uri) din România </w:t>
      </w:r>
      <w:r>
        <w:rPr>
          <w:bCs/>
        </w:rPr>
        <w:t>la Orizont 2020.</w:t>
      </w:r>
    </w:p>
    <w:p w:rsidR="003F636F" w:rsidRPr="00375A13" w:rsidRDefault="003F636F" w:rsidP="003F636F">
      <w:pPr>
        <w:spacing w:after="0" w:line="240" w:lineRule="auto"/>
        <w:ind w:left="1211"/>
        <w:jc w:val="both"/>
        <w:rPr>
          <w:bCs/>
        </w:rPr>
      </w:pPr>
    </w:p>
    <w:p w:rsidR="003F636F" w:rsidRPr="00375A13" w:rsidRDefault="003F636F" w:rsidP="003F636F">
      <w:pPr>
        <w:spacing w:after="0" w:line="240" w:lineRule="auto"/>
        <w:jc w:val="both"/>
        <w:rPr>
          <w:b/>
          <w:bCs/>
        </w:rPr>
      </w:pPr>
      <w:r w:rsidRPr="00375A13">
        <w:rPr>
          <w:b/>
          <w:bCs/>
        </w:rPr>
        <w:t>AXA PRIORITARĂ 2: TEHNOLOGIA INFORMAŢIEI ŞI COMUNICAŢIEI (TIC) PENTRU O ECONOMIE DIGITALĂ COMPETITIVĂ</w:t>
      </w:r>
    </w:p>
    <w:p w:rsidR="003F636F" w:rsidRPr="00375A13" w:rsidRDefault="003F636F" w:rsidP="003F636F">
      <w:pPr>
        <w:spacing w:after="0" w:line="240" w:lineRule="auto"/>
        <w:jc w:val="both"/>
        <w:rPr>
          <w:b/>
          <w:bCs/>
          <w:u w:val="single"/>
        </w:rPr>
      </w:pPr>
      <w:bookmarkStart w:id="1" w:name="_Toc449624134"/>
      <w:r w:rsidRPr="00375A13">
        <w:rPr>
          <w:b/>
          <w:bCs/>
          <w:u w:val="single"/>
        </w:rPr>
        <w:t>Prezentare generală</w:t>
      </w:r>
      <w:bookmarkEnd w:id="1"/>
    </w:p>
    <w:p w:rsidR="003F636F" w:rsidRPr="00E121A8" w:rsidRDefault="003F636F" w:rsidP="003F636F">
      <w:pPr>
        <w:numPr>
          <w:ilvl w:val="0"/>
          <w:numId w:val="7"/>
        </w:numPr>
        <w:spacing w:after="0" w:line="240" w:lineRule="auto"/>
        <w:jc w:val="both"/>
        <w:rPr>
          <w:bCs/>
        </w:rPr>
      </w:pPr>
      <w:r>
        <w:rPr>
          <w:bCs/>
        </w:rPr>
        <w:t xml:space="preserve">Buget total </w:t>
      </w:r>
      <w:r w:rsidRPr="00375A13">
        <w:rPr>
          <w:bCs/>
        </w:rPr>
        <w:t>alocat</w:t>
      </w:r>
      <w:r>
        <w:rPr>
          <w:b/>
          <w:bCs/>
        </w:rPr>
        <w:t>:</w:t>
      </w:r>
      <w:r>
        <w:rPr>
          <w:b/>
          <w:bCs/>
        </w:rPr>
        <w:tab/>
      </w:r>
      <w:r w:rsidRPr="00375A13">
        <w:rPr>
          <w:b/>
          <w:bCs/>
          <w:iCs/>
        </w:rPr>
        <w:t>630,1 mil. euro</w:t>
      </w:r>
      <w:r>
        <w:rPr>
          <w:bCs/>
          <w:iCs/>
        </w:rPr>
        <w:t xml:space="preserve">  (40 % din POC</w:t>
      </w:r>
      <w:r w:rsidR="00970E00">
        <w:rPr>
          <w:bCs/>
          <w:iCs/>
        </w:rPr>
        <w:t>)</w:t>
      </w:r>
    </w:p>
    <w:p w:rsidR="003F636F" w:rsidRPr="00E121A8" w:rsidRDefault="003F636F" w:rsidP="00970E00">
      <w:pPr>
        <w:spacing w:after="0" w:line="240" w:lineRule="auto"/>
        <w:ind w:left="2124" w:firstLine="708"/>
        <w:jc w:val="both"/>
        <w:rPr>
          <w:bCs/>
        </w:rPr>
      </w:pPr>
      <w:r w:rsidRPr="00E121A8">
        <w:rPr>
          <w:b/>
          <w:bCs/>
        </w:rPr>
        <w:t>531,9 mil. euro</w:t>
      </w:r>
      <w:r>
        <w:rPr>
          <w:bCs/>
        </w:rPr>
        <w:t xml:space="preserve"> (FEDR) + </w:t>
      </w:r>
      <w:r w:rsidRPr="00E121A8">
        <w:rPr>
          <w:b/>
          <w:bCs/>
        </w:rPr>
        <w:t>98,2 mil. euro</w:t>
      </w:r>
      <w:r w:rsidRPr="00E121A8">
        <w:rPr>
          <w:bCs/>
        </w:rPr>
        <w:t xml:space="preserve"> (BS)</w:t>
      </w:r>
    </w:p>
    <w:p w:rsidR="003F636F" w:rsidRDefault="003F636F" w:rsidP="003F636F">
      <w:pPr>
        <w:numPr>
          <w:ilvl w:val="0"/>
          <w:numId w:val="7"/>
        </w:numPr>
        <w:spacing w:after="0" w:line="240" w:lineRule="auto"/>
        <w:jc w:val="both"/>
        <w:rPr>
          <w:bCs/>
        </w:rPr>
      </w:pPr>
      <w:r w:rsidRPr="00375A13">
        <w:rPr>
          <w:bCs/>
        </w:rPr>
        <w:t>Axa Prioritară 2</w:t>
      </w:r>
      <w:r>
        <w:rPr>
          <w:bCs/>
        </w:rPr>
        <w:t xml:space="preserve"> sprijină 4 domenii principale </w:t>
      </w:r>
    </w:p>
    <w:p w:rsidR="003F636F" w:rsidRPr="00375A13" w:rsidRDefault="003F636F" w:rsidP="003F636F">
      <w:pPr>
        <w:numPr>
          <w:ilvl w:val="0"/>
          <w:numId w:val="7"/>
        </w:numPr>
        <w:spacing w:after="0" w:line="240" w:lineRule="auto"/>
        <w:jc w:val="both"/>
        <w:rPr>
          <w:bCs/>
        </w:rPr>
      </w:pPr>
      <w:r>
        <w:rPr>
          <w:bCs/>
        </w:rPr>
        <w:t>P</w:t>
      </w:r>
      <w:r w:rsidRPr="00375A13">
        <w:rPr>
          <w:bCs/>
        </w:rPr>
        <w:t>entru dezvoltarea tehnologiei informaţiilor şi comunicaţiilor:</w:t>
      </w:r>
    </w:p>
    <w:p w:rsidR="003F636F" w:rsidRPr="00375A13" w:rsidRDefault="003F636F" w:rsidP="003F636F">
      <w:pPr>
        <w:numPr>
          <w:ilvl w:val="0"/>
          <w:numId w:val="8"/>
        </w:numPr>
        <w:spacing w:after="0" w:line="240" w:lineRule="auto"/>
        <w:jc w:val="both"/>
        <w:rPr>
          <w:bCs/>
        </w:rPr>
      </w:pPr>
      <w:r w:rsidRPr="00375A13">
        <w:rPr>
          <w:bCs/>
        </w:rPr>
        <w:t>E-guvernare, interoperabilitate, securitate informatică, cloud computing și rețele sociale;</w:t>
      </w:r>
    </w:p>
    <w:p w:rsidR="003F636F" w:rsidRPr="00375A13" w:rsidRDefault="003F636F" w:rsidP="003F636F">
      <w:pPr>
        <w:numPr>
          <w:ilvl w:val="0"/>
          <w:numId w:val="8"/>
        </w:numPr>
        <w:spacing w:after="0" w:line="240" w:lineRule="auto"/>
        <w:jc w:val="both"/>
        <w:rPr>
          <w:bCs/>
        </w:rPr>
      </w:pPr>
      <w:r w:rsidRPr="00375A13">
        <w:rPr>
          <w:bCs/>
        </w:rPr>
        <w:t>Infrastructura de bandă largă;</w:t>
      </w:r>
    </w:p>
    <w:p w:rsidR="003F636F" w:rsidRPr="00375A13" w:rsidRDefault="003F636F" w:rsidP="003F636F">
      <w:pPr>
        <w:numPr>
          <w:ilvl w:val="0"/>
          <w:numId w:val="8"/>
        </w:numPr>
        <w:spacing w:after="0" w:line="240" w:lineRule="auto"/>
        <w:jc w:val="both"/>
        <w:rPr>
          <w:bCs/>
        </w:rPr>
      </w:pPr>
      <w:r w:rsidRPr="00375A13">
        <w:rPr>
          <w:bCs/>
        </w:rPr>
        <w:t>TIC în educație, incluziune socială, sănătate și cultură;</w:t>
      </w:r>
    </w:p>
    <w:p w:rsidR="003F636F" w:rsidRPr="00375A13" w:rsidRDefault="003F636F" w:rsidP="003F636F">
      <w:pPr>
        <w:numPr>
          <w:ilvl w:val="0"/>
          <w:numId w:val="8"/>
        </w:numPr>
        <w:spacing w:after="0" w:line="240" w:lineRule="auto"/>
        <w:jc w:val="both"/>
        <w:rPr>
          <w:bCs/>
        </w:rPr>
      </w:pPr>
      <w:r w:rsidRPr="00375A13">
        <w:rPr>
          <w:bCs/>
        </w:rPr>
        <w:t>E-Comerţ și cercetare-dezvoltare-inovare.</w:t>
      </w:r>
    </w:p>
    <w:p w:rsidR="003F636F" w:rsidRPr="00375A13" w:rsidRDefault="003F636F" w:rsidP="003F636F">
      <w:pPr>
        <w:numPr>
          <w:ilvl w:val="0"/>
          <w:numId w:val="7"/>
        </w:numPr>
        <w:spacing w:after="0" w:line="240" w:lineRule="auto"/>
        <w:jc w:val="both"/>
        <w:rPr>
          <w:bCs/>
        </w:rPr>
      </w:pPr>
      <w:r w:rsidRPr="00375A13">
        <w:rPr>
          <w:bCs/>
          <w:iCs/>
        </w:rPr>
        <w:t>Obiective specifice</w:t>
      </w:r>
      <w:r>
        <w:rPr>
          <w:bCs/>
          <w:iCs/>
        </w:rPr>
        <w:t>:</w:t>
      </w:r>
    </w:p>
    <w:p w:rsidR="003F636F" w:rsidRPr="00375A13" w:rsidRDefault="003F636F" w:rsidP="003F636F">
      <w:pPr>
        <w:numPr>
          <w:ilvl w:val="1"/>
          <w:numId w:val="9"/>
        </w:numPr>
        <w:spacing w:after="0" w:line="240" w:lineRule="auto"/>
        <w:jc w:val="both"/>
        <w:rPr>
          <w:bCs/>
        </w:rPr>
      </w:pPr>
      <w:r w:rsidRPr="00375A13">
        <w:rPr>
          <w:bCs/>
        </w:rPr>
        <w:t>Creşterea utilizării sistemelor de e-guvernare</w:t>
      </w:r>
      <w:r>
        <w:rPr>
          <w:bCs/>
        </w:rPr>
        <w:t>;</w:t>
      </w:r>
    </w:p>
    <w:p w:rsidR="003F636F" w:rsidRPr="00375A13" w:rsidRDefault="003F636F" w:rsidP="003F636F">
      <w:pPr>
        <w:numPr>
          <w:ilvl w:val="1"/>
          <w:numId w:val="9"/>
        </w:numPr>
        <w:spacing w:after="0" w:line="240" w:lineRule="auto"/>
        <w:jc w:val="both"/>
        <w:rPr>
          <w:bCs/>
        </w:rPr>
      </w:pPr>
      <w:r w:rsidRPr="00375A13">
        <w:rPr>
          <w:bCs/>
        </w:rPr>
        <w:t>Cre</w:t>
      </w:r>
      <w:r>
        <w:rPr>
          <w:bCs/>
        </w:rPr>
        <w:t>şterea gradului de utilizare a i</w:t>
      </w:r>
      <w:r w:rsidRPr="00375A13">
        <w:rPr>
          <w:bCs/>
        </w:rPr>
        <w:t>nternetului</w:t>
      </w:r>
      <w:r>
        <w:rPr>
          <w:bCs/>
        </w:rPr>
        <w:t>.</w:t>
      </w:r>
    </w:p>
    <w:p w:rsidR="003F636F" w:rsidRPr="00375A13" w:rsidRDefault="003F636F" w:rsidP="003F636F">
      <w:pPr>
        <w:pStyle w:val="ListParagraph"/>
        <w:numPr>
          <w:ilvl w:val="0"/>
          <w:numId w:val="7"/>
        </w:numPr>
        <w:spacing w:after="0" w:line="240" w:lineRule="auto"/>
        <w:jc w:val="both"/>
        <w:rPr>
          <w:bCs/>
        </w:rPr>
      </w:pPr>
      <w:r w:rsidRPr="00375A13">
        <w:rPr>
          <w:bCs/>
          <w:iCs/>
        </w:rPr>
        <w:t>Rezultate aşteptate</w:t>
      </w:r>
      <w:r>
        <w:rPr>
          <w:bCs/>
          <w:iCs/>
        </w:rPr>
        <w:t>:</w:t>
      </w:r>
    </w:p>
    <w:p w:rsidR="003F636F" w:rsidRPr="00375A13" w:rsidRDefault="003F636F" w:rsidP="003F636F">
      <w:pPr>
        <w:numPr>
          <w:ilvl w:val="1"/>
          <w:numId w:val="10"/>
        </w:numPr>
        <w:spacing w:after="0" w:line="240" w:lineRule="auto"/>
        <w:jc w:val="both"/>
        <w:rPr>
          <w:bCs/>
        </w:rPr>
      </w:pPr>
      <w:r w:rsidRPr="00375A13">
        <w:rPr>
          <w:bCs/>
        </w:rPr>
        <w:lastRenderedPageBreak/>
        <w:t>Dezvoltarea serviciilor de e-guvernare pentru 36 de evenimente cheie din viaţa cetăţ</w:t>
      </w:r>
      <w:r>
        <w:rPr>
          <w:bCs/>
        </w:rPr>
        <w:t>enilor şi a mediului de afaceri;</w:t>
      </w:r>
    </w:p>
    <w:p w:rsidR="003F636F" w:rsidRPr="00375A13" w:rsidRDefault="003F636F" w:rsidP="003F636F">
      <w:pPr>
        <w:numPr>
          <w:ilvl w:val="1"/>
          <w:numId w:val="10"/>
        </w:numPr>
        <w:spacing w:after="0" w:line="240" w:lineRule="auto"/>
        <w:jc w:val="both"/>
        <w:rPr>
          <w:bCs/>
        </w:rPr>
      </w:pPr>
      <w:r w:rsidRPr="00375A13">
        <w:rPr>
          <w:bCs/>
        </w:rPr>
        <w:t>Creşterea accesului şi a gradului de utilizare a sistemelor TIC integrate în educaţie, incluziune, sănătate şi cultură.</w:t>
      </w:r>
    </w:p>
    <w:p w:rsidR="003F636F" w:rsidRPr="00375A13" w:rsidRDefault="003F636F" w:rsidP="003F636F">
      <w:pPr>
        <w:spacing w:after="0" w:line="240" w:lineRule="auto"/>
        <w:jc w:val="both"/>
        <w:rPr>
          <w:bCs/>
        </w:rPr>
      </w:pPr>
    </w:p>
    <w:p w:rsidR="003F636F" w:rsidRPr="00375A13" w:rsidRDefault="003F636F" w:rsidP="003F636F">
      <w:pPr>
        <w:spacing w:after="0" w:line="240" w:lineRule="auto"/>
        <w:ind w:firstLine="708"/>
        <w:jc w:val="both"/>
        <w:rPr>
          <w:bCs/>
        </w:rPr>
      </w:pPr>
      <w:r w:rsidRPr="00375A13">
        <w:rPr>
          <w:bCs/>
        </w:rPr>
        <w:t xml:space="preserve">Programul Operațional Competitivitate (POC) susține investiții menite să răspundă nevoilor și provocărilor legate de nivelul redus al competitivității economice, în special în ceea ce privește (a) sprijinul insuficient pentru cercetare, dezvoltare și inovare (CDI) și (b) infrastructura subdezvoltată de TIC și implicit servicii slab dezvoltate, poziționându‐se astfel ca un factor generator de intervenții orizontale în economie și societate, de natură să antreneze creștere și sustenabilitate. </w:t>
      </w:r>
    </w:p>
    <w:p w:rsidR="003F636F" w:rsidRPr="00375A13" w:rsidRDefault="003F636F" w:rsidP="003F636F">
      <w:pPr>
        <w:spacing w:after="0" w:line="240" w:lineRule="auto"/>
        <w:ind w:firstLine="708"/>
        <w:jc w:val="both"/>
        <w:rPr>
          <w:bCs/>
        </w:rPr>
      </w:pPr>
      <w:r w:rsidRPr="00375A13">
        <w:rPr>
          <w:bCs/>
        </w:rPr>
        <w:t>Alăturarea celor doi vectori – Cercetare‐Dezvoltare‐Inovare și Tehnologia Informaţiei şi a Comunicaţiilor – în cadrul aceluiași program operațional este justificată strategic de rolul multiplicator al acestor domenii și de sprijinul direct prin care acestea contribuie la obiective</w:t>
      </w:r>
      <w:r w:rsidR="0002616F">
        <w:rPr>
          <w:bCs/>
        </w:rPr>
        <w:t>le de specializare inteligentă ş</w:t>
      </w:r>
      <w:r w:rsidRPr="00375A13">
        <w:rPr>
          <w:bCs/>
        </w:rPr>
        <w:t>i promoveaz</w:t>
      </w:r>
      <w:r w:rsidR="0002616F">
        <w:rPr>
          <w:bCs/>
        </w:rPr>
        <w:t>ă</w:t>
      </w:r>
      <w:r w:rsidRPr="00375A13">
        <w:rPr>
          <w:bCs/>
        </w:rPr>
        <w:t xml:space="preserve"> noi oportunități de creștere, în special într‐un număr limitat de domenii prioritare concentrate pe avantajele comparative ale României. </w:t>
      </w:r>
    </w:p>
    <w:p w:rsidR="003F636F" w:rsidRPr="00375A13" w:rsidRDefault="003F636F" w:rsidP="003F636F">
      <w:pPr>
        <w:spacing w:after="0" w:line="240" w:lineRule="auto"/>
        <w:ind w:firstLine="708"/>
        <w:jc w:val="both"/>
        <w:rPr>
          <w:bCs/>
        </w:rPr>
      </w:pPr>
      <w:r w:rsidRPr="00375A13">
        <w:rPr>
          <w:bCs/>
        </w:rPr>
        <w:t>Investițiile dedicate consolidării cercetării, dezvoltării tehnologice și a inovării ale P</w:t>
      </w:r>
      <w:r>
        <w:rPr>
          <w:bCs/>
        </w:rPr>
        <w:t xml:space="preserve">rogramului </w:t>
      </w:r>
      <w:r w:rsidRPr="00375A13">
        <w:rPr>
          <w:bCs/>
        </w:rPr>
        <w:t>O</w:t>
      </w:r>
      <w:r>
        <w:rPr>
          <w:bCs/>
        </w:rPr>
        <w:t>peraţional</w:t>
      </w:r>
      <w:r w:rsidRPr="00375A13">
        <w:rPr>
          <w:bCs/>
        </w:rPr>
        <w:t xml:space="preserve"> Competitivitate le continuă pe cele începute în perioada 2007‐2013, ale căror rezultate deja încep să devină vizibile, dar sunt</w:t>
      </w:r>
      <w:r>
        <w:rPr>
          <w:bCs/>
        </w:rPr>
        <w:t xml:space="preserve"> </w:t>
      </w:r>
      <w:r w:rsidRPr="009A197F">
        <w:rPr>
          <w:bCs/>
        </w:rPr>
        <w:t>mult</w:t>
      </w:r>
      <w:r w:rsidRPr="00375A13">
        <w:rPr>
          <w:bCs/>
        </w:rPr>
        <w:t xml:space="preserve"> mai orientate către implicarea sectorului privat în activități de CDI, stimularea parteneriatelor între sistemul public de cercetare și actorii privați, orientarea către piață și transferul tehnologic și o mai mare expunere a cercetării românești pe plan internațional. Proiecte majore, precum Extreme Light Infrastructure ‐ Nuclear Physics (ELI‐NP) sau Centrul Internațional de Studii Avansate privind Sistemele Fluviu‐Deltă‐Mare (DANUBIUS – RI) pentru Axa Prioritară 1, respectiv </w:t>
      </w:r>
      <w:r w:rsidRPr="00375A13">
        <w:rPr>
          <w:bCs/>
          <w:iCs/>
        </w:rPr>
        <w:t>Ro-NET – Dezvoltarea infrastructurii de banda largă în zone nedeservite</w:t>
      </w:r>
      <w:r w:rsidRPr="00375A13">
        <w:rPr>
          <w:bCs/>
        </w:rPr>
        <w:t xml:space="preserve"> pentru Axa Prioritară 2 vor fi de asemenea finanțate prin PO Competitivitate. Proiectele ELI‐NP şi RONET sunt proiecte majore fazate, faza I fiind finanţată din POS CCE 2007-2013, iar faza II din PO Competitivitate 2014-2020.</w:t>
      </w:r>
    </w:p>
    <w:p w:rsidR="003F636F" w:rsidRPr="00375A13" w:rsidRDefault="003F636F" w:rsidP="003F636F">
      <w:pPr>
        <w:spacing w:after="0" w:line="240" w:lineRule="auto"/>
        <w:ind w:firstLine="708"/>
        <w:jc w:val="both"/>
        <w:rPr>
          <w:bCs/>
        </w:rPr>
      </w:pPr>
    </w:p>
    <w:p w:rsidR="003F636F" w:rsidRPr="00375A13" w:rsidRDefault="003F636F" w:rsidP="003F636F">
      <w:pPr>
        <w:spacing w:after="0" w:line="240" w:lineRule="auto"/>
        <w:jc w:val="both"/>
        <w:rPr>
          <w:b/>
          <w:bCs/>
          <w:i/>
          <w:u w:val="single"/>
        </w:rPr>
      </w:pPr>
      <w:r w:rsidRPr="00375A13">
        <w:rPr>
          <w:b/>
          <w:bCs/>
          <w:u w:val="single"/>
        </w:rPr>
        <w:t>Cadrul de organizare:</w:t>
      </w:r>
    </w:p>
    <w:p w:rsidR="003F636F" w:rsidRPr="00375A13" w:rsidRDefault="003F636F" w:rsidP="003F636F">
      <w:pPr>
        <w:pStyle w:val="ListParagraph"/>
        <w:numPr>
          <w:ilvl w:val="0"/>
          <w:numId w:val="18"/>
        </w:numPr>
        <w:spacing w:after="0" w:line="240" w:lineRule="auto"/>
        <w:jc w:val="both"/>
        <w:rPr>
          <w:b/>
          <w:bCs/>
          <w:i/>
        </w:rPr>
      </w:pPr>
      <w:r w:rsidRPr="00375A13">
        <w:rPr>
          <w:b/>
          <w:bCs/>
          <w:i/>
        </w:rPr>
        <w:t>Acordul de parteneriat - 2014RO16M8PA001.1.2;</w:t>
      </w:r>
    </w:p>
    <w:p w:rsidR="003F636F" w:rsidRPr="00375A13" w:rsidRDefault="003F636F" w:rsidP="003F636F">
      <w:pPr>
        <w:pStyle w:val="ListParagraph"/>
        <w:numPr>
          <w:ilvl w:val="0"/>
          <w:numId w:val="18"/>
        </w:numPr>
        <w:spacing w:after="0" w:line="240" w:lineRule="auto"/>
        <w:jc w:val="both"/>
        <w:rPr>
          <w:b/>
          <w:bCs/>
          <w:i/>
        </w:rPr>
      </w:pPr>
      <w:r w:rsidRPr="00375A13">
        <w:rPr>
          <w:b/>
          <w:bCs/>
          <w:i/>
        </w:rPr>
        <w:t>Decizia</w:t>
      </w:r>
      <w:r w:rsidRPr="00375A13">
        <w:rPr>
          <w:b/>
          <w:i/>
        </w:rPr>
        <w:t xml:space="preserve"> de punere în aplicare a Comisiei</w:t>
      </w:r>
      <w:r w:rsidRPr="00375A13">
        <w:rPr>
          <w:b/>
          <w:bCs/>
          <w:i/>
        </w:rPr>
        <w:t xml:space="preserve"> nr. C(2014) 10233/19.12.2014;</w:t>
      </w:r>
    </w:p>
    <w:p w:rsidR="003F636F" w:rsidRPr="00375A13" w:rsidRDefault="003F636F" w:rsidP="003F636F">
      <w:pPr>
        <w:pStyle w:val="ListParagraph"/>
        <w:numPr>
          <w:ilvl w:val="0"/>
          <w:numId w:val="18"/>
        </w:numPr>
        <w:spacing w:after="0" w:line="240" w:lineRule="auto"/>
        <w:jc w:val="both"/>
        <w:rPr>
          <w:b/>
          <w:bCs/>
          <w:i/>
        </w:rPr>
      </w:pPr>
      <w:r w:rsidRPr="00375A13">
        <w:rPr>
          <w:b/>
          <w:bCs/>
          <w:i/>
        </w:rPr>
        <w:t>Hotărârea nr. 1183/2014 privind nominalizarea autorităţilor implicate în sistemul de management şi control al fondurilor europene structurale şi de investiţii 2014-2020;</w:t>
      </w:r>
    </w:p>
    <w:p w:rsidR="003F636F" w:rsidRPr="00375A13" w:rsidRDefault="003F636F" w:rsidP="003F636F">
      <w:pPr>
        <w:numPr>
          <w:ilvl w:val="0"/>
          <w:numId w:val="18"/>
        </w:numPr>
        <w:spacing w:after="0" w:line="240" w:lineRule="auto"/>
        <w:jc w:val="both"/>
        <w:rPr>
          <w:b/>
          <w:bCs/>
          <w:i/>
        </w:rPr>
      </w:pPr>
      <w:r w:rsidRPr="00375A13">
        <w:rPr>
          <w:b/>
          <w:bCs/>
          <w:i/>
        </w:rPr>
        <w:t>Acordul de delegare nr.10598/29.04.2015 încheiat între Autoritatea de Management a Programului Operaţional Competitivitate şi Organismul Intermediar pentru Societatea Informaţională pentru Programul Operaţional Competitivitate, Axa Prioritară 2, Tehnologia Informaţiei şi Comunicaţiilor (TIC) pentru o economie digitală competitivă;</w:t>
      </w:r>
    </w:p>
    <w:p w:rsidR="003F636F" w:rsidRPr="00375A13" w:rsidRDefault="003F636F" w:rsidP="003F636F">
      <w:pPr>
        <w:numPr>
          <w:ilvl w:val="0"/>
          <w:numId w:val="18"/>
        </w:numPr>
        <w:spacing w:after="0" w:line="240" w:lineRule="auto"/>
        <w:jc w:val="both"/>
        <w:rPr>
          <w:b/>
          <w:bCs/>
          <w:i/>
        </w:rPr>
      </w:pPr>
      <w:r w:rsidRPr="00375A13">
        <w:rPr>
          <w:b/>
          <w:bCs/>
          <w:i/>
        </w:rPr>
        <w:t>Acord de delegare nr.10103/22.04.2015 încheiat între Autoritatea de Management a Programului Operaţional Competitivitate şi Organismul Intermediar pentru Cercetare pentru Programul Operaţional Competitivitate, Axa Prioritara 1, Cercetare, Dezvoltare Tehnologică şi Inovare în sprijinul Competivităţii Economice şi Dezvoltarea Afacerilor;</w:t>
      </w:r>
    </w:p>
    <w:p w:rsidR="003F636F" w:rsidRPr="00375A13" w:rsidRDefault="003F636F" w:rsidP="003F636F">
      <w:pPr>
        <w:numPr>
          <w:ilvl w:val="0"/>
          <w:numId w:val="18"/>
        </w:numPr>
        <w:spacing w:after="0" w:line="240" w:lineRule="auto"/>
        <w:jc w:val="both"/>
        <w:rPr>
          <w:b/>
          <w:bCs/>
          <w:i/>
        </w:rPr>
      </w:pPr>
      <w:r w:rsidRPr="00375A13">
        <w:rPr>
          <w:b/>
          <w:bCs/>
          <w:i/>
        </w:rPr>
        <w:t>Hotărârea nr. 399/27.05.2015 privind regulile de eligibilitate a cheltuielilor efectuate în cadrul operaţiunilor finanţate prin Fondul european de dezvoltare regională, Fondul social european şi Fondul de coeziune 2014-2020;</w:t>
      </w:r>
    </w:p>
    <w:p w:rsidR="003F636F" w:rsidRPr="00375A13" w:rsidRDefault="003F636F" w:rsidP="003F636F">
      <w:pPr>
        <w:numPr>
          <w:ilvl w:val="0"/>
          <w:numId w:val="18"/>
        </w:numPr>
        <w:spacing w:after="0" w:line="240" w:lineRule="auto"/>
        <w:jc w:val="both"/>
        <w:rPr>
          <w:b/>
          <w:bCs/>
          <w:i/>
        </w:rPr>
      </w:pPr>
      <w:r w:rsidRPr="00375A13">
        <w:rPr>
          <w:b/>
          <w:bCs/>
          <w:i/>
        </w:rPr>
        <w:t>Ordonanţa de urgenţă a Guvernului nr. 40/2015 privind gestionarea financiară a fondurilor europene pentru perioada de programare 2014-2020.</w:t>
      </w:r>
    </w:p>
    <w:p w:rsidR="003F636F" w:rsidRPr="00375A13" w:rsidRDefault="003F636F" w:rsidP="003F636F">
      <w:pPr>
        <w:spacing w:after="0" w:line="240" w:lineRule="auto"/>
        <w:jc w:val="both"/>
        <w:rPr>
          <w:bCs/>
        </w:rPr>
      </w:pPr>
    </w:p>
    <w:p w:rsidR="00970E00" w:rsidRDefault="00970E00">
      <w:pPr>
        <w:rPr>
          <w:b/>
          <w:bCs/>
          <w:u w:val="single"/>
        </w:rPr>
      </w:pPr>
      <w:r>
        <w:rPr>
          <w:b/>
          <w:bCs/>
          <w:u w:val="single"/>
        </w:rPr>
        <w:br w:type="page"/>
      </w:r>
    </w:p>
    <w:p w:rsidR="003F636F" w:rsidRDefault="003F636F" w:rsidP="003F636F">
      <w:pPr>
        <w:spacing w:after="0" w:line="240" w:lineRule="auto"/>
        <w:jc w:val="both"/>
        <w:rPr>
          <w:b/>
          <w:bCs/>
          <w:u w:val="single"/>
        </w:rPr>
      </w:pPr>
    </w:p>
    <w:p w:rsidR="003F636F" w:rsidRPr="00375A13" w:rsidRDefault="003F636F" w:rsidP="003F636F">
      <w:pPr>
        <w:spacing w:after="0" w:line="240" w:lineRule="auto"/>
        <w:jc w:val="both"/>
        <w:rPr>
          <w:b/>
          <w:bCs/>
          <w:u w:val="single"/>
        </w:rPr>
      </w:pPr>
      <w:r w:rsidRPr="00375A13">
        <w:rPr>
          <w:b/>
          <w:bCs/>
          <w:u w:val="single"/>
        </w:rPr>
        <w:t>Schemele de ajutor de stat şi de minimis aprobate în perioada de raportare</w:t>
      </w:r>
    </w:p>
    <w:p w:rsidR="003F636F" w:rsidRPr="00375A13" w:rsidRDefault="003F636F" w:rsidP="003F636F">
      <w:pPr>
        <w:spacing w:after="0" w:line="240" w:lineRule="auto"/>
        <w:jc w:val="both"/>
        <w:rPr>
          <w:b/>
          <w:bCs/>
          <w:u w:val="single"/>
        </w:rPr>
      </w:pPr>
      <w:r w:rsidRPr="00375A13">
        <w:rPr>
          <w:b/>
          <w:bCs/>
          <w:u w:val="single"/>
        </w:rPr>
        <w:t>Pentru Axa Prioritară 1</w:t>
      </w:r>
    </w:p>
    <w:p w:rsidR="003F636F" w:rsidRPr="00375A13" w:rsidRDefault="003F636F" w:rsidP="003F636F">
      <w:pPr>
        <w:numPr>
          <w:ilvl w:val="0"/>
          <w:numId w:val="11"/>
        </w:numPr>
        <w:spacing w:after="0" w:line="240" w:lineRule="auto"/>
        <w:jc w:val="both"/>
        <w:rPr>
          <w:b/>
          <w:bCs/>
          <w:i/>
        </w:rPr>
      </w:pPr>
      <w:r w:rsidRPr="00375A13">
        <w:rPr>
          <w:b/>
          <w:bCs/>
          <w:i/>
        </w:rPr>
        <w:t>Ordinul nr. 3822/2015 pentru aprobarea schemei de ajutor de stat "Finanţarea activităţilor de cercetare-dezvoltare şi inovare (CDI) şi a investiţiilor în CDI prin Programul Operaţional Competitivitate (POC)", În vigoare de la 26.05.2015.</w:t>
      </w:r>
    </w:p>
    <w:p w:rsidR="003F636F" w:rsidRPr="00375A13" w:rsidRDefault="003F636F" w:rsidP="003F636F">
      <w:pPr>
        <w:spacing w:after="0" w:line="240" w:lineRule="auto"/>
        <w:ind w:left="720"/>
        <w:jc w:val="both"/>
        <w:rPr>
          <w:bCs/>
        </w:rPr>
      </w:pPr>
      <w:r w:rsidRPr="00375A13">
        <w:rPr>
          <w:bCs/>
        </w:rPr>
        <w:t>Prin această schemă se va oferi sprijin pentru atingerea următoarelor obiective:</w:t>
      </w:r>
    </w:p>
    <w:p w:rsidR="003F636F" w:rsidRPr="00375A13" w:rsidRDefault="003F636F" w:rsidP="003F636F">
      <w:pPr>
        <w:pStyle w:val="ListParagraph"/>
        <w:numPr>
          <w:ilvl w:val="0"/>
          <w:numId w:val="12"/>
        </w:numPr>
        <w:spacing w:after="0" w:line="240" w:lineRule="auto"/>
        <w:jc w:val="both"/>
        <w:rPr>
          <w:bCs/>
        </w:rPr>
      </w:pPr>
      <w:r w:rsidRPr="00375A13">
        <w:rPr>
          <w:bCs/>
        </w:rPr>
        <w:t>creşterea investiţiilor private în CDI;</w:t>
      </w:r>
    </w:p>
    <w:p w:rsidR="003F636F" w:rsidRPr="00375A13" w:rsidRDefault="003F636F" w:rsidP="003F636F">
      <w:pPr>
        <w:pStyle w:val="ListParagraph"/>
        <w:numPr>
          <w:ilvl w:val="0"/>
          <w:numId w:val="12"/>
        </w:numPr>
        <w:spacing w:after="0" w:line="240" w:lineRule="auto"/>
        <w:jc w:val="both"/>
        <w:rPr>
          <w:bCs/>
        </w:rPr>
      </w:pPr>
      <w:r w:rsidRPr="00375A13">
        <w:rPr>
          <w:bCs/>
        </w:rPr>
        <w:t>creşterea transferului de cunoştinţe, tehnologie şi personal cu competenţe CDI între mediul public şi cel privat;</w:t>
      </w:r>
    </w:p>
    <w:p w:rsidR="003F636F" w:rsidRPr="00375A13" w:rsidRDefault="003F636F" w:rsidP="003F636F">
      <w:pPr>
        <w:pStyle w:val="ListParagraph"/>
        <w:numPr>
          <w:ilvl w:val="0"/>
          <w:numId w:val="12"/>
        </w:numPr>
        <w:spacing w:after="0" w:line="240" w:lineRule="auto"/>
        <w:jc w:val="both"/>
        <w:rPr>
          <w:bCs/>
        </w:rPr>
      </w:pPr>
      <w:r w:rsidRPr="00375A13">
        <w:rPr>
          <w:bCs/>
        </w:rPr>
        <w:t>creşterea capacităţii ştiinţifice ca motor al inovării;</w:t>
      </w:r>
    </w:p>
    <w:p w:rsidR="003F636F" w:rsidRPr="00375A13" w:rsidRDefault="003F636F" w:rsidP="003F636F">
      <w:pPr>
        <w:pStyle w:val="ListParagraph"/>
        <w:numPr>
          <w:ilvl w:val="0"/>
          <w:numId w:val="12"/>
        </w:numPr>
        <w:spacing w:after="0" w:line="240" w:lineRule="auto"/>
        <w:jc w:val="both"/>
        <w:rPr>
          <w:bCs/>
        </w:rPr>
      </w:pPr>
      <w:r w:rsidRPr="00375A13">
        <w:rPr>
          <w:bCs/>
        </w:rPr>
        <w:t>creşterea participării cercetării româneşti în cercetarea la nivel european şi internaţional.</w:t>
      </w:r>
    </w:p>
    <w:p w:rsidR="003F636F" w:rsidRPr="00375A13" w:rsidRDefault="003F636F" w:rsidP="003F636F">
      <w:pPr>
        <w:numPr>
          <w:ilvl w:val="0"/>
          <w:numId w:val="11"/>
        </w:numPr>
        <w:spacing w:after="0" w:line="240" w:lineRule="auto"/>
        <w:jc w:val="both"/>
        <w:rPr>
          <w:b/>
          <w:bCs/>
          <w:i/>
        </w:rPr>
      </w:pPr>
      <w:r w:rsidRPr="00375A13">
        <w:rPr>
          <w:b/>
          <w:bCs/>
          <w:i/>
        </w:rPr>
        <w:t>Ordinul nr. 3823/2015 pentru aprobarea schemei de ajutor de minimis "Ajutor de minimis pentru sprijinirea START-UP-urilor şi SPIN-OFF-urilor inovatoare" aferentă Programului Oper</w:t>
      </w:r>
      <w:r>
        <w:rPr>
          <w:b/>
          <w:bCs/>
          <w:i/>
        </w:rPr>
        <w:t>aţional Competitivitate (POC), î</w:t>
      </w:r>
      <w:r w:rsidRPr="00375A13">
        <w:rPr>
          <w:b/>
          <w:bCs/>
          <w:i/>
        </w:rPr>
        <w:t>n vigoare de la 09.06.2015.</w:t>
      </w:r>
    </w:p>
    <w:p w:rsidR="003F636F" w:rsidRPr="00375A13" w:rsidRDefault="003F636F" w:rsidP="003F636F">
      <w:pPr>
        <w:numPr>
          <w:ilvl w:val="0"/>
          <w:numId w:val="13"/>
        </w:numPr>
        <w:tabs>
          <w:tab w:val="num" w:pos="720"/>
        </w:tabs>
        <w:spacing w:after="0" w:line="240" w:lineRule="auto"/>
        <w:jc w:val="both"/>
        <w:rPr>
          <w:bCs/>
        </w:rPr>
      </w:pPr>
      <w:r w:rsidRPr="00375A13">
        <w:rPr>
          <w:bCs/>
        </w:rPr>
        <w:t>Această schemă are ca obiectiv sprijinirea creării SPIN-OFF-urilor inovatoare şi dezvoltării START-UP-urilor inovatoare pe baza transferului rezultatelor cercetării-dezvoltării obţinute în universităţi sau institute, în vederea realizării de produse şi servicii noi ori semnificativ îmbunătăţite. Întreprinderile asistate vor fi atent selecţionate, pe baza unei analize riguroase a planurilor lor de afaceri;</w:t>
      </w:r>
    </w:p>
    <w:p w:rsidR="003F636F" w:rsidRPr="00375A13" w:rsidRDefault="003F636F" w:rsidP="003F636F">
      <w:pPr>
        <w:numPr>
          <w:ilvl w:val="0"/>
          <w:numId w:val="13"/>
        </w:numPr>
        <w:tabs>
          <w:tab w:val="num" w:pos="720"/>
        </w:tabs>
        <w:spacing w:after="0" w:line="240" w:lineRule="auto"/>
        <w:jc w:val="both"/>
        <w:rPr>
          <w:bCs/>
        </w:rPr>
      </w:pPr>
      <w:r w:rsidRPr="00375A13">
        <w:rPr>
          <w:bCs/>
        </w:rPr>
        <w:t>Solicitanţii trebuie să demonstreze că au dreptul să utilizeze un rezultat obţinut din activitatea de cercetare.</w:t>
      </w:r>
    </w:p>
    <w:p w:rsidR="003F636F" w:rsidRPr="00375A13" w:rsidRDefault="003F636F" w:rsidP="003F636F">
      <w:pPr>
        <w:numPr>
          <w:ilvl w:val="0"/>
          <w:numId w:val="11"/>
        </w:numPr>
        <w:spacing w:after="0" w:line="240" w:lineRule="auto"/>
        <w:jc w:val="both"/>
        <w:rPr>
          <w:b/>
          <w:bCs/>
          <w:i/>
        </w:rPr>
      </w:pPr>
      <w:r w:rsidRPr="00375A13">
        <w:rPr>
          <w:b/>
          <w:bCs/>
          <w:i/>
        </w:rPr>
        <w:t>Schema de ajutor de minimis pentru sprijinirea „Parteneriatelor pentru transfer de cunoştinţe” prin Programul Operaţional „Competitivitate” (OMECS nr. 4686/2015).</w:t>
      </w:r>
    </w:p>
    <w:p w:rsidR="003F636F" w:rsidRPr="00375A13" w:rsidRDefault="003F636F" w:rsidP="003F636F">
      <w:pPr>
        <w:pStyle w:val="ListParagraph"/>
        <w:numPr>
          <w:ilvl w:val="0"/>
          <w:numId w:val="14"/>
        </w:numPr>
        <w:spacing w:after="0" w:line="240" w:lineRule="auto"/>
        <w:jc w:val="both"/>
        <w:rPr>
          <w:bCs/>
        </w:rPr>
      </w:pPr>
      <w:r w:rsidRPr="00375A13">
        <w:rPr>
          <w:bCs/>
        </w:rPr>
        <w:t>Schema are ca obiectiv încurajarea interacțiunii instituțiilor de învățământ superior și instituțiilor de cercetare-d</w:t>
      </w:r>
      <w:r>
        <w:rPr>
          <w:bCs/>
        </w:rPr>
        <w:t>ezvoltare (CD) cu mediul de afac</w:t>
      </w:r>
      <w:r w:rsidRPr="00375A13">
        <w:rPr>
          <w:bCs/>
        </w:rPr>
        <w:t xml:space="preserve">eri, prin finanțarea accesului întreprinderilor la expertiză extinsă și la facilitățile organizațiilor de cercetare în scopul comercializării rezultatelor de cercetare către întreprinderile care își dezvoltă afaceri cerute de piață. </w:t>
      </w:r>
    </w:p>
    <w:p w:rsidR="003F636F" w:rsidRPr="00375A13" w:rsidRDefault="003F636F" w:rsidP="003F636F">
      <w:pPr>
        <w:pStyle w:val="ListParagraph"/>
        <w:numPr>
          <w:ilvl w:val="0"/>
          <w:numId w:val="14"/>
        </w:numPr>
        <w:spacing w:after="0" w:line="240" w:lineRule="auto"/>
        <w:jc w:val="both"/>
        <w:rPr>
          <w:bCs/>
        </w:rPr>
      </w:pPr>
      <w:r w:rsidRPr="00375A13">
        <w:rPr>
          <w:bCs/>
        </w:rPr>
        <w:t>Schema sprijină de asemenea valorificarea potențialului infrastructurilor de CD dobândite sau modernizate începând cu anul 2007 și a celorlalte resurse de cercetare obținute concomitent cu acestea, pentru a răspunde nevoilor de inovare a întreprinderilor în scopul creșterii valorii adăugate a unor produse/procese, tehnologii cerute de piață.</w:t>
      </w:r>
    </w:p>
    <w:p w:rsidR="003F636F" w:rsidRPr="00375A13" w:rsidRDefault="003F636F" w:rsidP="003F636F">
      <w:pPr>
        <w:pStyle w:val="ListParagraph"/>
        <w:spacing w:after="0" w:line="240" w:lineRule="auto"/>
        <w:ind w:left="1495"/>
        <w:jc w:val="both"/>
        <w:rPr>
          <w:bCs/>
        </w:rPr>
      </w:pPr>
    </w:p>
    <w:p w:rsidR="003F636F" w:rsidRPr="00375A13" w:rsidRDefault="003F636F" w:rsidP="003F636F">
      <w:pPr>
        <w:spacing w:after="0" w:line="240" w:lineRule="auto"/>
        <w:jc w:val="both"/>
        <w:rPr>
          <w:b/>
          <w:bCs/>
        </w:rPr>
      </w:pPr>
      <w:r w:rsidRPr="00375A13">
        <w:rPr>
          <w:b/>
          <w:bCs/>
        </w:rPr>
        <w:t>Pentru Axa Prioritară 2:</w:t>
      </w:r>
    </w:p>
    <w:p w:rsidR="003F636F" w:rsidRPr="00375A13" w:rsidRDefault="003F636F" w:rsidP="003F636F">
      <w:pPr>
        <w:pStyle w:val="ListParagraph"/>
        <w:numPr>
          <w:ilvl w:val="0"/>
          <w:numId w:val="15"/>
        </w:numPr>
        <w:spacing w:after="0" w:line="240" w:lineRule="auto"/>
        <w:jc w:val="both"/>
        <w:rPr>
          <w:b/>
          <w:bCs/>
          <w:i/>
        </w:rPr>
      </w:pPr>
      <w:r w:rsidRPr="00375A13">
        <w:rPr>
          <w:b/>
          <w:bCs/>
          <w:i/>
        </w:rPr>
        <w:t>Ordinul nr. 435/2015 privind aprobarea schemei de ajutor de minimis care se adresează domeniului tehnologiei informaţiei şi comunicaţiilor (TIC), denumită "Schemă de ajutor de minimis pentru creşterea contribuţiei sectorului TIC pentru competitivitatea economică", care este o componentă aferentă axei prioritare 2, acţiunea 2.2.1 "Sprijinirea creşterii valorii adăugate generate de sectorul TIC şi a inovării în domeniu prin dezvoltarea de clustere", din cadrul Programului Operaţional Competitivitate 2014-2020, publicat în M.Of. al României, in vigoare de la 08.09.2015</w:t>
      </w:r>
    </w:p>
    <w:p w:rsidR="003F636F" w:rsidRPr="00375A13" w:rsidRDefault="003F636F" w:rsidP="003F636F">
      <w:pPr>
        <w:pStyle w:val="ListParagraph"/>
        <w:numPr>
          <w:ilvl w:val="0"/>
          <w:numId w:val="16"/>
        </w:numPr>
        <w:spacing w:after="0" w:line="240" w:lineRule="auto"/>
        <w:jc w:val="both"/>
        <w:rPr>
          <w:bCs/>
        </w:rPr>
      </w:pPr>
      <w:r w:rsidRPr="00375A13">
        <w:rPr>
          <w:bCs/>
        </w:rPr>
        <w:t>Scopul prezentei scheme de ajutor de minimis este de a finanţa o serie de activităţi necesare pentru implementarea proiectelor prin care se asigură dezvoltarea unei game de produse şi/sau servicii TIC cu aplicabilitate în restul economiei româneşti, precum şi realizarea de proiecte strategice inovative cu impact asupra dezvoltării întregii industrii de TIC.</w:t>
      </w:r>
    </w:p>
    <w:p w:rsidR="003F636F" w:rsidRPr="00375A13" w:rsidRDefault="003F636F" w:rsidP="003F636F">
      <w:pPr>
        <w:pStyle w:val="ListParagraph"/>
        <w:numPr>
          <w:ilvl w:val="0"/>
          <w:numId w:val="15"/>
        </w:numPr>
        <w:spacing w:after="0" w:line="240" w:lineRule="auto"/>
        <w:jc w:val="both"/>
        <w:rPr>
          <w:b/>
          <w:bCs/>
          <w:i/>
        </w:rPr>
      </w:pPr>
      <w:r w:rsidRPr="00375A13">
        <w:rPr>
          <w:b/>
          <w:bCs/>
          <w:i/>
        </w:rPr>
        <w:t xml:space="preserve">Ordinul nr. 436/2015 privind aprobarea Schemei de ajutor de stat pentru sprijinirea dezvoltării de produse şi servicii inovative, care este o componentă aferentă axei prioritare 2, prioritatea de investiţie 2b Dezvoltarea produselor şi serviciilor TIC, a </w:t>
      </w:r>
      <w:r w:rsidRPr="00375A13">
        <w:rPr>
          <w:b/>
          <w:bCs/>
          <w:i/>
        </w:rPr>
        <w:lastRenderedPageBreak/>
        <w:t>comerţului electronic şi a cererii de TIC, acţiunea 2.2.1 "Sprijinirea creşterii valorii adăugate generate de sectorul TIC şi a inovării în domeniu prin dezvoltarea de clustere", din cadrul Programului Operaţional Competitivitate 2014-2020, publicat în M.Of. al României, in vigoare de la 07.09.2015</w:t>
      </w:r>
    </w:p>
    <w:p w:rsidR="003F636F" w:rsidRPr="00375A13" w:rsidRDefault="003F636F" w:rsidP="003F636F">
      <w:pPr>
        <w:pStyle w:val="ListParagraph"/>
        <w:numPr>
          <w:ilvl w:val="0"/>
          <w:numId w:val="17"/>
        </w:numPr>
        <w:spacing w:after="0" w:line="240" w:lineRule="auto"/>
        <w:jc w:val="both"/>
        <w:rPr>
          <w:bCs/>
        </w:rPr>
      </w:pPr>
      <w:r w:rsidRPr="00375A13">
        <w:rPr>
          <w:bCs/>
        </w:rPr>
        <w:t>Scopul prezentei scheme de ajutor de stat este de a finanţa o serie de activităţi necesare pentru implementarea proiectelor prin care se asigură dezvoltarea unei game de produse şi/sau servicii TIC cu aplicabilitate în restul economiei româneşti, precum şi realizarea de proiecte strategice inovative cu impact asupra dezvoltării întregii industrii de TIC.</w:t>
      </w:r>
    </w:p>
    <w:p w:rsidR="003F636F" w:rsidRPr="00375A13" w:rsidRDefault="003F636F" w:rsidP="003F636F">
      <w:pPr>
        <w:pStyle w:val="ListParagraph"/>
        <w:numPr>
          <w:ilvl w:val="0"/>
          <w:numId w:val="17"/>
        </w:numPr>
        <w:spacing w:after="0" w:line="240" w:lineRule="auto"/>
        <w:jc w:val="both"/>
        <w:rPr>
          <w:bCs/>
        </w:rPr>
      </w:pPr>
      <w:r w:rsidRPr="00375A13">
        <w:rPr>
          <w:bCs/>
        </w:rPr>
        <w:t>Sprijinul financiar nerambursabil va fi acordat pentru:</w:t>
      </w:r>
    </w:p>
    <w:p w:rsidR="003F636F" w:rsidRPr="00375A13" w:rsidRDefault="003F636F" w:rsidP="003F636F">
      <w:pPr>
        <w:pStyle w:val="ListParagraph"/>
        <w:spacing w:after="0" w:line="240" w:lineRule="auto"/>
        <w:ind w:left="708" w:firstLine="708"/>
        <w:jc w:val="both"/>
        <w:rPr>
          <w:bCs/>
        </w:rPr>
      </w:pPr>
      <w:r w:rsidRPr="00375A13">
        <w:rPr>
          <w:bCs/>
        </w:rPr>
        <w:t>a) achiziţionarea de active corporale şi necorporale pentru dezvoltarea unor produse/servicii TIC;</w:t>
      </w:r>
    </w:p>
    <w:p w:rsidR="003F636F" w:rsidRPr="00375A13" w:rsidRDefault="003F636F" w:rsidP="003F636F">
      <w:pPr>
        <w:pStyle w:val="ListParagraph"/>
        <w:spacing w:after="0" w:line="240" w:lineRule="auto"/>
        <w:ind w:left="708" w:firstLine="708"/>
        <w:jc w:val="both"/>
        <w:rPr>
          <w:bCs/>
        </w:rPr>
      </w:pPr>
      <w:r w:rsidRPr="00375A13">
        <w:rPr>
          <w:bCs/>
        </w:rPr>
        <w:t>b) realizarea de activităţi de cercetare şi dezvoltare, realizarea de proiecte de inovare ale IMM-urilor;</w:t>
      </w:r>
    </w:p>
    <w:p w:rsidR="003F636F" w:rsidRPr="00375A13" w:rsidRDefault="003F636F" w:rsidP="003F636F">
      <w:pPr>
        <w:pStyle w:val="ListParagraph"/>
        <w:spacing w:after="0" w:line="240" w:lineRule="auto"/>
        <w:ind w:left="1068" w:firstLine="348"/>
        <w:jc w:val="both"/>
        <w:rPr>
          <w:bCs/>
        </w:rPr>
      </w:pPr>
      <w:r w:rsidRPr="00375A13">
        <w:rPr>
          <w:bCs/>
        </w:rPr>
        <w:t>c) realizarea de proiecte de inovare de proces şi organizaţională.</w:t>
      </w:r>
    </w:p>
    <w:p w:rsidR="003F636F" w:rsidRPr="00375A13" w:rsidRDefault="003F636F" w:rsidP="003F636F">
      <w:pPr>
        <w:pStyle w:val="ListParagraph"/>
        <w:spacing w:after="0" w:line="240" w:lineRule="auto"/>
        <w:ind w:left="1068" w:firstLine="348"/>
        <w:jc w:val="both"/>
        <w:rPr>
          <w:bCs/>
        </w:rPr>
      </w:pPr>
    </w:p>
    <w:p w:rsidR="003F636F" w:rsidRPr="00375A13" w:rsidRDefault="003F636F" w:rsidP="003F636F">
      <w:pPr>
        <w:pStyle w:val="ListParagraph"/>
        <w:spacing w:after="0" w:line="240" w:lineRule="auto"/>
        <w:ind w:left="360"/>
        <w:jc w:val="both"/>
        <w:rPr>
          <w:b/>
          <w:bCs/>
        </w:rPr>
      </w:pPr>
      <w:r w:rsidRPr="00375A13">
        <w:rPr>
          <w:b/>
          <w:bCs/>
        </w:rPr>
        <w:t>Comitetul de Monitorizare al Programului Operaţional Competitivitate</w:t>
      </w:r>
    </w:p>
    <w:p w:rsidR="003F636F" w:rsidRPr="00375A13" w:rsidRDefault="003F636F" w:rsidP="003F636F">
      <w:pPr>
        <w:spacing w:after="0" w:line="240" w:lineRule="auto"/>
        <w:ind w:firstLine="360"/>
        <w:jc w:val="both"/>
        <w:rPr>
          <w:i/>
        </w:rPr>
      </w:pPr>
      <w:r w:rsidRPr="00375A13">
        <w:rPr>
          <w:bCs/>
          <w:iCs/>
        </w:rPr>
        <w:t>Comitetul de Monitorizare (numit în continuare CM) pentru</w:t>
      </w:r>
      <w:r w:rsidRPr="00375A13">
        <w:t xml:space="preserve"> Programul Operaţional Competitivitate (numit în continuare POC) este structura naţională de tip partenerial, fără personalitate juridică, cu rol decizional strategic în procesul de implementare a POC, constituit în conformitate cu prevederile Regulamentului (UE) nr. 1303/2013, de stabilire a unor dispoziţii comune privind Fondul European de Dezvoltare Regională, Fondul Social European şi Fondul de Coeziune, Fondul European Agricol pentru dezvoltare rurală şi Fondul European pentru pescuit şi afaceri maritime, denumite în continuare Fonduri Structurale şi de Investiţii Europene (FESI); </w:t>
      </w:r>
    </w:p>
    <w:p w:rsidR="003F636F" w:rsidRPr="00375A13" w:rsidRDefault="003F636F" w:rsidP="003F636F">
      <w:pPr>
        <w:spacing w:after="0" w:line="240" w:lineRule="auto"/>
        <w:ind w:firstLine="360"/>
        <w:jc w:val="both"/>
      </w:pPr>
      <w:r w:rsidRPr="00375A13">
        <w:t>Desemnarea/nominalizarea de către instituții/parteneri a reprezentanților în CM s-a realizeazat printr-o procedură transparentă, cu luarea în considerare a:</w:t>
      </w:r>
    </w:p>
    <w:p w:rsidR="003F636F" w:rsidRPr="00375A13" w:rsidRDefault="003F636F" w:rsidP="003F636F">
      <w:pPr>
        <w:numPr>
          <w:ilvl w:val="0"/>
          <w:numId w:val="19"/>
        </w:numPr>
        <w:spacing w:after="0" w:line="240" w:lineRule="auto"/>
        <w:jc w:val="both"/>
      </w:pPr>
      <w:r w:rsidRPr="00375A13">
        <w:t>pregătirii și experienței profesionale în domenii relevante pentru aria de intervenție a POC;</w:t>
      </w:r>
    </w:p>
    <w:p w:rsidR="003F636F" w:rsidRPr="00375A13" w:rsidRDefault="003F636F" w:rsidP="003F636F">
      <w:pPr>
        <w:numPr>
          <w:ilvl w:val="0"/>
          <w:numId w:val="19"/>
        </w:numPr>
        <w:spacing w:after="0" w:line="240" w:lineRule="auto"/>
        <w:jc w:val="both"/>
      </w:pPr>
      <w:r w:rsidRPr="00375A13">
        <w:t>nivelului de reprezentare/capacității de decizie;</w:t>
      </w:r>
    </w:p>
    <w:p w:rsidR="003F636F" w:rsidRPr="00375A13" w:rsidRDefault="003F636F" w:rsidP="003F636F">
      <w:pPr>
        <w:numPr>
          <w:ilvl w:val="0"/>
          <w:numId w:val="19"/>
        </w:numPr>
        <w:spacing w:after="0" w:line="240" w:lineRule="auto"/>
        <w:jc w:val="both"/>
      </w:pPr>
      <w:r w:rsidRPr="00375A13">
        <w:t>capacității de analiză și evaluare a implicațiilor și efectelor deciziilor luate;</w:t>
      </w:r>
    </w:p>
    <w:p w:rsidR="003F636F" w:rsidRPr="00375A13" w:rsidRDefault="003F636F" w:rsidP="003F636F">
      <w:pPr>
        <w:numPr>
          <w:ilvl w:val="0"/>
          <w:numId w:val="19"/>
        </w:numPr>
        <w:spacing w:after="0" w:line="240" w:lineRule="auto"/>
        <w:jc w:val="both"/>
      </w:pPr>
      <w:r w:rsidRPr="00375A13">
        <w:t>abilităților de comunicare verbală și în scris;</w:t>
      </w:r>
    </w:p>
    <w:p w:rsidR="003F636F" w:rsidRPr="00375A13" w:rsidRDefault="003F636F" w:rsidP="003F636F">
      <w:pPr>
        <w:numPr>
          <w:ilvl w:val="0"/>
          <w:numId w:val="19"/>
        </w:numPr>
        <w:spacing w:after="0" w:line="240" w:lineRule="auto"/>
        <w:jc w:val="both"/>
      </w:pPr>
      <w:r w:rsidRPr="00375A13">
        <w:t>integrității și transparenței în luarea deciziilor;</w:t>
      </w:r>
    </w:p>
    <w:p w:rsidR="003F636F" w:rsidRPr="00375A13" w:rsidRDefault="003F636F" w:rsidP="003F636F">
      <w:pPr>
        <w:numPr>
          <w:ilvl w:val="0"/>
          <w:numId w:val="19"/>
        </w:numPr>
        <w:spacing w:after="0" w:line="240" w:lineRule="auto"/>
        <w:jc w:val="both"/>
      </w:pPr>
      <w:r w:rsidRPr="00375A13">
        <w:t>angajării pentru îndeplinirea atribuțiilor CM stabilite;</w:t>
      </w:r>
    </w:p>
    <w:p w:rsidR="003F636F" w:rsidRPr="00375A13" w:rsidRDefault="003F636F" w:rsidP="003F636F">
      <w:pPr>
        <w:numPr>
          <w:ilvl w:val="0"/>
          <w:numId w:val="19"/>
        </w:numPr>
        <w:spacing w:after="0" w:line="240" w:lineRule="auto"/>
        <w:jc w:val="both"/>
      </w:pPr>
      <w:r w:rsidRPr="00375A13">
        <w:t>implicării în procesul de programare a POC;</w:t>
      </w:r>
    </w:p>
    <w:p w:rsidR="003F636F" w:rsidRPr="00375A13" w:rsidRDefault="003F636F" w:rsidP="003F636F">
      <w:pPr>
        <w:numPr>
          <w:ilvl w:val="0"/>
          <w:numId w:val="19"/>
        </w:numPr>
        <w:spacing w:after="0" w:line="240" w:lineRule="auto"/>
        <w:jc w:val="both"/>
      </w:pPr>
      <w:r w:rsidRPr="00375A13">
        <w:t>experienței în exercițiul de programare 2007-2013;</w:t>
      </w:r>
    </w:p>
    <w:p w:rsidR="003F636F" w:rsidRPr="00375A13" w:rsidRDefault="003F636F" w:rsidP="003F636F">
      <w:pPr>
        <w:numPr>
          <w:ilvl w:val="0"/>
          <w:numId w:val="19"/>
        </w:numPr>
        <w:spacing w:after="0" w:line="240" w:lineRule="auto"/>
        <w:jc w:val="both"/>
      </w:pPr>
      <w:r w:rsidRPr="00375A13">
        <w:t xml:space="preserve">principiilor egalității de gen și nediscriminării. </w:t>
      </w:r>
    </w:p>
    <w:p w:rsidR="003F636F" w:rsidRPr="00375A13" w:rsidRDefault="003F636F" w:rsidP="003F636F">
      <w:pPr>
        <w:spacing w:after="0" w:line="240" w:lineRule="auto"/>
        <w:ind w:firstLine="708"/>
        <w:jc w:val="both"/>
      </w:pPr>
      <w:r w:rsidRPr="00375A13">
        <w:t>Activitatea Comitetului de Monitorizare este asistată de un Secretariat permanent, asigurat de Autoritatea de Management şi coordonat de Preşedintele Comitetului de Monitorizare.</w:t>
      </w:r>
    </w:p>
    <w:p w:rsidR="003F636F" w:rsidRPr="00375A13" w:rsidRDefault="003F636F" w:rsidP="003F636F">
      <w:pPr>
        <w:spacing w:after="0" w:line="240" w:lineRule="auto"/>
        <w:jc w:val="both"/>
      </w:pPr>
    </w:p>
    <w:p w:rsidR="003F636F" w:rsidRPr="00375A13" w:rsidRDefault="003F636F" w:rsidP="003F636F">
      <w:pPr>
        <w:spacing w:after="0" w:line="240" w:lineRule="auto"/>
        <w:jc w:val="both"/>
        <w:rPr>
          <w:b/>
        </w:rPr>
      </w:pPr>
      <w:r w:rsidRPr="00375A13">
        <w:rPr>
          <w:b/>
        </w:rPr>
        <w:t>CM POC are următoarea structură:</w:t>
      </w:r>
    </w:p>
    <w:p w:rsidR="003F636F" w:rsidRPr="00375A13" w:rsidRDefault="003F636F" w:rsidP="003F636F">
      <w:pPr>
        <w:spacing w:after="0" w:line="240" w:lineRule="auto"/>
        <w:jc w:val="both"/>
        <w:rPr>
          <w:b/>
        </w:rPr>
      </w:pPr>
    </w:p>
    <w:p w:rsidR="003F636F" w:rsidRPr="00375A13" w:rsidRDefault="003F636F" w:rsidP="003F636F">
      <w:pPr>
        <w:spacing w:after="0" w:line="240" w:lineRule="auto"/>
        <w:jc w:val="both"/>
        <w:rPr>
          <w:b/>
          <w:bCs/>
        </w:rPr>
      </w:pPr>
      <w:r w:rsidRPr="00375A13">
        <w:rPr>
          <w:b/>
          <w:bCs/>
        </w:rPr>
        <w:t>Membri cu drept de vot:</w:t>
      </w:r>
    </w:p>
    <w:p w:rsidR="003F636F" w:rsidRPr="00375A13" w:rsidRDefault="003F636F" w:rsidP="003F636F">
      <w:pPr>
        <w:numPr>
          <w:ilvl w:val="0"/>
          <w:numId w:val="20"/>
        </w:numPr>
        <w:spacing w:after="0" w:line="240" w:lineRule="auto"/>
        <w:jc w:val="both"/>
        <w:rPr>
          <w:bCs/>
          <w:iCs/>
        </w:rPr>
      </w:pPr>
      <w:r w:rsidRPr="00375A13">
        <w:rPr>
          <w:bCs/>
          <w:iCs/>
        </w:rPr>
        <w:t>Minist</w:t>
      </w:r>
      <w:r w:rsidR="00D74E70">
        <w:rPr>
          <w:bCs/>
          <w:iCs/>
        </w:rPr>
        <w:t>erul Fondurilor Europene</w:t>
      </w:r>
      <w:r w:rsidR="0079024F">
        <w:rPr>
          <w:bCs/>
          <w:iCs/>
        </w:rPr>
        <w:t>,</w:t>
      </w:r>
      <w:r w:rsidR="00D74E70">
        <w:rPr>
          <w:bCs/>
          <w:iCs/>
        </w:rPr>
        <w:t xml:space="preserve"> Direcţia Generală</w:t>
      </w:r>
      <w:r w:rsidRPr="00375A13">
        <w:rPr>
          <w:bCs/>
          <w:iCs/>
        </w:rPr>
        <w:t xml:space="preserve"> Programe Competitivitate</w:t>
      </w:r>
    </w:p>
    <w:p w:rsidR="003F636F" w:rsidRPr="00375A13" w:rsidRDefault="003F636F" w:rsidP="003F636F">
      <w:pPr>
        <w:numPr>
          <w:ilvl w:val="0"/>
          <w:numId w:val="20"/>
        </w:numPr>
        <w:spacing w:after="0" w:line="240" w:lineRule="auto"/>
        <w:jc w:val="both"/>
        <w:rPr>
          <w:bCs/>
          <w:iCs/>
        </w:rPr>
      </w:pPr>
      <w:r w:rsidRPr="00375A13">
        <w:rPr>
          <w:bCs/>
          <w:iCs/>
        </w:rPr>
        <w:t>Ministerul Fondurilor Europene</w:t>
      </w:r>
      <w:r w:rsidR="0079024F">
        <w:rPr>
          <w:bCs/>
          <w:iCs/>
        </w:rPr>
        <w:t>,</w:t>
      </w:r>
      <w:r w:rsidRPr="00375A13">
        <w:rPr>
          <w:bCs/>
          <w:iCs/>
        </w:rPr>
        <w:t xml:space="preserve"> </w:t>
      </w:r>
      <w:r w:rsidR="00D74E70">
        <w:rPr>
          <w:bCs/>
          <w:iCs/>
        </w:rPr>
        <w:t>Direcţia Generală</w:t>
      </w:r>
      <w:r w:rsidR="00D74E70" w:rsidRPr="00375A13">
        <w:rPr>
          <w:bCs/>
          <w:iCs/>
        </w:rPr>
        <w:t xml:space="preserve"> </w:t>
      </w:r>
      <w:r w:rsidRPr="00375A13">
        <w:rPr>
          <w:bCs/>
          <w:iCs/>
        </w:rPr>
        <w:t>Asisten</w:t>
      </w:r>
      <w:r w:rsidR="00D74E70">
        <w:rPr>
          <w:bCs/>
          <w:iCs/>
        </w:rPr>
        <w:t>ţă</w:t>
      </w:r>
      <w:r w:rsidRPr="00375A13">
        <w:rPr>
          <w:bCs/>
          <w:iCs/>
        </w:rPr>
        <w:t xml:space="preserve"> Tehnic</w:t>
      </w:r>
      <w:r w:rsidR="00D74E70">
        <w:rPr>
          <w:bCs/>
          <w:iCs/>
        </w:rPr>
        <w:t>ă</w:t>
      </w:r>
    </w:p>
    <w:p w:rsidR="003F636F" w:rsidRPr="00375A13" w:rsidRDefault="003F636F" w:rsidP="003F636F">
      <w:pPr>
        <w:numPr>
          <w:ilvl w:val="0"/>
          <w:numId w:val="20"/>
        </w:numPr>
        <w:spacing w:after="0" w:line="240" w:lineRule="auto"/>
        <w:jc w:val="both"/>
        <w:rPr>
          <w:bCs/>
          <w:iCs/>
        </w:rPr>
      </w:pPr>
      <w:r w:rsidRPr="00375A13">
        <w:rPr>
          <w:bCs/>
          <w:iCs/>
        </w:rPr>
        <w:t>Ministerul Fondu</w:t>
      </w:r>
      <w:r w:rsidR="0079024F">
        <w:rPr>
          <w:bCs/>
          <w:iCs/>
        </w:rPr>
        <w:t>rilor Europene,</w:t>
      </w:r>
      <w:r w:rsidRPr="00375A13">
        <w:rPr>
          <w:bCs/>
          <w:iCs/>
        </w:rPr>
        <w:t xml:space="preserve"> </w:t>
      </w:r>
      <w:r w:rsidR="00D74E70">
        <w:rPr>
          <w:bCs/>
          <w:iCs/>
        </w:rPr>
        <w:t>Direcţia Generală</w:t>
      </w:r>
      <w:r w:rsidR="00D74E70" w:rsidRPr="00375A13">
        <w:rPr>
          <w:bCs/>
          <w:iCs/>
        </w:rPr>
        <w:t xml:space="preserve"> </w:t>
      </w:r>
      <w:r w:rsidRPr="00375A13">
        <w:rPr>
          <w:bCs/>
          <w:iCs/>
        </w:rPr>
        <w:t>Programe Infrastructură Mare</w:t>
      </w:r>
    </w:p>
    <w:p w:rsidR="003F636F" w:rsidRPr="00375A13" w:rsidRDefault="003F636F" w:rsidP="003F636F">
      <w:pPr>
        <w:numPr>
          <w:ilvl w:val="0"/>
          <w:numId w:val="20"/>
        </w:numPr>
        <w:spacing w:after="0" w:line="240" w:lineRule="auto"/>
        <w:jc w:val="both"/>
        <w:rPr>
          <w:bCs/>
          <w:iCs/>
        </w:rPr>
      </w:pPr>
      <w:r w:rsidRPr="00375A13">
        <w:rPr>
          <w:bCs/>
          <w:iCs/>
        </w:rPr>
        <w:t>Ministerul Fondurilor Europene</w:t>
      </w:r>
      <w:r w:rsidR="0079024F">
        <w:rPr>
          <w:bCs/>
          <w:iCs/>
        </w:rPr>
        <w:t>,</w:t>
      </w:r>
      <w:r w:rsidRPr="00375A13">
        <w:rPr>
          <w:bCs/>
          <w:iCs/>
        </w:rPr>
        <w:t xml:space="preserve"> </w:t>
      </w:r>
      <w:r w:rsidR="00D74E70">
        <w:rPr>
          <w:bCs/>
          <w:iCs/>
        </w:rPr>
        <w:t>Direcţia Generală</w:t>
      </w:r>
      <w:r w:rsidR="00D74E70" w:rsidRPr="00375A13">
        <w:rPr>
          <w:bCs/>
          <w:iCs/>
        </w:rPr>
        <w:t xml:space="preserve"> </w:t>
      </w:r>
      <w:r w:rsidRPr="00375A13">
        <w:rPr>
          <w:bCs/>
          <w:iCs/>
        </w:rPr>
        <w:t>Programe Capital Uman</w:t>
      </w:r>
    </w:p>
    <w:p w:rsidR="003F636F" w:rsidRPr="00375A13" w:rsidRDefault="003F636F" w:rsidP="003F636F">
      <w:pPr>
        <w:numPr>
          <w:ilvl w:val="0"/>
          <w:numId w:val="20"/>
        </w:numPr>
        <w:spacing w:after="0" w:line="240" w:lineRule="auto"/>
        <w:jc w:val="both"/>
        <w:rPr>
          <w:bCs/>
          <w:iCs/>
        </w:rPr>
      </w:pPr>
      <w:r w:rsidRPr="00375A13">
        <w:rPr>
          <w:bCs/>
          <w:iCs/>
        </w:rPr>
        <w:t>Autoritatea de Management pentru Programul Operaţional Capacitate Administrativă</w:t>
      </w:r>
    </w:p>
    <w:p w:rsidR="003F636F" w:rsidRPr="00375A13" w:rsidRDefault="003F636F" w:rsidP="003F636F">
      <w:pPr>
        <w:numPr>
          <w:ilvl w:val="0"/>
          <w:numId w:val="20"/>
        </w:numPr>
        <w:spacing w:after="0" w:line="240" w:lineRule="auto"/>
        <w:jc w:val="both"/>
        <w:rPr>
          <w:bCs/>
          <w:iCs/>
        </w:rPr>
      </w:pPr>
      <w:r w:rsidRPr="00375A13">
        <w:rPr>
          <w:bCs/>
          <w:iCs/>
        </w:rPr>
        <w:t>Autoritatea de Management pentru Programul Operaţional Regional</w:t>
      </w:r>
    </w:p>
    <w:p w:rsidR="003F636F" w:rsidRPr="00375A13" w:rsidRDefault="003F636F" w:rsidP="003F636F">
      <w:pPr>
        <w:numPr>
          <w:ilvl w:val="0"/>
          <w:numId w:val="20"/>
        </w:numPr>
        <w:spacing w:after="0" w:line="240" w:lineRule="auto"/>
        <w:jc w:val="both"/>
        <w:rPr>
          <w:bCs/>
          <w:iCs/>
        </w:rPr>
      </w:pPr>
      <w:r w:rsidRPr="00375A13">
        <w:rPr>
          <w:bCs/>
          <w:iCs/>
        </w:rPr>
        <w:t xml:space="preserve">Autoritatea de Management pentru Programul Național de Dezvoltare Rurală </w:t>
      </w:r>
    </w:p>
    <w:p w:rsidR="003F636F" w:rsidRPr="00375A13" w:rsidRDefault="003F636F" w:rsidP="003F636F">
      <w:pPr>
        <w:numPr>
          <w:ilvl w:val="0"/>
          <w:numId w:val="20"/>
        </w:numPr>
        <w:spacing w:after="0" w:line="240" w:lineRule="auto"/>
        <w:jc w:val="both"/>
        <w:rPr>
          <w:bCs/>
          <w:iCs/>
        </w:rPr>
      </w:pPr>
      <w:r w:rsidRPr="00375A13">
        <w:rPr>
          <w:bCs/>
        </w:rPr>
        <w:t>Ministerul Fondurilor Europene, Direcţia Generală Mecanisme şi Instrumente Financiare Nerambursabile</w:t>
      </w:r>
      <w:r w:rsidRPr="00375A13">
        <w:rPr>
          <w:bCs/>
          <w:iCs/>
        </w:rPr>
        <w:t xml:space="preserve"> </w:t>
      </w:r>
    </w:p>
    <w:p w:rsidR="003F636F" w:rsidRPr="00375A13" w:rsidRDefault="003F636F" w:rsidP="003F636F">
      <w:pPr>
        <w:numPr>
          <w:ilvl w:val="0"/>
          <w:numId w:val="20"/>
        </w:numPr>
        <w:spacing w:after="0" w:line="240" w:lineRule="auto"/>
        <w:jc w:val="both"/>
        <w:rPr>
          <w:bCs/>
          <w:iCs/>
        </w:rPr>
      </w:pPr>
      <w:r w:rsidRPr="00375A13">
        <w:rPr>
          <w:bCs/>
        </w:rPr>
        <w:t>Ministerul Fondurilor Europene, Direcţia Generală de Analiză, Programare şi Evaluare</w:t>
      </w:r>
    </w:p>
    <w:p w:rsidR="003F636F" w:rsidRPr="00375A13" w:rsidRDefault="003F636F" w:rsidP="003F636F">
      <w:pPr>
        <w:numPr>
          <w:ilvl w:val="0"/>
          <w:numId w:val="20"/>
        </w:numPr>
        <w:spacing w:after="0" w:line="240" w:lineRule="auto"/>
        <w:jc w:val="both"/>
        <w:rPr>
          <w:bCs/>
          <w:iCs/>
        </w:rPr>
      </w:pPr>
      <w:r w:rsidRPr="00375A13">
        <w:rPr>
          <w:bCs/>
          <w:iCs/>
        </w:rPr>
        <w:lastRenderedPageBreak/>
        <w:t>Autoritatea Națională pentru Cercetare Științifică și Inovare, Organism Intermediar pentru Cercetare</w:t>
      </w:r>
    </w:p>
    <w:p w:rsidR="003F636F" w:rsidRPr="00375A13" w:rsidRDefault="003F636F" w:rsidP="003F636F">
      <w:pPr>
        <w:numPr>
          <w:ilvl w:val="0"/>
          <w:numId w:val="20"/>
        </w:numPr>
        <w:spacing w:after="0" w:line="240" w:lineRule="auto"/>
        <w:jc w:val="both"/>
        <w:rPr>
          <w:bCs/>
          <w:iCs/>
        </w:rPr>
      </w:pPr>
      <w:r w:rsidRPr="00375A13">
        <w:rPr>
          <w:bCs/>
          <w:iCs/>
        </w:rPr>
        <w:t>Ministerul pentru Societatatea Informationala, Organism Intermediar pentru Promovarea Societății Informaționale</w:t>
      </w:r>
    </w:p>
    <w:p w:rsidR="003F636F" w:rsidRPr="00375A13" w:rsidRDefault="003F636F" w:rsidP="003F636F">
      <w:pPr>
        <w:numPr>
          <w:ilvl w:val="0"/>
          <w:numId w:val="20"/>
        </w:numPr>
        <w:spacing w:after="0" w:line="240" w:lineRule="auto"/>
        <w:jc w:val="both"/>
        <w:rPr>
          <w:bCs/>
          <w:iCs/>
        </w:rPr>
      </w:pPr>
      <w:r w:rsidRPr="00375A13">
        <w:rPr>
          <w:bCs/>
        </w:rPr>
        <w:t>Ministerul pentru Societatea Informaţională</w:t>
      </w:r>
      <w:r w:rsidRPr="00375A13">
        <w:rPr>
          <w:bCs/>
          <w:iCs/>
        </w:rPr>
        <w:t>, Comitetul Tehnico-Economic CTE</w:t>
      </w:r>
    </w:p>
    <w:p w:rsidR="003F636F" w:rsidRPr="00375A13" w:rsidRDefault="003F636F" w:rsidP="003F636F">
      <w:pPr>
        <w:numPr>
          <w:ilvl w:val="0"/>
          <w:numId w:val="20"/>
        </w:numPr>
        <w:spacing w:after="0" w:line="240" w:lineRule="auto"/>
        <w:jc w:val="both"/>
        <w:rPr>
          <w:bCs/>
          <w:iCs/>
        </w:rPr>
      </w:pPr>
      <w:r w:rsidRPr="00375A13">
        <w:rPr>
          <w:bCs/>
          <w:iCs/>
        </w:rPr>
        <w:t>Ministerul Economiei, Comerţului şi Turismului</w:t>
      </w:r>
    </w:p>
    <w:p w:rsidR="003F636F" w:rsidRPr="00375A13" w:rsidRDefault="003F636F" w:rsidP="003F636F">
      <w:pPr>
        <w:numPr>
          <w:ilvl w:val="0"/>
          <w:numId w:val="20"/>
        </w:numPr>
        <w:spacing w:after="0" w:line="240" w:lineRule="auto"/>
        <w:jc w:val="both"/>
        <w:rPr>
          <w:bCs/>
          <w:iCs/>
        </w:rPr>
      </w:pPr>
      <w:r w:rsidRPr="00375A13">
        <w:rPr>
          <w:bCs/>
          <w:iCs/>
        </w:rPr>
        <w:t>Agenţia Naţională pentru Protecţia Mediului</w:t>
      </w:r>
    </w:p>
    <w:p w:rsidR="003F636F" w:rsidRPr="00375A13" w:rsidRDefault="003F636F" w:rsidP="003F636F">
      <w:pPr>
        <w:numPr>
          <w:ilvl w:val="0"/>
          <w:numId w:val="20"/>
        </w:numPr>
        <w:spacing w:after="0" w:line="240" w:lineRule="auto"/>
        <w:jc w:val="both"/>
        <w:rPr>
          <w:bCs/>
          <w:iCs/>
        </w:rPr>
      </w:pPr>
      <w:r w:rsidRPr="00375A13">
        <w:rPr>
          <w:bCs/>
          <w:iCs/>
        </w:rPr>
        <w:t>Ministerul Sănătăţi</w:t>
      </w:r>
    </w:p>
    <w:p w:rsidR="003F636F" w:rsidRPr="00375A13" w:rsidRDefault="001A5BE4" w:rsidP="003F636F">
      <w:pPr>
        <w:numPr>
          <w:ilvl w:val="0"/>
          <w:numId w:val="20"/>
        </w:numPr>
        <w:spacing w:after="0" w:line="240" w:lineRule="auto"/>
        <w:jc w:val="both"/>
        <w:rPr>
          <w:bCs/>
          <w:iCs/>
        </w:rPr>
      </w:pPr>
      <w:r>
        <w:rPr>
          <w:bCs/>
        </w:rPr>
        <w:t>Asociaţia Agenţ</w:t>
      </w:r>
      <w:r w:rsidR="003F636F" w:rsidRPr="00375A13">
        <w:rPr>
          <w:bCs/>
        </w:rPr>
        <w:t>iilor de Dezvoltare Regional</w:t>
      </w:r>
      <w:r w:rsidR="00E47C13">
        <w:rPr>
          <w:bCs/>
        </w:rPr>
        <w:t>ă d</w:t>
      </w:r>
      <w:r w:rsidR="003F636F" w:rsidRPr="00375A13">
        <w:rPr>
          <w:bCs/>
        </w:rPr>
        <w:t>in Romania ROREG</w:t>
      </w:r>
    </w:p>
    <w:p w:rsidR="003F636F" w:rsidRPr="00375A13" w:rsidRDefault="003F636F" w:rsidP="003F636F">
      <w:pPr>
        <w:numPr>
          <w:ilvl w:val="0"/>
          <w:numId w:val="20"/>
        </w:numPr>
        <w:spacing w:after="0" w:line="240" w:lineRule="auto"/>
        <w:jc w:val="both"/>
        <w:rPr>
          <w:bCs/>
          <w:iCs/>
        </w:rPr>
      </w:pPr>
      <w:r w:rsidRPr="00375A13">
        <w:rPr>
          <w:bCs/>
          <w:iCs/>
        </w:rPr>
        <w:t xml:space="preserve">Camera de Comerţ şi Industrie a României </w:t>
      </w:r>
    </w:p>
    <w:p w:rsidR="003F636F" w:rsidRPr="00375A13" w:rsidRDefault="003F636F" w:rsidP="003F636F">
      <w:pPr>
        <w:numPr>
          <w:ilvl w:val="0"/>
          <w:numId w:val="20"/>
        </w:numPr>
        <w:spacing w:after="0" w:line="240" w:lineRule="auto"/>
        <w:jc w:val="both"/>
        <w:rPr>
          <w:bCs/>
        </w:rPr>
      </w:pPr>
      <w:r w:rsidRPr="00375A13">
        <w:rPr>
          <w:bCs/>
        </w:rPr>
        <w:t>Patronatul Tinerilor Întreprinzători din România</w:t>
      </w:r>
    </w:p>
    <w:p w:rsidR="003F636F" w:rsidRPr="00375A13" w:rsidRDefault="003F636F" w:rsidP="003F636F">
      <w:pPr>
        <w:numPr>
          <w:ilvl w:val="0"/>
          <w:numId w:val="20"/>
        </w:numPr>
        <w:spacing w:after="0" w:line="240" w:lineRule="auto"/>
        <w:jc w:val="both"/>
        <w:rPr>
          <w:bCs/>
        </w:rPr>
      </w:pPr>
      <w:r w:rsidRPr="00375A13">
        <w:rPr>
          <w:bCs/>
        </w:rPr>
        <w:t>Asociaţia Oamenilor de Afaceri din România</w:t>
      </w:r>
    </w:p>
    <w:p w:rsidR="003F636F" w:rsidRPr="00375A13" w:rsidRDefault="003F636F" w:rsidP="003F636F">
      <w:pPr>
        <w:numPr>
          <w:ilvl w:val="0"/>
          <w:numId w:val="20"/>
        </w:numPr>
        <w:spacing w:after="0" w:line="240" w:lineRule="auto"/>
        <w:jc w:val="both"/>
        <w:rPr>
          <w:bCs/>
        </w:rPr>
      </w:pPr>
      <w:r w:rsidRPr="00375A13">
        <w:rPr>
          <w:bCs/>
        </w:rPr>
        <w:t xml:space="preserve">Confederaţia Sindicatelor Democratice din România </w:t>
      </w:r>
    </w:p>
    <w:p w:rsidR="003F636F" w:rsidRPr="00375A13" w:rsidRDefault="003F636F" w:rsidP="003F636F">
      <w:pPr>
        <w:numPr>
          <w:ilvl w:val="0"/>
          <w:numId w:val="20"/>
        </w:numPr>
        <w:spacing w:after="0" w:line="240" w:lineRule="auto"/>
        <w:jc w:val="both"/>
        <w:rPr>
          <w:bCs/>
        </w:rPr>
      </w:pPr>
      <w:r w:rsidRPr="00375A13">
        <w:rPr>
          <w:bCs/>
        </w:rPr>
        <w:t>Asociaţia Română a Băncilor</w:t>
      </w:r>
    </w:p>
    <w:p w:rsidR="003F636F" w:rsidRPr="00375A13" w:rsidRDefault="003F636F" w:rsidP="003F636F">
      <w:pPr>
        <w:numPr>
          <w:ilvl w:val="0"/>
          <w:numId w:val="20"/>
        </w:numPr>
        <w:spacing w:after="0" w:line="240" w:lineRule="auto"/>
        <w:jc w:val="both"/>
        <w:rPr>
          <w:bCs/>
        </w:rPr>
      </w:pPr>
      <w:r w:rsidRPr="00375A13">
        <w:rPr>
          <w:bCs/>
        </w:rPr>
        <w:t>Consiliul Naţional al Întreprinderilor Private Mici şi Mijlocii din România</w:t>
      </w:r>
    </w:p>
    <w:p w:rsidR="003F636F" w:rsidRPr="00375A13" w:rsidRDefault="003F636F" w:rsidP="003F636F">
      <w:pPr>
        <w:numPr>
          <w:ilvl w:val="0"/>
          <w:numId w:val="20"/>
        </w:numPr>
        <w:spacing w:after="0" w:line="240" w:lineRule="auto"/>
        <w:jc w:val="both"/>
        <w:rPr>
          <w:bCs/>
        </w:rPr>
      </w:pPr>
      <w:r w:rsidRPr="00375A13">
        <w:rPr>
          <w:bCs/>
        </w:rPr>
        <w:t>Organizaţia  Naţională a Persoanelor cu Handicap din România</w:t>
      </w:r>
    </w:p>
    <w:p w:rsidR="003F636F" w:rsidRPr="00375A13" w:rsidRDefault="003F636F" w:rsidP="003F636F">
      <w:pPr>
        <w:numPr>
          <w:ilvl w:val="0"/>
          <w:numId w:val="20"/>
        </w:numPr>
        <w:spacing w:after="0" w:line="240" w:lineRule="auto"/>
        <w:jc w:val="both"/>
        <w:rPr>
          <w:bCs/>
        </w:rPr>
      </w:pPr>
      <w:r w:rsidRPr="00375A13">
        <w:rPr>
          <w:bCs/>
        </w:rPr>
        <w:t>Consiliul Naţional pentru Combaterea Discriminării (CNCD)</w:t>
      </w:r>
    </w:p>
    <w:p w:rsidR="003F636F" w:rsidRPr="00375A13" w:rsidRDefault="003F636F" w:rsidP="003F636F">
      <w:pPr>
        <w:numPr>
          <w:ilvl w:val="0"/>
          <w:numId w:val="20"/>
        </w:numPr>
        <w:spacing w:after="0" w:line="240" w:lineRule="auto"/>
        <w:jc w:val="both"/>
        <w:rPr>
          <w:bCs/>
        </w:rPr>
      </w:pPr>
      <w:r w:rsidRPr="00375A13">
        <w:rPr>
          <w:bCs/>
        </w:rPr>
        <w:t>Patronatul  Român  din  Cercetare  </w:t>
      </w:r>
      <w:r w:rsidR="00E47C13">
        <w:rPr>
          <w:bCs/>
        </w:rPr>
        <w:t>ş</w:t>
      </w:r>
      <w:r w:rsidRPr="00375A13">
        <w:rPr>
          <w:bCs/>
        </w:rPr>
        <w:t>i  Proiectare</w:t>
      </w:r>
    </w:p>
    <w:p w:rsidR="003F636F" w:rsidRPr="00375A13" w:rsidRDefault="003F636F" w:rsidP="003F636F">
      <w:pPr>
        <w:numPr>
          <w:ilvl w:val="0"/>
          <w:numId w:val="20"/>
        </w:numPr>
        <w:spacing w:after="0" w:line="240" w:lineRule="auto"/>
        <w:jc w:val="both"/>
        <w:rPr>
          <w:bCs/>
        </w:rPr>
      </w:pPr>
      <w:r w:rsidRPr="00375A13">
        <w:rPr>
          <w:bCs/>
        </w:rPr>
        <w:t>Asociaţia Patronală a Industriei de Software şi Servicii (ANIS)</w:t>
      </w:r>
    </w:p>
    <w:p w:rsidR="003F636F" w:rsidRPr="00375A13" w:rsidRDefault="003F636F" w:rsidP="003F636F">
      <w:pPr>
        <w:numPr>
          <w:ilvl w:val="0"/>
          <w:numId w:val="20"/>
        </w:numPr>
        <w:spacing w:after="0" w:line="240" w:lineRule="auto"/>
        <w:jc w:val="both"/>
        <w:rPr>
          <w:bCs/>
        </w:rPr>
      </w:pPr>
      <w:r w:rsidRPr="00375A13">
        <w:rPr>
          <w:bCs/>
        </w:rPr>
        <w:t>Asociaţia Română pentru Industria Electronică şi Software (ARIES)</w:t>
      </w:r>
    </w:p>
    <w:p w:rsidR="003F636F" w:rsidRPr="00375A13" w:rsidRDefault="003F636F" w:rsidP="003F636F">
      <w:pPr>
        <w:numPr>
          <w:ilvl w:val="0"/>
          <w:numId w:val="20"/>
        </w:numPr>
        <w:spacing w:after="0" w:line="240" w:lineRule="auto"/>
        <w:jc w:val="both"/>
        <w:rPr>
          <w:bCs/>
        </w:rPr>
      </w:pPr>
      <w:r w:rsidRPr="00375A13">
        <w:rPr>
          <w:bCs/>
        </w:rPr>
        <w:t>Asociaţia Generală a Inginerilor din România (AGIR)</w:t>
      </w:r>
    </w:p>
    <w:p w:rsidR="003F636F" w:rsidRPr="00375A13" w:rsidRDefault="003F636F" w:rsidP="003F636F">
      <w:pPr>
        <w:numPr>
          <w:ilvl w:val="0"/>
          <w:numId w:val="20"/>
        </w:numPr>
        <w:spacing w:after="0" w:line="240" w:lineRule="auto"/>
        <w:jc w:val="both"/>
        <w:rPr>
          <w:bCs/>
        </w:rPr>
      </w:pPr>
      <w:r w:rsidRPr="00375A13">
        <w:rPr>
          <w:bCs/>
        </w:rPr>
        <w:t>Federaţia Naţională Sindicală Alma Mater</w:t>
      </w:r>
    </w:p>
    <w:p w:rsidR="003F636F" w:rsidRPr="00375A13" w:rsidRDefault="003F636F" w:rsidP="003F636F">
      <w:pPr>
        <w:numPr>
          <w:ilvl w:val="0"/>
          <w:numId w:val="20"/>
        </w:numPr>
        <w:spacing w:after="0" w:line="240" w:lineRule="auto"/>
        <w:jc w:val="both"/>
        <w:rPr>
          <w:bCs/>
        </w:rPr>
      </w:pPr>
      <w:r w:rsidRPr="00375A13">
        <w:rPr>
          <w:bCs/>
        </w:rPr>
        <w:t>Asociaţia pentru Tehnologia Informaţiei şi Comunicaţii din România (ATIC)</w:t>
      </w:r>
    </w:p>
    <w:p w:rsidR="003F636F" w:rsidRPr="00375A13" w:rsidRDefault="003F636F" w:rsidP="003F636F">
      <w:pPr>
        <w:numPr>
          <w:ilvl w:val="0"/>
          <w:numId w:val="20"/>
        </w:numPr>
        <w:spacing w:after="0" w:line="240" w:lineRule="auto"/>
        <w:jc w:val="both"/>
        <w:rPr>
          <w:bCs/>
        </w:rPr>
      </w:pPr>
      <w:r w:rsidRPr="00375A13">
        <w:rPr>
          <w:bCs/>
        </w:rPr>
        <w:t>Societatea Academică din România</w:t>
      </w:r>
    </w:p>
    <w:p w:rsidR="003F636F" w:rsidRPr="00375A13" w:rsidRDefault="003F636F" w:rsidP="003F636F">
      <w:pPr>
        <w:spacing w:after="0" w:line="240" w:lineRule="auto"/>
        <w:jc w:val="both"/>
        <w:rPr>
          <w:b/>
          <w:bCs/>
        </w:rPr>
      </w:pPr>
    </w:p>
    <w:p w:rsidR="003F636F" w:rsidRPr="00375A13" w:rsidRDefault="003F636F" w:rsidP="003F636F">
      <w:pPr>
        <w:spacing w:after="0" w:line="240" w:lineRule="auto"/>
        <w:jc w:val="both"/>
        <w:rPr>
          <w:b/>
          <w:bCs/>
        </w:rPr>
      </w:pPr>
      <w:r w:rsidRPr="00375A13">
        <w:rPr>
          <w:b/>
          <w:bCs/>
        </w:rPr>
        <w:t>Participanţi cu rol consultativ:</w:t>
      </w:r>
    </w:p>
    <w:p w:rsidR="003F636F" w:rsidRPr="00375A13" w:rsidRDefault="003F636F" w:rsidP="003F636F">
      <w:pPr>
        <w:numPr>
          <w:ilvl w:val="0"/>
          <w:numId w:val="21"/>
        </w:numPr>
        <w:spacing w:after="0" w:line="240" w:lineRule="auto"/>
        <w:jc w:val="both"/>
        <w:rPr>
          <w:bCs/>
          <w:iCs/>
        </w:rPr>
      </w:pPr>
      <w:r w:rsidRPr="00375A13">
        <w:rPr>
          <w:bCs/>
          <w:iCs/>
        </w:rPr>
        <w:t>Direcţiile Generale de specialitate ale Comisiei Europene (DG REGIO)</w:t>
      </w:r>
    </w:p>
    <w:p w:rsidR="003F636F" w:rsidRPr="00375A13" w:rsidRDefault="003F636F" w:rsidP="003F636F">
      <w:pPr>
        <w:spacing w:after="0" w:line="240" w:lineRule="auto"/>
        <w:ind w:left="720"/>
        <w:jc w:val="both"/>
        <w:rPr>
          <w:bCs/>
          <w:iCs/>
        </w:rPr>
      </w:pPr>
    </w:p>
    <w:p w:rsidR="003F636F" w:rsidRPr="00375A13" w:rsidRDefault="003F636F" w:rsidP="003F636F">
      <w:pPr>
        <w:spacing w:after="0" w:line="240" w:lineRule="auto"/>
        <w:jc w:val="both"/>
        <w:rPr>
          <w:b/>
          <w:bCs/>
          <w:iCs/>
        </w:rPr>
      </w:pPr>
      <w:r w:rsidRPr="00375A13">
        <w:rPr>
          <w:b/>
          <w:bCs/>
        </w:rPr>
        <w:t>Observatori:</w:t>
      </w:r>
    </w:p>
    <w:p w:rsidR="003F636F" w:rsidRPr="00375A13" w:rsidRDefault="003F636F" w:rsidP="003F636F">
      <w:pPr>
        <w:numPr>
          <w:ilvl w:val="0"/>
          <w:numId w:val="22"/>
        </w:numPr>
        <w:spacing w:after="0" w:line="240" w:lineRule="auto"/>
        <w:jc w:val="both"/>
        <w:rPr>
          <w:bCs/>
        </w:rPr>
      </w:pPr>
      <w:r w:rsidRPr="00375A13">
        <w:rPr>
          <w:bCs/>
        </w:rPr>
        <w:t>Fondul European de Investiţii</w:t>
      </w:r>
      <w:r w:rsidRPr="00375A13">
        <w:rPr>
          <w:bCs/>
          <w:iCs/>
        </w:rPr>
        <w:t xml:space="preserve"> </w:t>
      </w:r>
    </w:p>
    <w:p w:rsidR="003F636F" w:rsidRPr="00375A13" w:rsidRDefault="003F636F" w:rsidP="003F636F">
      <w:pPr>
        <w:numPr>
          <w:ilvl w:val="0"/>
          <w:numId w:val="22"/>
        </w:numPr>
        <w:spacing w:after="0" w:line="240" w:lineRule="auto"/>
        <w:jc w:val="both"/>
        <w:rPr>
          <w:bCs/>
        </w:rPr>
      </w:pPr>
      <w:r w:rsidRPr="00375A13">
        <w:rPr>
          <w:bCs/>
        </w:rPr>
        <w:t>Banca Europeană de Investiţii</w:t>
      </w:r>
    </w:p>
    <w:p w:rsidR="003F636F" w:rsidRPr="00375A13" w:rsidRDefault="003F636F" w:rsidP="003F636F">
      <w:pPr>
        <w:numPr>
          <w:ilvl w:val="0"/>
          <w:numId w:val="22"/>
        </w:numPr>
        <w:spacing w:after="0" w:line="240" w:lineRule="auto"/>
        <w:jc w:val="both"/>
        <w:rPr>
          <w:bCs/>
          <w:iCs/>
        </w:rPr>
      </w:pPr>
      <w:r w:rsidRPr="00375A13">
        <w:rPr>
          <w:bCs/>
          <w:iCs/>
        </w:rPr>
        <w:t>Autoritatea de Audit</w:t>
      </w:r>
    </w:p>
    <w:p w:rsidR="003F636F" w:rsidRPr="00375A13" w:rsidRDefault="003F636F" w:rsidP="003F636F">
      <w:pPr>
        <w:numPr>
          <w:ilvl w:val="0"/>
          <w:numId w:val="22"/>
        </w:numPr>
        <w:spacing w:after="0" w:line="240" w:lineRule="auto"/>
        <w:jc w:val="both"/>
        <w:rPr>
          <w:bCs/>
          <w:iCs/>
        </w:rPr>
      </w:pPr>
      <w:r w:rsidRPr="00375A13">
        <w:rPr>
          <w:bCs/>
          <w:iCs/>
        </w:rPr>
        <w:t>Consiliul Concurenţei</w:t>
      </w:r>
    </w:p>
    <w:p w:rsidR="003F636F" w:rsidRPr="00375A13" w:rsidRDefault="003F636F" w:rsidP="003F636F">
      <w:pPr>
        <w:numPr>
          <w:ilvl w:val="0"/>
          <w:numId w:val="22"/>
        </w:numPr>
        <w:spacing w:after="0" w:line="240" w:lineRule="auto"/>
        <w:jc w:val="both"/>
        <w:rPr>
          <w:bCs/>
        </w:rPr>
      </w:pPr>
      <w:r w:rsidRPr="00375A13">
        <w:rPr>
          <w:bCs/>
        </w:rPr>
        <w:t>Autoritatea Naţională pentru Reglementarea şi Monitorizarea Achiziţiilor Publice (ANRMAP)</w:t>
      </w:r>
    </w:p>
    <w:p w:rsidR="003F636F" w:rsidRPr="00375A13" w:rsidRDefault="003F636F" w:rsidP="003F636F">
      <w:pPr>
        <w:numPr>
          <w:ilvl w:val="0"/>
          <w:numId w:val="22"/>
        </w:numPr>
        <w:spacing w:after="0" w:line="240" w:lineRule="auto"/>
        <w:jc w:val="both"/>
        <w:rPr>
          <w:bCs/>
        </w:rPr>
      </w:pPr>
      <w:r w:rsidRPr="00375A13">
        <w:rPr>
          <w:bCs/>
        </w:rPr>
        <w:t>Autoritatea Naţională pentru Administrare şi Reglementare în Comunicaţii  (ANCOM)</w:t>
      </w:r>
    </w:p>
    <w:p w:rsidR="003F636F" w:rsidRPr="00375A13" w:rsidRDefault="003F636F" w:rsidP="003F636F">
      <w:pPr>
        <w:numPr>
          <w:ilvl w:val="0"/>
          <w:numId w:val="22"/>
        </w:numPr>
        <w:spacing w:after="0" w:line="240" w:lineRule="auto"/>
        <w:jc w:val="both"/>
        <w:rPr>
          <w:bCs/>
        </w:rPr>
      </w:pPr>
      <w:r w:rsidRPr="00375A13">
        <w:rPr>
          <w:bCs/>
        </w:rPr>
        <w:t>Asociaţia Consultanţilor în Management în România (AMCOR)</w:t>
      </w:r>
    </w:p>
    <w:p w:rsidR="003F636F" w:rsidRPr="00375A13" w:rsidRDefault="003F636F" w:rsidP="003F636F">
      <w:pPr>
        <w:numPr>
          <w:ilvl w:val="0"/>
          <w:numId w:val="22"/>
        </w:numPr>
        <w:spacing w:after="0" w:line="240" w:lineRule="auto"/>
        <w:jc w:val="both"/>
      </w:pPr>
      <w:r w:rsidRPr="00375A13">
        <w:rPr>
          <w:bCs/>
        </w:rPr>
        <w:t>Asociaţia pentru dezvoltare intercomunitară ITI Delta Dunării</w:t>
      </w:r>
    </w:p>
    <w:p w:rsidR="003F636F" w:rsidRPr="00375A13" w:rsidRDefault="003F636F" w:rsidP="003F636F">
      <w:pPr>
        <w:numPr>
          <w:ilvl w:val="0"/>
          <w:numId w:val="22"/>
        </w:numPr>
        <w:spacing w:after="0" w:line="240" w:lineRule="auto"/>
        <w:jc w:val="both"/>
      </w:pPr>
      <w:r w:rsidRPr="00375A13">
        <w:rPr>
          <w:bCs/>
          <w:iCs/>
        </w:rPr>
        <w:t>Ministerul Finanţelor Publice - Autoritatea de Certificare şi Plată</w:t>
      </w:r>
    </w:p>
    <w:p w:rsidR="005864ED" w:rsidRDefault="005864ED" w:rsidP="003F636F">
      <w:pPr>
        <w:spacing w:after="0" w:line="240" w:lineRule="auto"/>
        <w:jc w:val="both"/>
        <w:rPr>
          <w:b/>
        </w:rPr>
      </w:pPr>
    </w:p>
    <w:p w:rsidR="003F636F" w:rsidRPr="00375A13" w:rsidRDefault="003F636F" w:rsidP="003F636F">
      <w:pPr>
        <w:spacing w:after="0" w:line="240" w:lineRule="auto"/>
        <w:jc w:val="both"/>
        <w:rPr>
          <w:b/>
        </w:rPr>
      </w:pPr>
      <w:r w:rsidRPr="00375A13">
        <w:rPr>
          <w:b/>
        </w:rPr>
        <w:t>Reuniuni CM POC 2015</w:t>
      </w:r>
    </w:p>
    <w:p w:rsidR="003F636F" w:rsidRPr="00375A13" w:rsidRDefault="003F636F" w:rsidP="003F636F">
      <w:pPr>
        <w:spacing w:after="0" w:line="240" w:lineRule="auto"/>
        <w:ind w:firstLine="708"/>
        <w:jc w:val="both"/>
      </w:pPr>
      <w:r w:rsidRPr="00375A13">
        <w:t>Pe parcursul anului 2015 au avut loc două întâlniri ale Comitetului de Monitorizare al Programului</w:t>
      </w:r>
      <w:r w:rsidR="005864ED">
        <w:t xml:space="preserve"> Operaţional Competitivitate</w:t>
      </w:r>
      <w:r>
        <w:t xml:space="preserve"> (25 februarie </w:t>
      </w:r>
      <w:r w:rsidRPr="00375A13">
        <w:t>2015, respectiv 11.06.2015).</w:t>
      </w:r>
    </w:p>
    <w:p w:rsidR="003F636F" w:rsidRPr="00375A13" w:rsidRDefault="003F636F" w:rsidP="003F636F">
      <w:pPr>
        <w:spacing w:after="0" w:line="240" w:lineRule="auto"/>
        <w:jc w:val="both"/>
      </w:pPr>
    </w:p>
    <w:p w:rsidR="003F636F" w:rsidRPr="00375A13" w:rsidRDefault="003F636F" w:rsidP="003F636F">
      <w:pPr>
        <w:spacing w:after="0" w:line="240" w:lineRule="auto"/>
        <w:ind w:firstLine="708"/>
        <w:jc w:val="both"/>
      </w:pPr>
      <w:r w:rsidRPr="00375A13">
        <w:t>În cadrul primei reuniuni oficiale a CM POC s-au dezbătut şi aprobat următoarele documente:</w:t>
      </w:r>
    </w:p>
    <w:p w:rsidR="003F636F" w:rsidRPr="00375A13" w:rsidRDefault="003F636F" w:rsidP="003F636F">
      <w:pPr>
        <w:pStyle w:val="ListParagraph"/>
        <w:numPr>
          <w:ilvl w:val="0"/>
          <w:numId w:val="2"/>
        </w:numPr>
        <w:spacing w:after="0" w:line="240" w:lineRule="auto"/>
        <w:jc w:val="both"/>
      </w:pPr>
      <w:r w:rsidRPr="00375A13">
        <w:t>Regulamentul de Organizare şi Funcţionare a CM POC şi Codul de Conduită;</w:t>
      </w:r>
    </w:p>
    <w:p w:rsidR="003F636F" w:rsidRPr="00375A13" w:rsidRDefault="003F636F" w:rsidP="003F636F">
      <w:pPr>
        <w:pStyle w:val="ListParagraph"/>
        <w:numPr>
          <w:ilvl w:val="0"/>
          <w:numId w:val="2"/>
        </w:numPr>
        <w:spacing w:after="0" w:line="240" w:lineRule="auto"/>
        <w:jc w:val="both"/>
      </w:pPr>
      <w:r w:rsidRPr="00375A13">
        <w:t>Metodologia de evaluare şi selecţie a propunerilor de proiecte pentru POC.</w:t>
      </w:r>
    </w:p>
    <w:p w:rsidR="003F636F" w:rsidRPr="00375A13" w:rsidRDefault="003F636F" w:rsidP="003F636F">
      <w:pPr>
        <w:pStyle w:val="ListParagraph"/>
        <w:spacing w:after="0" w:line="240" w:lineRule="auto"/>
        <w:ind w:left="1636"/>
        <w:jc w:val="both"/>
      </w:pPr>
    </w:p>
    <w:p w:rsidR="003F636F" w:rsidRPr="00375A13" w:rsidRDefault="003F636F" w:rsidP="003F636F">
      <w:pPr>
        <w:spacing w:after="0" w:line="240" w:lineRule="auto"/>
        <w:ind w:firstLine="708"/>
        <w:jc w:val="both"/>
      </w:pPr>
      <w:r w:rsidRPr="00375A13">
        <w:t>În data de 11 iunie 2015 s-a desfăşurat la Bucureşti, la sediul Ministerului Fondurilor Europene, a doua reuniune a Comitetului de Monitorizare a Programului Operaţional Competitivitate.</w:t>
      </w:r>
    </w:p>
    <w:p w:rsidR="005864ED" w:rsidRDefault="005864ED" w:rsidP="003F636F">
      <w:pPr>
        <w:spacing w:after="0" w:line="240" w:lineRule="auto"/>
        <w:jc w:val="both"/>
      </w:pPr>
    </w:p>
    <w:p w:rsidR="003F636F" w:rsidRPr="00375A13" w:rsidRDefault="003F636F" w:rsidP="005864ED">
      <w:pPr>
        <w:spacing w:after="0" w:line="240" w:lineRule="auto"/>
        <w:ind w:firstLine="708"/>
        <w:jc w:val="both"/>
      </w:pPr>
      <w:r w:rsidRPr="00375A13">
        <w:t>În cadrul celei de-a doua reuniuni s-au dezbătut şi aprobat următoarele documente:</w:t>
      </w:r>
    </w:p>
    <w:p w:rsidR="003F636F" w:rsidRPr="00375A13" w:rsidRDefault="003F636F" w:rsidP="003F636F">
      <w:pPr>
        <w:pStyle w:val="ListParagraph"/>
        <w:numPr>
          <w:ilvl w:val="0"/>
          <w:numId w:val="2"/>
        </w:numPr>
        <w:spacing w:after="0" w:line="240" w:lineRule="auto"/>
        <w:jc w:val="both"/>
      </w:pPr>
      <w:r w:rsidRPr="00375A13">
        <w:t>Minuta reuniunii CM POC din data de 25 februarie 2015;</w:t>
      </w:r>
    </w:p>
    <w:p w:rsidR="003F636F" w:rsidRPr="00375A13" w:rsidRDefault="003F636F" w:rsidP="003F636F">
      <w:pPr>
        <w:pStyle w:val="ListParagraph"/>
        <w:numPr>
          <w:ilvl w:val="0"/>
          <w:numId w:val="2"/>
        </w:numPr>
        <w:spacing w:after="0" w:line="240" w:lineRule="auto"/>
        <w:jc w:val="both"/>
      </w:pPr>
      <w:r w:rsidRPr="00375A13">
        <w:lastRenderedPageBreak/>
        <w:t>Modificare ROF CM POC;</w:t>
      </w:r>
    </w:p>
    <w:p w:rsidR="003F636F" w:rsidRDefault="003F636F" w:rsidP="003F636F">
      <w:pPr>
        <w:pStyle w:val="ListParagraph"/>
        <w:numPr>
          <w:ilvl w:val="0"/>
          <w:numId w:val="2"/>
        </w:numPr>
        <w:spacing w:after="0" w:line="240" w:lineRule="auto"/>
        <w:jc w:val="both"/>
      </w:pPr>
      <w:r w:rsidRPr="00375A13">
        <w:t>Calendarul lansărilor pentru Axa Prioritară 1 „Cercetare, dezvoltare tehnologică şi inovare (CDI) în sprijinul competitivităţii economice şi dezvoltării afacerilor”</w:t>
      </w:r>
      <w:r w:rsidR="005864ED">
        <w:t>.</w:t>
      </w:r>
    </w:p>
    <w:p w:rsidR="003F636F" w:rsidRDefault="003F636F" w:rsidP="003F636F">
      <w:pPr>
        <w:spacing w:after="0" w:line="240" w:lineRule="auto"/>
        <w:jc w:val="both"/>
        <w:rPr>
          <w:b/>
        </w:rPr>
      </w:pPr>
    </w:p>
    <w:p w:rsidR="003F636F" w:rsidRPr="00375A13" w:rsidRDefault="003F636F" w:rsidP="003F636F">
      <w:pPr>
        <w:spacing w:after="0" w:line="240" w:lineRule="auto"/>
        <w:jc w:val="both"/>
      </w:pPr>
      <w:r w:rsidRPr="00294D3B">
        <w:rPr>
          <w:b/>
        </w:rPr>
        <w:t>Informaţii privind evoluţia Programului Operaraţional Competitivitate</w:t>
      </w:r>
    </w:p>
    <w:p w:rsidR="003F636F" w:rsidRPr="00375A13" w:rsidRDefault="003F636F" w:rsidP="003F636F">
      <w:pPr>
        <w:spacing w:after="0" w:line="240" w:lineRule="auto"/>
        <w:jc w:val="both"/>
        <w:rPr>
          <w:b/>
        </w:rPr>
      </w:pPr>
    </w:p>
    <w:p w:rsidR="003F636F" w:rsidRPr="00375A13" w:rsidRDefault="00970E00" w:rsidP="003F636F">
      <w:pPr>
        <w:spacing w:after="0" w:line="240" w:lineRule="auto"/>
        <w:ind w:firstLine="708"/>
        <w:jc w:val="both"/>
      </w:pPr>
      <w:r>
        <w:t>În a</w:t>
      </w:r>
      <w:r w:rsidR="003F636F" w:rsidRPr="00375A13">
        <w:t>nul 2015 a început procesul de pregatire al ghidurilor pen</w:t>
      </w:r>
      <w:r>
        <w:t>tru beneficiari pentru cele două</w:t>
      </w:r>
      <w:r w:rsidR="003F636F" w:rsidRPr="00375A13">
        <w:t xml:space="preserve"> axe prioritare, cu următoarele acţiuni: </w:t>
      </w:r>
    </w:p>
    <w:p w:rsidR="003F636F" w:rsidRPr="00375A13" w:rsidRDefault="003F636F" w:rsidP="003F636F">
      <w:pPr>
        <w:spacing w:after="0" w:line="240" w:lineRule="auto"/>
        <w:ind w:firstLine="708"/>
        <w:jc w:val="both"/>
      </w:pPr>
      <w:r w:rsidRPr="00375A13">
        <w:t>Pentru Axa Prioritara I – Ghidul unic ela</w:t>
      </w:r>
      <w:r>
        <w:t xml:space="preserve">borat pentru 7 sectiuni a fost </w:t>
      </w:r>
      <w:r w:rsidRPr="00375A13">
        <w:t>supus consult</w:t>
      </w:r>
      <w:r>
        <w:t xml:space="preserve">ării publice în două sesiuni şi au fost </w:t>
      </w:r>
      <w:r w:rsidRPr="00375A13">
        <w:t xml:space="preserve">organizate mai multe întâlniri cu potenţialii beneficiari. </w:t>
      </w:r>
    </w:p>
    <w:p w:rsidR="003F636F" w:rsidRPr="00375A13" w:rsidRDefault="003F636F" w:rsidP="003F636F">
      <w:pPr>
        <w:spacing w:after="0" w:line="240" w:lineRule="auto"/>
        <w:ind w:firstLine="708"/>
        <w:jc w:val="both"/>
      </w:pPr>
      <w:r w:rsidRPr="00375A13">
        <w:t xml:space="preserve">Astfel, în data de 27 iunie 2015 a fost lansat ghidul unic al solicitantului cu 7 secţiuni: 5 secţiuni cu termen limită de depunere august 2015, 1 secţiune cu termen limită de depunere septembrie 2015 şi 1 secţiune cu </w:t>
      </w:r>
      <w:r>
        <w:t>depunere continuă, după</w:t>
      </w:r>
      <w:r w:rsidRPr="00375A13">
        <w:t xml:space="preserve"> cum urmează:</w:t>
      </w:r>
    </w:p>
    <w:p w:rsidR="003F636F" w:rsidRPr="00375A13" w:rsidRDefault="003F636F" w:rsidP="003F636F">
      <w:pPr>
        <w:pStyle w:val="ListParagraph"/>
        <w:numPr>
          <w:ilvl w:val="0"/>
          <w:numId w:val="23"/>
        </w:numPr>
        <w:spacing w:after="0"/>
        <w:jc w:val="both"/>
      </w:pPr>
      <w:r w:rsidRPr="00375A13">
        <w:t>Acțiunea 1.1.1 Mari infrastructuri de Cercetare Dezvoltare - Tip proiect: Investiții pentru departamentele de CD ale întreprinderilor – Secțiunea A. Buget apel:</w:t>
      </w:r>
      <w:r w:rsidRPr="00375A13">
        <w:rPr>
          <w:b/>
        </w:rPr>
        <w:t xml:space="preserve"> 29.8 mil. Euro.</w:t>
      </w:r>
    </w:p>
    <w:p w:rsidR="003F636F" w:rsidRPr="00375A13" w:rsidRDefault="003F636F" w:rsidP="003F636F">
      <w:pPr>
        <w:pStyle w:val="ListParagraph"/>
        <w:numPr>
          <w:ilvl w:val="0"/>
          <w:numId w:val="23"/>
        </w:numPr>
        <w:spacing w:after="0"/>
        <w:jc w:val="both"/>
      </w:pPr>
      <w:r w:rsidRPr="00375A13">
        <w:t xml:space="preserve">Acțiunea 1.1.1 Mari infrastructuri de Cercetare Dezvoltare – Tip proiect: Proiecte pentru clustere de inovare – Secţiunea B. </w:t>
      </w:r>
      <w:r w:rsidRPr="00375A13">
        <w:rPr>
          <w:b/>
        </w:rPr>
        <w:t>Buget apel: 35.8 mil. Euro.</w:t>
      </w:r>
    </w:p>
    <w:p w:rsidR="003F636F" w:rsidRPr="00375A13" w:rsidRDefault="003F636F" w:rsidP="003F636F">
      <w:pPr>
        <w:pStyle w:val="ListParagraph"/>
        <w:numPr>
          <w:ilvl w:val="0"/>
          <w:numId w:val="23"/>
        </w:numPr>
        <w:spacing w:after="0"/>
        <w:jc w:val="both"/>
      </w:pPr>
      <w:r w:rsidRPr="00375A13">
        <w:t xml:space="preserve">Acțiunea 1.1.1 Mari infrastructuri de Cercetare Dezvoltare – Tip proiect: Proiecte de investiții pentru instituții publice de CD/universități – Secțiunea F. </w:t>
      </w:r>
      <w:r w:rsidRPr="00375A13">
        <w:rPr>
          <w:b/>
        </w:rPr>
        <w:t>Buget apel: 83.5 mil. Euro.</w:t>
      </w:r>
    </w:p>
    <w:p w:rsidR="003F636F" w:rsidRPr="00375A13" w:rsidRDefault="003F636F" w:rsidP="003F636F">
      <w:pPr>
        <w:pStyle w:val="ListParagraph"/>
        <w:numPr>
          <w:ilvl w:val="0"/>
          <w:numId w:val="23"/>
        </w:numPr>
        <w:spacing w:after="0"/>
        <w:jc w:val="both"/>
        <w:rPr>
          <w:b/>
        </w:rPr>
      </w:pPr>
      <w:r w:rsidRPr="00375A13">
        <w:t xml:space="preserve">Acțiunea 1.1.4 Atragerea de personal cu competențe avansate din străinătate pentru consolidarea capacității de cercetare-dezvoltare – Tip proiect: Proiecte CD pentru atragerea de personal cu competențe avansate din străinătate – Secțiunea E. </w:t>
      </w:r>
      <w:r w:rsidRPr="00375A13">
        <w:rPr>
          <w:b/>
        </w:rPr>
        <w:t>Buget apel: 97.4 mi</w:t>
      </w:r>
      <w:r>
        <w:rPr>
          <w:b/>
        </w:rPr>
        <w:t>l</w:t>
      </w:r>
      <w:r w:rsidRPr="00375A13">
        <w:rPr>
          <w:b/>
        </w:rPr>
        <w:t>. Euro.</w:t>
      </w:r>
    </w:p>
    <w:p w:rsidR="003F636F" w:rsidRPr="00375A13" w:rsidRDefault="003F636F" w:rsidP="003F636F">
      <w:pPr>
        <w:pStyle w:val="ListParagraph"/>
        <w:numPr>
          <w:ilvl w:val="0"/>
          <w:numId w:val="23"/>
        </w:numPr>
        <w:spacing w:after="0"/>
        <w:jc w:val="both"/>
      </w:pPr>
      <w:r w:rsidRPr="00375A13">
        <w:t>Acțiunea 1.2.1. Stimularea cererii întreprinderilor pentru inovare prin proiecte de CDI derulate de întreprinderi individual sau în parteneriat cu institutele de CD și universități, în scopul inovării de</w:t>
      </w:r>
      <w:r>
        <w:t xml:space="preserve"> </w:t>
      </w:r>
      <w:r w:rsidRPr="00375A13">
        <w:t xml:space="preserve">procese și de produse în sectoarele economice care prezintă potențial de creștere – Tip proiect: Întreprinderi inovatoare de tip start-up şi spin-off – Secțiunea C – apel cu depunere continuă. </w:t>
      </w:r>
      <w:r w:rsidRPr="00375A13">
        <w:rPr>
          <w:b/>
        </w:rPr>
        <w:t>Buget apel: 17.9 mil. Euro.</w:t>
      </w:r>
    </w:p>
    <w:p w:rsidR="003F636F" w:rsidRPr="00375A13" w:rsidRDefault="003F636F" w:rsidP="003F636F">
      <w:pPr>
        <w:pStyle w:val="ListParagraph"/>
        <w:numPr>
          <w:ilvl w:val="0"/>
          <w:numId w:val="23"/>
        </w:numPr>
        <w:spacing w:after="0"/>
        <w:jc w:val="both"/>
      </w:pPr>
      <w:r w:rsidRPr="00375A13">
        <w:t>Acțiunea 1.2.1: Stimularea cererii întreprinderilor pentru inovare prin proiecte d</w:t>
      </w:r>
      <w:r w:rsidR="00707FA1">
        <w:t xml:space="preserve">e CDI derulate de întreprinderi, </w:t>
      </w:r>
      <w:r w:rsidRPr="00375A13">
        <w:t>individual sau în parteneriat cu institutele de CD și universități, în scopul inovării de procese și de produse în sectoarele economice care prezintă potențial de creștere – Tip proiect: Întreprinderi nou-înființate inovatoare care vizează i</w:t>
      </w:r>
      <w:r>
        <w:t xml:space="preserve">novare de produs sau de proces – </w:t>
      </w:r>
      <w:r w:rsidRPr="00375A13">
        <w:t xml:space="preserve">Secțiunea D. </w:t>
      </w:r>
      <w:r w:rsidRPr="00375A13">
        <w:rPr>
          <w:b/>
        </w:rPr>
        <w:t>Buget apel: 23.8 mil. Euro.</w:t>
      </w:r>
    </w:p>
    <w:p w:rsidR="003F636F" w:rsidRPr="00375A13" w:rsidRDefault="003F636F" w:rsidP="003F636F">
      <w:pPr>
        <w:pStyle w:val="ListParagraph"/>
        <w:numPr>
          <w:ilvl w:val="0"/>
          <w:numId w:val="23"/>
        </w:numPr>
        <w:spacing w:after="0"/>
        <w:jc w:val="both"/>
      </w:pPr>
      <w:r w:rsidRPr="00375A13">
        <w:t xml:space="preserve">Acțiunea 1.2.3 Parteneriate pentru transfer de cunoștințe – Tip proiect: Parteneriate pentru transfer de cunoștințe – Secțiunea G. </w:t>
      </w:r>
      <w:r w:rsidRPr="00375A13">
        <w:rPr>
          <w:b/>
        </w:rPr>
        <w:t>Buget apel: 107.4 mil. Euro.</w:t>
      </w:r>
    </w:p>
    <w:p w:rsidR="003F636F" w:rsidRPr="00375A13" w:rsidRDefault="003F636F" w:rsidP="003F636F">
      <w:pPr>
        <w:spacing w:after="0"/>
        <w:ind w:firstLine="360"/>
        <w:jc w:val="both"/>
      </w:pPr>
      <w:r w:rsidRPr="00375A13">
        <w:t xml:space="preserve">În anul 2015 pentru Axa Prioritara 1 au fost lansate apeluri în valoare de </w:t>
      </w:r>
      <w:r w:rsidRPr="00375A13">
        <w:rPr>
          <w:b/>
        </w:rPr>
        <w:t>395.8 mil. Euro</w:t>
      </w:r>
      <w:r w:rsidRPr="00375A13">
        <w:t xml:space="preserve"> (FEDR+BS), reprezentând </w:t>
      </w:r>
      <w:r w:rsidRPr="00375A13">
        <w:rPr>
          <w:b/>
        </w:rPr>
        <w:t>25%</w:t>
      </w:r>
      <w:r>
        <w:t xml:space="preserve"> din totalul </w:t>
      </w:r>
      <w:r w:rsidRPr="00375A13">
        <w:t>alocat pentru Programului Operaţional Competitivitate.</w:t>
      </w:r>
    </w:p>
    <w:p w:rsidR="003F636F" w:rsidRPr="00375A13" w:rsidRDefault="003F636F" w:rsidP="003F636F">
      <w:pPr>
        <w:spacing w:after="0" w:line="240" w:lineRule="auto"/>
        <w:ind w:firstLine="360"/>
        <w:jc w:val="both"/>
      </w:pPr>
      <w:r w:rsidRPr="00375A13">
        <w:t>Pentru 5 secţiuni s-a fi</w:t>
      </w:r>
      <w:r>
        <w:t xml:space="preserve">nalizat procesul de </w:t>
      </w:r>
      <w:r w:rsidRPr="00375A13">
        <w:t>evaluare, listele preliminare fiind publicate, urmând ca la începutul anului 2016 să fie publicate rezultatele finale.</w:t>
      </w:r>
    </w:p>
    <w:p w:rsidR="003F636F" w:rsidRPr="00375A13" w:rsidRDefault="003F636F" w:rsidP="003F636F">
      <w:r w:rsidRPr="00375A13">
        <w:br w:type="page"/>
      </w:r>
    </w:p>
    <w:p w:rsidR="003F636F" w:rsidRPr="00375A13" w:rsidRDefault="003F636F" w:rsidP="003F636F">
      <w:pPr>
        <w:spacing w:after="0" w:line="240" w:lineRule="auto"/>
        <w:jc w:val="both"/>
      </w:pPr>
    </w:p>
    <w:p w:rsidR="003F636F" w:rsidRPr="00375A13" w:rsidRDefault="003F636F" w:rsidP="003F636F">
      <w:pPr>
        <w:spacing w:after="0" w:line="240" w:lineRule="auto"/>
        <w:jc w:val="both"/>
      </w:pPr>
      <w:r w:rsidRPr="00375A13">
        <w:rPr>
          <w:b/>
          <w:bCs/>
        </w:rPr>
        <w:t xml:space="preserve">Răspunsul pieței la bugetul lansat (2015) Axa 1 POC </w:t>
      </w:r>
    </w:p>
    <w:p w:rsidR="003F636F" w:rsidRPr="00375A13" w:rsidRDefault="003F636F" w:rsidP="003F636F">
      <w:pPr>
        <w:spacing w:after="0" w:line="240" w:lineRule="auto"/>
        <w:jc w:val="center"/>
      </w:pPr>
      <w:r w:rsidRPr="00375A13">
        <w:rPr>
          <w:noProof/>
          <w:lang w:eastAsia="ro-RO"/>
        </w:rPr>
        <w:drawing>
          <wp:inline distT="0" distB="0" distL="0" distR="0" wp14:anchorId="6D40E7E5" wp14:editId="6E0D3340">
            <wp:extent cx="3209925" cy="2447925"/>
            <wp:effectExtent l="0" t="0" r="9525" b="952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2" w:name="_GoBack"/>
      <w:bookmarkEnd w:id="2"/>
      <w:r w:rsidRPr="00375A13">
        <w:rPr>
          <w:noProof/>
          <w:lang w:eastAsia="ro-RO"/>
        </w:rPr>
        <w:drawing>
          <wp:inline distT="0" distB="0" distL="0" distR="0" wp14:anchorId="0B741038" wp14:editId="7E9EF275">
            <wp:extent cx="3209925" cy="2817059"/>
            <wp:effectExtent l="0" t="0" r="9525" b="254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636F" w:rsidRPr="00375A13" w:rsidRDefault="003F636F" w:rsidP="003F636F">
      <w:pPr>
        <w:spacing w:after="0" w:line="240" w:lineRule="auto"/>
        <w:jc w:val="both"/>
      </w:pPr>
    </w:p>
    <w:p w:rsidR="003F636F" w:rsidRPr="00375A13" w:rsidRDefault="003F636F" w:rsidP="00970E00">
      <w:pPr>
        <w:pStyle w:val="Heading1"/>
        <w:jc w:val="both"/>
        <w:rPr>
          <w:lang w:val="ro-RO"/>
        </w:rPr>
      </w:pPr>
      <w:r w:rsidRPr="00375A13">
        <w:rPr>
          <w:lang w:val="ro-RO"/>
        </w:rPr>
        <w:t>În cadrul ac</w:t>
      </w:r>
      <w:r w:rsidR="00FA7509">
        <w:rPr>
          <w:lang w:val="ro-RO"/>
        </w:rPr>
        <w:t>estor apeluri au fost depuse 546</w:t>
      </w:r>
      <w:r w:rsidRPr="00375A13">
        <w:rPr>
          <w:lang w:val="ro-RO"/>
        </w:rPr>
        <w:t xml:space="preserve"> proiecte în valoare totală</w:t>
      </w:r>
      <w:r>
        <w:rPr>
          <w:lang w:val="ro-RO"/>
        </w:rPr>
        <w:t xml:space="preserve"> de aprox. 1,67 miliarde euro. </w:t>
      </w:r>
      <w:r w:rsidRPr="00375A13">
        <w:rPr>
          <w:lang w:val="ro-RO"/>
        </w:rPr>
        <w:t>La data de 31.12.2015, pentru 231 proi</w:t>
      </w:r>
      <w:r>
        <w:rPr>
          <w:lang w:val="ro-RO"/>
        </w:rPr>
        <w:t xml:space="preserve">ecte s-a finalizat procesul de </w:t>
      </w:r>
      <w:r w:rsidRPr="00375A13">
        <w:rPr>
          <w:lang w:val="ro-RO"/>
        </w:rPr>
        <w:t>evaluare, au fost publicate listele intermediare, iar pent</w:t>
      </w:r>
      <w:r w:rsidR="00FA7509">
        <w:rPr>
          <w:lang w:val="ro-RO"/>
        </w:rPr>
        <w:t>ru restul de 315</w:t>
      </w:r>
      <w:r w:rsidRPr="00375A13">
        <w:rPr>
          <w:lang w:val="ro-RO"/>
        </w:rPr>
        <w:t xml:space="preserve"> proiecte procesul de evaluare era în curs de desfăşurare.</w:t>
      </w:r>
    </w:p>
    <w:p w:rsidR="003F636F" w:rsidRPr="00375A13" w:rsidRDefault="003F636F" w:rsidP="003F636F">
      <w:pPr>
        <w:numPr>
          <w:ilvl w:val="0"/>
          <w:numId w:val="24"/>
        </w:numPr>
        <w:spacing w:after="0" w:line="240" w:lineRule="auto"/>
        <w:jc w:val="both"/>
      </w:pPr>
      <w:r w:rsidRPr="00375A13">
        <w:t>Au fost depuse un număr de 156 proiecte de către beneficiari publici şi 389 proiecte depuse de beneficiari privaţi.</w:t>
      </w:r>
    </w:p>
    <w:p w:rsidR="003F636F" w:rsidRPr="00375A13" w:rsidRDefault="003F636F" w:rsidP="003F636F">
      <w:pPr>
        <w:spacing w:after="0" w:line="240" w:lineRule="auto"/>
        <w:ind w:left="720"/>
        <w:jc w:val="both"/>
      </w:pPr>
    </w:p>
    <w:p w:rsidR="003F636F" w:rsidRPr="00375A13" w:rsidRDefault="003F636F" w:rsidP="003F636F">
      <w:pPr>
        <w:spacing w:after="0" w:line="240" w:lineRule="auto"/>
        <w:jc w:val="center"/>
      </w:pPr>
      <w:r w:rsidRPr="00375A13">
        <w:rPr>
          <w:noProof/>
          <w:lang w:eastAsia="ro-RO"/>
        </w:rPr>
        <w:lastRenderedPageBreak/>
        <w:drawing>
          <wp:inline distT="0" distB="0" distL="0" distR="0" wp14:anchorId="32C86299" wp14:editId="4C7B573B">
            <wp:extent cx="3209925" cy="21907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F636F" w:rsidRPr="00375A13" w:rsidRDefault="003F636F" w:rsidP="003F636F">
      <w:pPr>
        <w:spacing w:after="0" w:line="240" w:lineRule="auto"/>
        <w:jc w:val="center"/>
      </w:pPr>
      <w:r w:rsidRPr="00375A13">
        <w:rPr>
          <w:noProof/>
          <w:lang w:eastAsia="ro-RO"/>
        </w:rPr>
        <w:drawing>
          <wp:inline distT="0" distB="0" distL="0" distR="0" wp14:anchorId="32CE4F7F" wp14:editId="2FCC858B">
            <wp:extent cx="4133850" cy="4095750"/>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36F" w:rsidRPr="00375A13" w:rsidRDefault="003F636F" w:rsidP="003F636F">
      <w:pPr>
        <w:spacing w:after="0" w:line="240" w:lineRule="auto"/>
        <w:jc w:val="center"/>
      </w:pPr>
    </w:p>
    <w:p w:rsidR="003F636F" w:rsidRPr="00375A13" w:rsidRDefault="003F636F" w:rsidP="003F636F">
      <w:pPr>
        <w:spacing w:after="0" w:line="240" w:lineRule="auto"/>
        <w:jc w:val="center"/>
      </w:pPr>
    </w:p>
    <w:p w:rsidR="003F636F" w:rsidRPr="00375A13" w:rsidRDefault="003F636F" w:rsidP="003F636F">
      <w:pPr>
        <w:spacing w:after="0" w:line="240" w:lineRule="auto"/>
        <w:jc w:val="center"/>
      </w:pPr>
      <w:r w:rsidRPr="00375A13">
        <w:rPr>
          <w:noProof/>
          <w:lang w:eastAsia="ro-RO"/>
        </w:rPr>
        <w:lastRenderedPageBreak/>
        <w:drawing>
          <wp:inline distT="0" distB="0" distL="0" distR="0" wp14:anchorId="542BE722" wp14:editId="334EE1B0">
            <wp:extent cx="4772025" cy="4219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4219575"/>
                    </a:xfrm>
                    <a:prstGeom prst="rect">
                      <a:avLst/>
                    </a:prstGeom>
                    <a:noFill/>
                    <a:ln>
                      <a:noFill/>
                    </a:ln>
                  </pic:spPr>
                </pic:pic>
              </a:graphicData>
            </a:graphic>
          </wp:inline>
        </w:drawing>
      </w:r>
    </w:p>
    <w:p w:rsidR="003F636F" w:rsidRPr="00375A13" w:rsidRDefault="003F636F" w:rsidP="003F636F">
      <w:pPr>
        <w:spacing w:after="0" w:line="240" w:lineRule="auto"/>
        <w:jc w:val="both"/>
      </w:pPr>
    </w:p>
    <w:p w:rsidR="003F636F" w:rsidRPr="00375A13" w:rsidRDefault="003F636F" w:rsidP="003F636F">
      <w:pPr>
        <w:spacing w:after="0" w:line="240" w:lineRule="auto"/>
        <w:ind w:firstLine="708"/>
        <w:jc w:val="both"/>
      </w:pPr>
      <w:r w:rsidRPr="00375A13">
        <w:t>În ultimul trimestru al anului 2015 au fost supuse consultării publice:</w:t>
      </w:r>
    </w:p>
    <w:p w:rsidR="003F636F" w:rsidRPr="00375A13" w:rsidRDefault="00B71762" w:rsidP="003F636F">
      <w:pPr>
        <w:spacing w:after="0" w:line="240" w:lineRule="auto"/>
        <w:ind w:firstLine="708"/>
        <w:jc w:val="both"/>
      </w:pPr>
      <w:r>
        <w:t>Pentru Axa Prioritară</w:t>
      </w:r>
      <w:r w:rsidR="003F636F" w:rsidRPr="00375A13">
        <w:t xml:space="preserve"> 1 – două ghiduri: pentru secţiunile care vizează ANELIS şi Crearea de sinergii cu acţiunile de CDI ale programului-cadru ORIZONT 2020, respectiv:</w:t>
      </w:r>
    </w:p>
    <w:p w:rsidR="003F636F" w:rsidRPr="00375A13" w:rsidRDefault="003F636F" w:rsidP="003F636F">
      <w:pPr>
        <w:pStyle w:val="ListParagraph"/>
        <w:numPr>
          <w:ilvl w:val="0"/>
          <w:numId w:val="25"/>
        </w:numPr>
        <w:spacing w:after="0" w:line="240" w:lineRule="auto"/>
        <w:jc w:val="both"/>
      </w:pPr>
      <w:r w:rsidRPr="00375A13">
        <w:t xml:space="preserve">Acțiunea 1.1.3: Crearea de sinergii cu acțiunile de CDI ale programului-cadru ORIZONT 2020 al Uniunii Europene şi alte programe CDI internaționale. </w:t>
      </w:r>
      <w:r w:rsidRPr="00375A13">
        <w:rPr>
          <w:b/>
        </w:rPr>
        <w:t>Buget apel: 34.6 mil. Euro.</w:t>
      </w:r>
      <w:r w:rsidRPr="00375A13">
        <w:t xml:space="preserve"> </w:t>
      </w:r>
    </w:p>
    <w:p w:rsidR="003F636F" w:rsidRPr="00375A13" w:rsidRDefault="003F636F" w:rsidP="003F636F">
      <w:pPr>
        <w:pStyle w:val="ListParagraph"/>
        <w:numPr>
          <w:ilvl w:val="0"/>
          <w:numId w:val="25"/>
        </w:numPr>
        <w:spacing w:after="0" w:line="240" w:lineRule="auto"/>
        <w:jc w:val="both"/>
      </w:pPr>
      <w:r w:rsidRPr="00375A13">
        <w:t xml:space="preserve">Acțiunea 1.1.2: Dezvoltarea unor rețele de centre CD, coordonate la nivel național și racordate la rețele europene şi internaționale de profil și asigurarea accesului cercetătorilor la publicații științifice și baze de date europene și internaționale – Anelis. </w:t>
      </w:r>
      <w:r w:rsidRPr="00375A13">
        <w:rPr>
          <w:b/>
        </w:rPr>
        <w:t>Buget apel: 41.7 mil. Euro.</w:t>
      </w:r>
      <w:r w:rsidRPr="00375A13">
        <w:t xml:space="preserve"> </w:t>
      </w:r>
    </w:p>
    <w:p w:rsidR="003F636F" w:rsidRPr="00375A13" w:rsidRDefault="003F636F" w:rsidP="003F636F">
      <w:pPr>
        <w:spacing w:after="0" w:line="240" w:lineRule="auto"/>
        <w:ind w:firstLine="708"/>
        <w:jc w:val="both"/>
      </w:pPr>
      <w:r w:rsidRPr="00375A13">
        <w:t>Pentru Axa Prioritar</w:t>
      </w:r>
      <w:r>
        <w:t>ă</w:t>
      </w:r>
      <w:r w:rsidRPr="00375A13">
        <w:t xml:space="preserve"> 2 – Ghidul pentru Acţiunea 2.2.1. – inovare in domeniul TIC prin dezvoltare de clustere a fost supus consultării publice în două sesiuni. </w:t>
      </w:r>
    </w:p>
    <w:p w:rsidR="003F636F" w:rsidRPr="00375A13" w:rsidRDefault="003F636F" w:rsidP="003F636F">
      <w:pPr>
        <w:spacing w:after="0" w:line="240" w:lineRule="auto"/>
        <w:ind w:firstLine="708"/>
        <w:jc w:val="both"/>
      </w:pPr>
      <w:r w:rsidRPr="00375A13">
        <w:t>Apelul aferent Ghidului Solicitantului pentru IMM-uri din cadrul clusterelor a fost deschis în data de 20.08.2015, urmând ca depunerea proiectelor să se facă în perioada 01.10–23.12.2015. În data</w:t>
      </w:r>
      <w:r>
        <w:t xml:space="preserve"> de </w:t>
      </w:r>
      <w:r w:rsidRPr="00375A13">
        <w:t>29.09.2015 se publică revizuirea Ghidului solicitantului, iar perioada de depunere a proiectelor se modifi</w:t>
      </w:r>
      <w:r>
        <w:t xml:space="preserve">că pentru 02.11.2015-01.02.2016. </w:t>
      </w:r>
      <w:r w:rsidRPr="00375A13">
        <w:t>Ulterior, ca urmare a solicitărilor venite din piaţă, închiderea apelului se prelungeşte până la data de 29.02.2016.</w:t>
      </w:r>
    </w:p>
    <w:p w:rsidR="003F636F" w:rsidRPr="00375A13" w:rsidRDefault="003F636F" w:rsidP="003F636F">
      <w:pPr>
        <w:spacing w:after="0" w:line="240" w:lineRule="auto"/>
        <w:ind w:firstLine="360"/>
        <w:jc w:val="both"/>
      </w:pPr>
      <w:r w:rsidRPr="00375A13">
        <w:t>Astfel, în data de 02 noiembrie 2015 a fost lansat ghidul solicitantului, cu termen limită de depunere 29 februarie 2016:</w:t>
      </w:r>
    </w:p>
    <w:p w:rsidR="003F636F" w:rsidRPr="00375A13" w:rsidRDefault="003F636F" w:rsidP="003F636F">
      <w:pPr>
        <w:pStyle w:val="ListParagraph"/>
        <w:numPr>
          <w:ilvl w:val="0"/>
          <w:numId w:val="26"/>
        </w:numPr>
        <w:spacing w:after="0" w:line="240" w:lineRule="auto"/>
        <w:jc w:val="both"/>
      </w:pPr>
      <w:r w:rsidRPr="00375A13">
        <w:t xml:space="preserve">Acţiunea 2.2.1 – Sprijinirea creşterii valorii adăugate generate de sectorul TIC şi a inovării în domeniu prin dezvoltarea de clustere. </w:t>
      </w:r>
      <w:r w:rsidRPr="00375A13">
        <w:rPr>
          <w:b/>
        </w:rPr>
        <w:t>Buget apel: 59.7 mil. Euro.</w:t>
      </w:r>
    </w:p>
    <w:p w:rsidR="003F636F" w:rsidRPr="00375A13" w:rsidRDefault="003F636F" w:rsidP="003F636F">
      <w:pPr>
        <w:spacing w:after="0" w:line="240" w:lineRule="auto"/>
        <w:ind w:firstLine="360"/>
        <w:jc w:val="both"/>
      </w:pPr>
      <w:r w:rsidRPr="00375A13">
        <w:rPr>
          <w:b/>
        </w:rPr>
        <w:t>În anul 2015</w:t>
      </w:r>
      <w:r w:rsidRPr="00375A13">
        <w:t xml:space="preserve"> pentru Axa Prioritara 2 au fost lansate apeluri în valoare de </w:t>
      </w:r>
      <w:r w:rsidRPr="00375A13">
        <w:rPr>
          <w:b/>
        </w:rPr>
        <w:t>59.7 mil. Euro (FEDR+BS)</w:t>
      </w:r>
      <w:r w:rsidRPr="00375A13">
        <w:t xml:space="preserve"> reprezentând </w:t>
      </w:r>
      <w:r w:rsidRPr="00375A13">
        <w:rPr>
          <w:b/>
        </w:rPr>
        <w:t>3.7%</w:t>
      </w:r>
      <w:r w:rsidRPr="00375A13">
        <w:t xml:space="preserve"> din totalul alocat pentru Programului Operaţional Competitivitate.</w:t>
      </w:r>
    </w:p>
    <w:p w:rsidR="003F636F" w:rsidRPr="00375A13" w:rsidRDefault="003F636F" w:rsidP="003F636F">
      <w:pPr>
        <w:spacing w:after="0" w:line="240" w:lineRule="auto"/>
        <w:jc w:val="both"/>
      </w:pPr>
      <w:r w:rsidRPr="00375A13">
        <w:t>Până la data de 31.12.2015 au fost depuse un număr de 102 proiecte, cu un buget AFN de aproximativ 59.6 mil. Euro.</w:t>
      </w:r>
    </w:p>
    <w:p w:rsidR="003F636F" w:rsidRPr="00375A13" w:rsidRDefault="003F636F" w:rsidP="003F636F">
      <w:pPr>
        <w:spacing w:after="0" w:line="240" w:lineRule="auto"/>
        <w:ind w:firstLine="708"/>
        <w:jc w:val="both"/>
      </w:pPr>
      <w:r w:rsidRPr="00375A13">
        <w:t>În ultimul trimestru al anului 2015 a fost supus consultării publice Ghidul unic pentru beneficiar</w:t>
      </w:r>
      <w:r>
        <w:t>i</w:t>
      </w:r>
      <w:r w:rsidRPr="00375A13">
        <w:t>i publici.</w:t>
      </w:r>
    </w:p>
    <w:p w:rsidR="003F636F" w:rsidRPr="00375A13" w:rsidRDefault="00EC4451" w:rsidP="003F636F">
      <w:pPr>
        <w:spacing w:after="0" w:line="240" w:lineRule="auto"/>
        <w:ind w:firstLine="708"/>
        <w:jc w:val="both"/>
      </w:pPr>
      <w:r>
        <w:lastRenderedPageBreak/>
        <w:t>P</w:t>
      </w:r>
      <w:r w:rsidR="003F636F" w:rsidRPr="00375A13">
        <w:t xml:space="preserve">rimele valori </w:t>
      </w:r>
      <w:r>
        <w:t xml:space="preserve">ale indicatorilor </w:t>
      </w:r>
      <w:r w:rsidR="003F636F" w:rsidRPr="00375A13">
        <w:t>cuantificabili vor fi disponibile în Raportul de implementare 2016.</w:t>
      </w:r>
    </w:p>
    <w:p w:rsidR="003F636F" w:rsidRDefault="003F636F" w:rsidP="003F636F">
      <w:pPr>
        <w:spacing w:line="240" w:lineRule="auto"/>
        <w:jc w:val="both"/>
        <w:rPr>
          <w:b/>
          <w:bCs/>
          <w:u w:val="single"/>
        </w:rPr>
      </w:pPr>
      <w:bookmarkStart w:id="3" w:name="_Toc449624125"/>
    </w:p>
    <w:bookmarkEnd w:id="3"/>
    <w:p w:rsidR="003F636F" w:rsidRPr="003F636F" w:rsidRDefault="003F636F" w:rsidP="003F636F">
      <w:pPr>
        <w:spacing w:line="240" w:lineRule="auto"/>
        <w:jc w:val="center"/>
        <w:rPr>
          <w:b/>
          <w:bCs/>
          <w:color w:val="00B0F0"/>
          <w:u w:val="single"/>
        </w:rPr>
      </w:pPr>
      <w:r w:rsidRPr="003F636F">
        <w:rPr>
          <w:b/>
          <w:bCs/>
          <w:color w:val="00B0F0"/>
          <w:u w:val="single"/>
        </w:rPr>
        <w:t>AP1 – Cercetare, dezvoltare tehnologică şi inovare (CDI) în sprijinul competitivităţii economice şi dezvoltării afacerilor</w:t>
      </w:r>
    </w:p>
    <w:p w:rsidR="003F636F" w:rsidRPr="00375A13" w:rsidRDefault="003F636F" w:rsidP="003F636F">
      <w:pPr>
        <w:spacing w:line="240" w:lineRule="auto"/>
        <w:jc w:val="both"/>
        <w:rPr>
          <w:bCs/>
        </w:rPr>
      </w:pPr>
      <w:r w:rsidRPr="00375A13">
        <w:rPr>
          <w:bCs/>
        </w:rPr>
        <w:t>În anul 2014 a fost demarat procesul de realizare a</w:t>
      </w:r>
      <w:r w:rsidR="005A77BF">
        <w:rPr>
          <w:bCs/>
        </w:rPr>
        <w:t>l</w:t>
      </w:r>
      <w:r w:rsidRPr="00375A13">
        <w:rPr>
          <w:bCs/>
        </w:rPr>
        <w:t xml:space="preserve"> ghidului unic și a</w:t>
      </w:r>
      <w:r w:rsidR="005A77BF">
        <w:rPr>
          <w:bCs/>
        </w:rPr>
        <w:t>l</w:t>
      </w:r>
      <w:r w:rsidRPr="00375A13">
        <w:rPr>
          <w:bCs/>
        </w:rPr>
        <w:t xml:space="preserve"> schemelor de ajutor de stat. Procesul s-a încheiat în 2015:</w:t>
      </w:r>
    </w:p>
    <w:p w:rsidR="003F636F" w:rsidRPr="00375A13" w:rsidRDefault="003F636F" w:rsidP="003F636F">
      <w:pPr>
        <w:numPr>
          <w:ilvl w:val="0"/>
          <w:numId w:val="42"/>
        </w:numPr>
        <w:spacing w:line="240" w:lineRule="auto"/>
        <w:jc w:val="both"/>
        <w:rPr>
          <w:bCs/>
        </w:rPr>
      </w:pPr>
      <w:r w:rsidRPr="00375A13">
        <w:rPr>
          <w:bCs/>
        </w:rPr>
        <w:t>Ordinul Ministrului nr. 3821/11.05.2015 privind aprobarea competițiilor pentru propuneri de proiecte pentru secțiunile A-G ale ghidului solicitantului pentru Axa 1 POC</w:t>
      </w:r>
    </w:p>
    <w:p w:rsidR="003F636F" w:rsidRPr="00375A13" w:rsidRDefault="003F636F" w:rsidP="003F636F">
      <w:pPr>
        <w:numPr>
          <w:ilvl w:val="0"/>
          <w:numId w:val="42"/>
        </w:numPr>
        <w:spacing w:line="240" w:lineRule="auto"/>
        <w:jc w:val="both"/>
        <w:rPr>
          <w:bCs/>
        </w:rPr>
      </w:pPr>
      <w:r w:rsidRPr="00375A13">
        <w:rPr>
          <w:bCs/>
        </w:rPr>
        <w:t>Ordinul Ministrului nr. 4666/04.08.2015 privind modificarea anexelor nr. 2</w:t>
      </w:r>
      <w:r w:rsidR="006C1ECD">
        <w:rPr>
          <w:bCs/>
        </w:rPr>
        <w:t xml:space="preserve"> </w:t>
      </w:r>
      <w:r w:rsidRPr="00375A13">
        <w:rPr>
          <w:bCs/>
        </w:rPr>
        <w:t>-</w:t>
      </w:r>
      <w:r w:rsidR="006C1ECD">
        <w:rPr>
          <w:bCs/>
        </w:rPr>
        <w:t xml:space="preserve"> </w:t>
      </w:r>
      <w:r w:rsidRPr="00375A13">
        <w:rPr>
          <w:bCs/>
        </w:rPr>
        <w:t>8 la Ordinul Ministrului nr. 3821/11.05.2015 privind aprobarea competițiilor pentru propuneri de proiecte pentru secțiunile A-G ale ghidului solicitantului pentru Axa 1 POC</w:t>
      </w:r>
    </w:p>
    <w:p w:rsidR="003F636F" w:rsidRPr="00375A13" w:rsidRDefault="003F636F" w:rsidP="003F636F">
      <w:pPr>
        <w:numPr>
          <w:ilvl w:val="0"/>
          <w:numId w:val="42"/>
        </w:numPr>
        <w:spacing w:line="240" w:lineRule="auto"/>
        <w:jc w:val="both"/>
        <w:rPr>
          <w:bCs/>
        </w:rPr>
      </w:pPr>
      <w:r w:rsidRPr="00375A13">
        <w:rPr>
          <w:bCs/>
        </w:rPr>
        <w:t>Ordinul Ministrului nr. 3822/11.05.2015 pentru aprobarea schemei de ajutor de stat “Finanțarea activităților de CDI și a investițiilor în CDI” prin POC</w:t>
      </w:r>
    </w:p>
    <w:p w:rsidR="003F636F" w:rsidRPr="00375A13" w:rsidRDefault="003F636F" w:rsidP="003F636F">
      <w:pPr>
        <w:numPr>
          <w:ilvl w:val="0"/>
          <w:numId w:val="42"/>
        </w:numPr>
        <w:spacing w:line="240" w:lineRule="auto"/>
        <w:jc w:val="both"/>
        <w:rPr>
          <w:bCs/>
        </w:rPr>
      </w:pPr>
      <w:r w:rsidRPr="00375A13">
        <w:rPr>
          <w:bCs/>
        </w:rPr>
        <w:t>Ordinul Ministrului nr. 3823/11.05.2015 pentru aprobarea schemei de ajutor de</w:t>
      </w:r>
      <w:r w:rsidR="006C1ECD">
        <w:rPr>
          <w:bCs/>
        </w:rPr>
        <w:t xml:space="preserve"> </w:t>
      </w:r>
      <w:r w:rsidRPr="00375A13">
        <w:rPr>
          <w:bCs/>
        </w:rPr>
        <w:t>minimis numit “Ajutor de</w:t>
      </w:r>
      <w:r>
        <w:rPr>
          <w:bCs/>
        </w:rPr>
        <w:t xml:space="preserve"> </w:t>
      </w:r>
      <w:r w:rsidRPr="00375A13">
        <w:rPr>
          <w:bCs/>
        </w:rPr>
        <w:t>minimis pentru sprijinirea start-upurilor și spin-off-urilor” prin POC</w:t>
      </w:r>
    </w:p>
    <w:p w:rsidR="00970BE9" w:rsidRDefault="003F636F" w:rsidP="00970BE9">
      <w:pPr>
        <w:pStyle w:val="ListParagraph"/>
        <w:numPr>
          <w:ilvl w:val="0"/>
          <w:numId w:val="43"/>
        </w:numPr>
        <w:spacing w:line="240" w:lineRule="auto"/>
        <w:jc w:val="both"/>
        <w:rPr>
          <w:bCs/>
        </w:rPr>
      </w:pPr>
      <w:r w:rsidRPr="00A06587">
        <w:rPr>
          <w:bCs/>
        </w:rPr>
        <w:t>În 2015, pentru Axa Prioritară 1 – Ghidul unic elaborat pentru 7 secţiuni a fost supus consultării publice în două sesiuni şi au fost organizate mai multe întâlniri cu potenţialii beneficiari;</w:t>
      </w:r>
    </w:p>
    <w:p w:rsidR="00970BE9" w:rsidRPr="00970BE9" w:rsidRDefault="00970BE9" w:rsidP="00970BE9">
      <w:pPr>
        <w:pStyle w:val="ListParagraph"/>
        <w:spacing w:line="240" w:lineRule="auto"/>
        <w:jc w:val="both"/>
        <w:rPr>
          <w:bCs/>
        </w:rPr>
      </w:pPr>
    </w:p>
    <w:p w:rsidR="003F636F" w:rsidRPr="00A06587" w:rsidRDefault="003F636F" w:rsidP="003F636F">
      <w:pPr>
        <w:pStyle w:val="ListParagraph"/>
        <w:numPr>
          <w:ilvl w:val="0"/>
          <w:numId w:val="43"/>
        </w:numPr>
        <w:spacing w:line="240" w:lineRule="auto"/>
        <w:jc w:val="both"/>
        <w:rPr>
          <w:bCs/>
        </w:rPr>
      </w:pPr>
      <w:r w:rsidRPr="00A06587">
        <w:rPr>
          <w:bCs/>
        </w:rPr>
        <w:t xml:space="preserve">Astfel, în data de 27 iunie 2015 a fost lansat ghidul unic al solicitantului cu 7 secţiuni: 5 secţiuni cu termen limită de depunere august 2015, 1 secţiune cu termen limită de depunere septembrie 2015 şi </w:t>
      </w:r>
      <w:r w:rsidR="00970BE9">
        <w:rPr>
          <w:bCs/>
        </w:rPr>
        <w:t>1 secţiune cu depunere continuă.</w:t>
      </w:r>
    </w:p>
    <w:p w:rsidR="003F636F" w:rsidRPr="00375A13" w:rsidRDefault="003F636F" w:rsidP="003F636F">
      <w:pPr>
        <w:spacing w:line="240" w:lineRule="auto"/>
        <w:jc w:val="both"/>
        <w:rPr>
          <w:b/>
          <w:i/>
          <w:u w:val="single"/>
        </w:rPr>
      </w:pPr>
      <w:r w:rsidRPr="00375A13">
        <w:rPr>
          <w:b/>
          <w:i/>
          <w:u w:val="single"/>
        </w:rPr>
        <w:t>Acțiunea 1.1.1 Mari infrastructuri de Cercetare Dezvoltare - Tip proiect: Investiții pentru departamentele de CD ale întreprinderilor – Secțiunea A</w:t>
      </w:r>
    </w:p>
    <w:p w:rsidR="003F636F" w:rsidRPr="00375A13" w:rsidRDefault="003F636F" w:rsidP="003F636F">
      <w:pPr>
        <w:spacing w:line="240" w:lineRule="auto"/>
        <w:jc w:val="both"/>
      </w:pPr>
      <w:r w:rsidRPr="00375A13">
        <w:t xml:space="preserve">Acest tip de proiect </w:t>
      </w:r>
      <w:r w:rsidRPr="00375A13">
        <w:rPr>
          <w:b/>
          <w:u w:val="single"/>
        </w:rPr>
        <w:t>a sprijinit investiții inițiale</w:t>
      </w:r>
      <w:r w:rsidRPr="00375A13">
        <w:t xml:space="preserve"> pentru:</w:t>
      </w:r>
    </w:p>
    <w:p w:rsidR="003F636F" w:rsidRPr="00375A13" w:rsidRDefault="003F636F" w:rsidP="003F636F">
      <w:pPr>
        <w:numPr>
          <w:ilvl w:val="0"/>
          <w:numId w:val="27"/>
        </w:numPr>
        <w:spacing w:line="240" w:lineRule="auto"/>
        <w:jc w:val="both"/>
      </w:pPr>
      <w:r w:rsidRPr="00375A13">
        <w:t>Construcția de noi departamente de CD (laboratoare/centre de CD etc.) însoțită obligatoriu de dotarea acestora cu echipamente și instrumente de cercetare;</w:t>
      </w:r>
    </w:p>
    <w:p w:rsidR="003F636F" w:rsidRPr="00375A13" w:rsidRDefault="003F636F" w:rsidP="003F636F">
      <w:pPr>
        <w:numPr>
          <w:ilvl w:val="0"/>
          <w:numId w:val="27"/>
        </w:numPr>
        <w:spacing w:line="240" w:lineRule="auto"/>
        <w:jc w:val="both"/>
      </w:pPr>
      <w:r w:rsidRPr="00375A13">
        <w:t>Modernizarea, extinderea, consolidarea, schimbarea de destinație a departamentelor de CD existente, însoțită obligatoriu de dotarea acestora cu echipamente și instrumente de cercetare;</w:t>
      </w:r>
    </w:p>
    <w:p w:rsidR="003F636F" w:rsidRPr="00375A13" w:rsidRDefault="003F636F" w:rsidP="003F636F">
      <w:pPr>
        <w:numPr>
          <w:ilvl w:val="0"/>
          <w:numId w:val="27"/>
        </w:numPr>
        <w:spacing w:line="240" w:lineRule="auto"/>
        <w:jc w:val="both"/>
      </w:pPr>
      <w:r>
        <w:t xml:space="preserve">Achiziția de </w:t>
      </w:r>
      <w:r w:rsidRPr="00375A13">
        <w:t>echipamente și instrumente de cercetare.</w:t>
      </w:r>
    </w:p>
    <w:p w:rsidR="003F636F" w:rsidRPr="00375A13" w:rsidRDefault="003F636F" w:rsidP="003F636F">
      <w:pPr>
        <w:spacing w:line="240" w:lineRule="auto"/>
        <w:jc w:val="both"/>
      </w:pPr>
      <w:r w:rsidRPr="00375A13">
        <w:t>Valoarea finanțării publice nerambursabile pentru un proiect este cuprinsă între 4.500.000 l</w:t>
      </w:r>
      <w:r>
        <w:t xml:space="preserve">ei </w:t>
      </w:r>
      <w:r w:rsidRPr="00375A13">
        <w:t>şi 90.000.000 lei.</w:t>
      </w:r>
    </w:p>
    <w:p w:rsidR="003F636F" w:rsidRPr="00375A13" w:rsidRDefault="003F636F" w:rsidP="003F636F">
      <w:pPr>
        <w:spacing w:line="240" w:lineRule="auto"/>
        <w:jc w:val="both"/>
      </w:pPr>
      <w:r w:rsidRPr="00375A13">
        <w:t>Valoarea finanțării publice nerambursabile pe proiect nu va depăși:</w:t>
      </w:r>
    </w:p>
    <w:p w:rsidR="003F636F" w:rsidRPr="00A06587" w:rsidRDefault="003F636F" w:rsidP="003F636F">
      <w:pPr>
        <w:pStyle w:val="ListParagraph"/>
        <w:numPr>
          <w:ilvl w:val="0"/>
          <w:numId w:val="44"/>
        </w:numPr>
        <w:spacing w:line="240" w:lineRule="auto"/>
        <w:jc w:val="both"/>
      </w:pPr>
      <w:r w:rsidRPr="00A06587">
        <w:t>22.500.000 lei în Municipiul București</w:t>
      </w:r>
    </w:p>
    <w:p w:rsidR="003F636F" w:rsidRPr="00A06587" w:rsidRDefault="003F636F" w:rsidP="003F636F">
      <w:pPr>
        <w:pStyle w:val="ListParagraph"/>
        <w:numPr>
          <w:ilvl w:val="0"/>
          <w:numId w:val="44"/>
        </w:numPr>
        <w:spacing w:line="240" w:lineRule="auto"/>
        <w:jc w:val="both"/>
      </w:pPr>
      <w:r w:rsidRPr="00A06587">
        <w:t>67.500.000 lei în regiunea Vest și județul Ilfov</w:t>
      </w:r>
    </w:p>
    <w:p w:rsidR="003F636F" w:rsidRDefault="003F636F" w:rsidP="003F636F">
      <w:pPr>
        <w:pStyle w:val="ListParagraph"/>
        <w:numPr>
          <w:ilvl w:val="0"/>
          <w:numId w:val="44"/>
        </w:numPr>
        <w:spacing w:line="240" w:lineRule="auto"/>
        <w:jc w:val="both"/>
      </w:pPr>
      <w:r w:rsidRPr="00A06587">
        <w:t>90.000.000 lei în celelalte regiuni ale României (Sud Est, Nord Est, Nord Vest, Centru, Sud Muntenia, Sud Vest).</w:t>
      </w:r>
    </w:p>
    <w:p w:rsidR="003F636F" w:rsidRPr="00A06587" w:rsidRDefault="003F636F" w:rsidP="003F636F">
      <w:pPr>
        <w:spacing w:line="240" w:lineRule="auto"/>
        <w:jc w:val="both"/>
      </w:pPr>
      <w:r w:rsidRPr="00A06587">
        <w:t>Valoarea totală a proiectului (costuri eligibile și neeligibile) nu poate depăși 225.000.000 lei (50 milioane euro).</w:t>
      </w:r>
    </w:p>
    <w:p w:rsidR="003F636F" w:rsidRPr="00375A13" w:rsidRDefault="003F636F" w:rsidP="003F636F">
      <w:pPr>
        <w:spacing w:line="240" w:lineRule="auto"/>
        <w:jc w:val="both"/>
      </w:pPr>
      <w:r w:rsidRPr="00375A13">
        <w:rPr>
          <w:b/>
        </w:rPr>
        <w:lastRenderedPageBreak/>
        <w:t xml:space="preserve">Apelul de proiecte a fost lansat </w:t>
      </w:r>
      <w:r w:rsidRPr="00965662">
        <w:t>în</w:t>
      </w:r>
      <w:r w:rsidR="00970BE9">
        <w:t xml:space="preserve"> 27 Iunie 2015, d</w:t>
      </w:r>
      <w:r w:rsidRPr="00375A13">
        <w:t>epunerea proiectelor fiind închisă la data de 18 August 2015.</w:t>
      </w:r>
    </w:p>
    <w:p w:rsidR="003F636F" w:rsidRPr="00375A13" w:rsidRDefault="003F636F" w:rsidP="003F636F">
      <w:pPr>
        <w:spacing w:line="240" w:lineRule="auto"/>
        <w:jc w:val="both"/>
      </w:pPr>
      <w:r w:rsidRPr="00375A13">
        <w:rPr>
          <w:b/>
        </w:rPr>
        <w:t>Categoriile de solicitanți eligibili</w:t>
      </w:r>
      <w:r w:rsidRPr="00375A13">
        <w:t>: Entități cu personalitate juridică constituite conform prevederilor Legii nr. 31/1990 privind societățile comerciale, Legii nr. 15/1990 privind reorganizarea unităților economice de stat ca regii autonome și societăți comerciale, precum și conform reglementărilor specific similare din alte stat</w:t>
      </w:r>
      <w:r w:rsidR="00970BE9">
        <w:t>e membre UE cu activităţi de CD.</w:t>
      </w:r>
    </w:p>
    <w:p w:rsidR="003F636F" w:rsidRPr="00375A13" w:rsidRDefault="003F636F" w:rsidP="003F636F">
      <w:pPr>
        <w:spacing w:line="240" w:lineRule="auto"/>
        <w:jc w:val="both"/>
      </w:pPr>
      <w:r w:rsidRPr="00375A13">
        <w:rPr>
          <w:b/>
          <w:bCs/>
        </w:rPr>
        <w:t>Status la 31.12.2015:</w:t>
      </w:r>
      <w:r w:rsidRPr="00375A13">
        <w:t xml:space="preserve"> S-a finalizat evaluarea tehnico-stiintifică. Etapa de soluţionare contestaţii </w:t>
      </w:r>
      <w:r w:rsidR="00F21D2D">
        <w:t>este</w:t>
      </w:r>
      <w:r w:rsidRPr="00375A13">
        <w:t xml:space="preserve"> în derulare.</w:t>
      </w:r>
    </w:p>
    <w:p w:rsidR="003F636F" w:rsidRPr="00B93E6F" w:rsidRDefault="003F636F" w:rsidP="00B93E6F">
      <w:pPr>
        <w:spacing w:after="0" w:line="240" w:lineRule="auto"/>
        <w:jc w:val="both"/>
        <w:rPr>
          <w:rFonts w:cs="Times New Roman"/>
        </w:rPr>
      </w:pPr>
      <w:r w:rsidRPr="00B93E6F">
        <w:rPr>
          <w:rFonts w:cs="Times New Roman"/>
        </w:rPr>
        <w:t>Evaluarea tehnico-științifică s-a efectuat de către un panel compus din 3 evaluatori externi români (2 evaluatori științifici din domeniul de Specializare Inteligentă și de un evaluator tehnic), selectați și repartizați electronic din baza de date a evaluatorilor UEFISCDI.</w:t>
      </w:r>
    </w:p>
    <w:p w:rsidR="003F636F" w:rsidRPr="00B93E6F" w:rsidRDefault="003F636F" w:rsidP="00B93E6F">
      <w:pPr>
        <w:pStyle w:val="ListParagraph"/>
        <w:numPr>
          <w:ilvl w:val="0"/>
          <w:numId w:val="16"/>
        </w:numPr>
        <w:spacing w:line="240" w:lineRule="auto"/>
        <w:ind w:left="644"/>
        <w:jc w:val="both"/>
      </w:pPr>
      <w:r w:rsidRPr="00B93E6F">
        <w:rPr>
          <w:bCs/>
        </w:rPr>
        <w:t xml:space="preserve">39 proiecte depuse, valoare AFN: </w:t>
      </w:r>
      <w:r w:rsidRPr="00B93E6F">
        <w:t>131.4 mil. Euro;</w:t>
      </w:r>
    </w:p>
    <w:p w:rsidR="003F636F" w:rsidRPr="00B93E6F" w:rsidRDefault="003F636F" w:rsidP="00B93E6F">
      <w:pPr>
        <w:pStyle w:val="ListParagraph"/>
        <w:numPr>
          <w:ilvl w:val="0"/>
          <w:numId w:val="16"/>
        </w:numPr>
        <w:spacing w:line="240" w:lineRule="auto"/>
        <w:ind w:left="644"/>
        <w:jc w:val="both"/>
      </w:pPr>
      <w:r w:rsidRPr="00B93E6F">
        <w:rPr>
          <w:bCs/>
        </w:rPr>
        <w:t>34 proiecte selectate în această etapă, valoare AFN: 124.4 mil. Euro;</w:t>
      </w:r>
    </w:p>
    <w:p w:rsidR="003F636F" w:rsidRPr="00B93E6F" w:rsidRDefault="003F636F" w:rsidP="00B93E6F">
      <w:pPr>
        <w:pStyle w:val="ListParagraph"/>
        <w:numPr>
          <w:ilvl w:val="0"/>
          <w:numId w:val="16"/>
        </w:numPr>
        <w:spacing w:line="240" w:lineRule="auto"/>
        <w:ind w:left="644"/>
        <w:jc w:val="both"/>
      </w:pPr>
      <w:r w:rsidRPr="00B93E6F">
        <w:rPr>
          <w:bCs/>
        </w:rPr>
        <w:t>12 proiecte îndeplinesc criteriile de selecţie şi au buget total egal cu bugetul apelului din 2015;</w:t>
      </w:r>
    </w:p>
    <w:tbl>
      <w:tblPr>
        <w:tblW w:w="7088" w:type="dxa"/>
        <w:jc w:val="center"/>
        <w:tblLayout w:type="fixed"/>
        <w:tblLook w:val="04A0" w:firstRow="1" w:lastRow="0" w:firstColumn="1" w:lastColumn="0" w:noHBand="0" w:noVBand="1"/>
      </w:tblPr>
      <w:tblGrid>
        <w:gridCol w:w="1277"/>
        <w:gridCol w:w="709"/>
        <w:gridCol w:w="708"/>
        <w:gridCol w:w="851"/>
        <w:gridCol w:w="850"/>
        <w:gridCol w:w="851"/>
        <w:gridCol w:w="850"/>
        <w:gridCol w:w="992"/>
      </w:tblGrid>
      <w:tr w:rsidR="003F636F" w:rsidRPr="00375A13" w:rsidTr="00970E00">
        <w:trPr>
          <w:trHeight w:val="154"/>
          <w:jc w:val="center"/>
        </w:trPr>
        <w:tc>
          <w:tcPr>
            <w:tcW w:w="1277" w:type="dxa"/>
            <w:tcBorders>
              <w:top w:val="nil"/>
              <w:left w:val="nil"/>
              <w:bottom w:val="nil"/>
              <w:right w:val="nil"/>
            </w:tcBorders>
            <w:shd w:val="clear" w:color="auto" w:fill="auto"/>
            <w:noWrap/>
            <w:vAlign w:val="bottom"/>
            <w:hideMark/>
          </w:tcPr>
          <w:p w:rsidR="003F636F" w:rsidRPr="00375A13" w:rsidRDefault="003F636F" w:rsidP="00970E00">
            <w:pPr>
              <w:spacing w:line="240" w:lineRule="auto"/>
              <w:rPr>
                <w:sz w:val="18"/>
                <w:szCs w:val="18"/>
                <w:lang w:eastAsia="ro-RO"/>
              </w:rPr>
            </w:pPr>
          </w:p>
        </w:tc>
        <w:tc>
          <w:tcPr>
            <w:tcW w:w="5811" w:type="dxa"/>
            <w:gridSpan w:val="7"/>
            <w:tcBorders>
              <w:top w:val="single" w:sz="4" w:space="0" w:color="auto"/>
              <w:left w:val="single" w:sz="4" w:space="0" w:color="auto"/>
              <w:bottom w:val="nil"/>
              <w:right w:val="single" w:sz="4" w:space="0" w:color="000000"/>
            </w:tcBorders>
            <w:shd w:val="clear" w:color="auto" w:fill="auto"/>
            <w:noWrap/>
            <w:vAlign w:val="bottom"/>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 xml:space="preserve">Secţiunea A </w:t>
            </w:r>
          </w:p>
        </w:tc>
      </w:tr>
      <w:tr w:rsidR="003F636F" w:rsidRPr="00375A13" w:rsidTr="00970E00">
        <w:trPr>
          <w:trHeight w:val="225"/>
          <w:jc w:val="center"/>
        </w:trPr>
        <w:tc>
          <w:tcPr>
            <w:tcW w:w="1277" w:type="dxa"/>
            <w:tcBorders>
              <w:top w:val="nil"/>
              <w:left w:val="nil"/>
              <w:bottom w:val="nil"/>
              <w:right w:val="nil"/>
            </w:tcBorders>
            <w:shd w:val="clear" w:color="auto" w:fill="auto"/>
            <w:noWrap/>
            <w:vAlign w:val="bottom"/>
            <w:hideMark/>
          </w:tcPr>
          <w:p w:rsidR="003F636F" w:rsidRPr="00375A13" w:rsidRDefault="003F636F" w:rsidP="00970E00">
            <w:pPr>
              <w:spacing w:line="240" w:lineRule="auto"/>
              <w:jc w:val="center"/>
              <w:rPr>
                <w:rFonts w:ascii="Calibri" w:hAnsi="Calibri"/>
                <w:color w:val="000000"/>
                <w:sz w:val="18"/>
                <w:szCs w:val="18"/>
                <w:lang w:eastAsia="ro-RO"/>
              </w:rPr>
            </w:pPr>
          </w:p>
        </w:tc>
        <w:tc>
          <w:tcPr>
            <w:tcW w:w="5811" w:type="dxa"/>
            <w:gridSpan w:val="7"/>
            <w:tcBorders>
              <w:top w:val="nil"/>
              <w:left w:val="single" w:sz="4" w:space="0" w:color="auto"/>
              <w:bottom w:val="single" w:sz="4" w:space="0" w:color="auto"/>
              <w:right w:val="single" w:sz="4" w:space="0" w:color="000000"/>
            </w:tcBorders>
            <w:shd w:val="clear" w:color="auto" w:fill="auto"/>
            <w:noWrap/>
            <w:vAlign w:val="bottom"/>
            <w:hideMark/>
          </w:tcPr>
          <w:p w:rsidR="003F636F" w:rsidRPr="00375A13" w:rsidRDefault="003F636F" w:rsidP="00970E00">
            <w:pPr>
              <w:spacing w:line="240" w:lineRule="auto"/>
              <w:rPr>
                <w:rFonts w:ascii="Calibri" w:hAnsi="Calibri"/>
                <w:b/>
                <w:color w:val="000000"/>
                <w:sz w:val="18"/>
                <w:szCs w:val="18"/>
                <w:lang w:eastAsia="ro-RO"/>
              </w:rPr>
            </w:pPr>
            <w:r w:rsidRPr="00375A13">
              <w:rPr>
                <w:rFonts w:ascii="Calibri" w:hAnsi="Calibri"/>
                <w:b/>
                <w:color w:val="000000"/>
                <w:sz w:val="18"/>
                <w:szCs w:val="18"/>
                <w:lang w:eastAsia="ro-RO"/>
              </w:rPr>
              <w:t xml:space="preserve">                                                                                      FEDR+BS (mil. Euro)                                                                </w:t>
            </w:r>
          </w:p>
        </w:tc>
      </w:tr>
      <w:tr w:rsidR="003F636F" w:rsidRPr="00375A13" w:rsidTr="00B93E6F">
        <w:trPr>
          <w:trHeight w:val="782"/>
          <w:jc w:val="center"/>
        </w:trPr>
        <w:tc>
          <w:tcPr>
            <w:tcW w:w="1277" w:type="dxa"/>
            <w:vMerge w:val="restart"/>
            <w:tcBorders>
              <w:top w:val="single" w:sz="4" w:space="0" w:color="auto"/>
              <w:left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Beneficiar eligibil:</w:t>
            </w:r>
          </w:p>
          <w:p w:rsidR="003F636F" w:rsidRPr="00375A13" w:rsidRDefault="003F636F" w:rsidP="00970E00">
            <w:pPr>
              <w:spacing w:line="240" w:lineRule="auto"/>
              <w:jc w:val="center"/>
              <w:rPr>
                <w:rFonts w:ascii="Calibri" w:hAnsi="Calibri"/>
                <w:b/>
                <w:color w:val="000000"/>
                <w:sz w:val="18"/>
                <w:szCs w:val="18"/>
                <w:lang w:eastAsia="ro-RO"/>
              </w:rPr>
            </w:pPr>
          </w:p>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color w:val="000000"/>
                <w:sz w:val="18"/>
                <w:szCs w:val="18"/>
                <w:lang w:eastAsia="ro-RO"/>
              </w:rPr>
              <w:t>Întreprinderi din sectorul CDI</w:t>
            </w:r>
          </w:p>
        </w:tc>
        <w:tc>
          <w:tcPr>
            <w:tcW w:w="1417" w:type="dxa"/>
            <w:gridSpan w:val="2"/>
            <w:tcBorders>
              <w:top w:val="nil"/>
              <w:left w:val="nil"/>
              <w:bottom w:val="single" w:sz="4" w:space="0" w:color="auto"/>
              <w:right w:val="single" w:sz="4" w:space="0" w:color="auto"/>
            </w:tcBorders>
            <w:shd w:val="clear" w:color="auto" w:fill="auto"/>
            <w:vAlign w:val="center"/>
            <w:hideMark/>
          </w:tcPr>
          <w:p w:rsidR="00B93E6F" w:rsidRDefault="00B93E6F" w:rsidP="00970E00">
            <w:pPr>
              <w:spacing w:line="240" w:lineRule="auto"/>
              <w:jc w:val="center"/>
              <w:rPr>
                <w:rFonts w:ascii="Calibri" w:hAnsi="Calibri"/>
                <w:b/>
                <w:color w:val="000000"/>
                <w:sz w:val="18"/>
                <w:szCs w:val="18"/>
                <w:lang w:eastAsia="ro-RO"/>
              </w:rPr>
            </w:pPr>
          </w:p>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Buget total alocat</w:t>
            </w:r>
          </w:p>
          <w:p w:rsidR="003F636F" w:rsidRPr="00375A13" w:rsidRDefault="003F636F" w:rsidP="00970E00">
            <w:pPr>
              <w:spacing w:line="240" w:lineRule="auto"/>
              <w:jc w:val="center"/>
              <w:rPr>
                <w:rFonts w:ascii="Calibri" w:hAnsi="Calibri"/>
                <w:b/>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Buget proiecte depuse</w:t>
            </w:r>
          </w:p>
        </w:tc>
        <w:tc>
          <w:tcPr>
            <w:tcW w:w="1701" w:type="dxa"/>
            <w:gridSpan w:val="2"/>
            <w:tcBorders>
              <w:top w:val="nil"/>
              <w:left w:val="nil"/>
              <w:bottom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Valoare proiecte eligibile peste prag minim cf. ghid.</w:t>
            </w:r>
          </w:p>
        </w:tc>
        <w:tc>
          <w:tcPr>
            <w:tcW w:w="1842" w:type="dxa"/>
            <w:gridSpan w:val="2"/>
            <w:tcBorders>
              <w:top w:val="nil"/>
              <w:left w:val="nil"/>
              <w:bottom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Valoare proiecte  în limita bugetului alocat 2015</w:t>
            </w:r>
          </w:p>
        </w:tc>
      </w:tr>
      <w:tr w:rsidR="003F636F" w:rsidRPr="00375A13" w:rsidTr="00B93E6F">
        <w:trPr>
          <w:trHeight w:val="70"/>
          <w:jc w:val="center"/>
        </w:trPr>
        <w:tc>
          <w:tcPr>
            <w:tcW w:w="1277" w:type="dxa"/>
            <w:vMerge/>
            <w:tcBorders>
              <w:left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8"/>
                <w:szCs w:val="18"/>
                <w:lang w:eastAsia="ro-RO"/>
              </w:rPr>
            </w:pPr>
          </w:p>
        </w:tc>
        <w:tc>
          <w:tcPr>
            <w:tcW w:w="1417" w:type="dxa"/>
            <w:gridSpan w:val="2"/>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(a) = (a1)+(a2)</w:t>
            </w:r>
          </w:p>
        </w:tc>
        <w:tc>
          <w:tcPr>
            <w:tcW w:w="851" w:type="dxa"/>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(b)</w:t>
            </w:r>
          </w:p>
        </w:tc>
        <w:tc>
          <w:tcPr>
            <w:tcW w:w="1701" w:type="dxa"/>
            <w:gridSpan w:val="2"/>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(c)</w:t>
            </w:r>
          </w:p>
        </w:tc>
        <w:tc>
          <w:tcPr>
            <w:tcW w:w="1842" w:type="dxa"/>
            <w:gridSpan w:val="2"/>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(d)</w:t>
            </w:r>
          </w:p>
        </w:tc>
      </w:tr>
      <w:tr w:rsidR="003F636F" w:rsidRPr="00375A13" w:rsidTr="00B93E6F">
        <w:trPr>
          <w:trHeight w:val="397"/>
          <w:jc w:val="center"/>
        </w:trPr>
        <w:tc>
          <w:tcPr>
            <w:tcW w:w="1277" w:type="dxa"/>
            <w:vMerge/>
            <w:tcBorders>
              <w:left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color w:val="000000"/>
                <w:sz w:val="18"/>
                <w:szCs w:val="18"/>
                <w:lang w:eastAsia="ro-RO"/>
              </w:rPr>
            </w:pPr>
          </w:p>
        </w:tc>
        <w:tc>
          <w:tcPr>
            <w:tcW w:w="1417" w:type="dxa"/>
            <w:gridSpan w:val="2"/>
            <w:vMerge w:val="restart"/>
            <w:tcBorders>
              <w:top w:val="single" w:sz="4" w:space="0" w:color="auto"/>
              <w:left w:val="nil"/>
              <w:bottom w:val="single" w:sz="4" w:space="0" w:color="000000"/>
              <w:right w:val="single" w:sz="4" w:space="0" w:color="000000"/>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53.7</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636F" w:rsidRPr="00375A13" w:rsidRDefault="00E26490" w:rsidP="00970E00">
            <w:pPr>
              <w:spacing w:line="240" w:lineRule="auto"/>
              <w:jc w:val="center"/>
              <w:rPr>
                <w:rFonts w:ascii="Calibri" w:hAnsi="Calibri"/>
                <w:color w:val="000000"/>
                <w:sz w:val="18"/>
                <w:szCs w:val="18"/>
                <w:lang w:eastAsia="ro-RO"/>
              </w:rPr>
            </w:pPr>
            <w:r>
              <w:rPr>
                <w:rFonts w:ascii="Calibri" w:hAnsi="Calibri"/>
                <w:color w:val="000000"/>
                <w:sz w:val="18"/>
                <w:szCs w:val="18"/>
                <w:lang w:eastAsia="ro-RO"/>
              </w:rPr>
              <w:t>131.</w:t>
            </w:r>
            <w:r w:rsidR="003F636F" w:rsidRPr="00375A13">
              <w:rPr>
                <w:rFonts w:ascii="Calibri" w:hAnsi="Calibri"/>
                <w:color w:val="000000"/>
                <w:sz w:val="18"/>
                <w:szCs w:val="18"/>
                <w:lang w:eastAsia="ro-RO"/>
              </w:rPr>
              <w:t>4</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108.5</w:t>
            </w:r>
          </w:p>
        </w:tc>
        <w:tc>
          <w:tcPr>
            <w:tcW w:w="184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29.8</w:t>
            </w:r>
          </w:p>
        </w:tc>
      </w:tr>
      <w:tr w:rsidR="003F636F" w:rsidRPr="00375A13" w:rsidTr="00B93E6F">
        <w:trPr>
          <w:trHeight w:val="380"/>
          <w:jc w:val="center"/>
        </w:trPr>
        <w:tc>
          <w:tcPr>
            <w:tcW w:w="1277" w:type="dxa"/>
            <w:vMerge/>
            <w:tcBorders>
              <w:left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1417" w:type="dxa"/>
            <w:gridSpan w:val="2"/>
            <w:vMerge/>
            <w:tcBorders>
              <w:top w:val="single" w:sz="4" w:space="0" w:color="auto"/>
              <w:left w:val="nil"/>
              <w:bottom w:val="single" w:sz="4" w:space="0" w:color="000000"/>
              <w:right w:val="single" w:sz="4" w:space="0" w:color="000000"/>
            </w:tcBorders>
            <w:shd w:val="clear" w:color="auto" w:fill="FFFF00"/>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851" w:type="dxa"/>
            <w:vMerge/>
            <w:tcBorders>
              <w:top w:val="nil"/>
              <w:left w:val="single" w:sz="4" w:space="0" w:color="auto"/>
              <w:bottom w:val="single" w:sz="4" w:space="0" w:color="000000"/>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1842" w:type="dxa"/>
            <w:gridSpan w:val="2"/>
            <w:vMerge/>
            <w:tcBorders>
              <w:top w:val="single" w:sz="4" w:space="0" w:color="auto"/>
              <w:left w:val="single" w:sz="4" w:space="0" w:color="auto"/>
              <w:bottom w:val="single" w:sz="4" w:space="0" w:color="000000"/>
              <w:right w:val="single" w:sz="4" w:space="0" w:color="000000"/>
            </w:tcBorders>
            <w:vAlign w:val="center"/>
            <w:hideMark/>
          </w:tcPr>
          <w:p w:rsidR="003F636F" w:rsidRPr="00375A13" w:rsidRDefault="003F636F" w:rsidP="00970E00">
            <w:pPr>
              <w:spacing w:line="240" w:lineRule="auto"/>
              <w:rPr>
                <w:rFonts w:ascii="Calibri" w:hAnsi="Calibri"/>
                <w:color w:val="000000"/>
                <w:sz w:val="18"/>
                <w:szCs w:val="18"/>
                <w:lang w:eastAsia="ro-RO"/>
              </w:rPr>
            </w:pPr>
          </w:p>
        </w:tc>
      </w:tr>
      <w:tr w:rsidR="003F636F" w:rsidRPr="00375A13" w:rsidTr="00B93E6F">
        <w:trPr>
          <w:cantSplit/>
          <w:trHeight w:val="854"/>
          <w:jc w:val="center"/>
        </w:trPr>
        <w:tc>
          <w:tcPr>
            <w:tcW w:w="1277" w:type="dxa"/>
            <w:vMerge/>
            <w:tcBorders>
              <w:left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709"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An 2015</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(a1)</w:t>
            </w:r>
          </w:p>
        </w:tc>
        <w:tc>
          <w:tcPr>
            <w:tcW w:w="708"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An 2016</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(a2)</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depuse</w:t>
            </w:r>
          </w:p>
        </w:tc>
        <w:tc>
          <w:tcPr>
            <w:tcW w:w="850"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Peste prag min</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Prag min.</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(puncte)</w:t>
            </w:r>
          </w:p>
        </w:tc>
        <w:tc>
          <w:tcPr>
            <w:tcW w:w="850"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 în limita buget alocat</w:t>
            </w:r>
          </w:p>
        </w:tc>
        <w:tc>
          <w:tcPr>
            <w:tcW w:w="992"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Prag (puncte)</w:t>
            </w:r>
          </w:p>
        </w:tc>
      </w:tr>
      <w:tr w:rsidR="003F636F" w:rsidRPr="00375A13" w:rsidTr="00B93E6F">
        <w:trPr>
          <w:trHeight w:val="152"/>
          <w:jc w:val="center"/>
        </w:trPr>
        <w:tc>
          <w:tcPr>
            <w:tcW w:w="1277" w:type="dxa"/>
            <w:vMerge/>
            <w:tcBorders>
              <w:left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709" w:type="dxa"/>
            <w:tcBorders>
              <w:top w:val="nil"/>
              <w:left w:val="nil"/>
              <w:bottom w:val="single" w:sz="4" w:space="0" w:color="auto"/>
              <w:right w:val="single" w:sz="4" w:space="0" w:color="auto"/>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29.8</w:t>
            </w:r>
          </w:p>
        </w:tc>
        <w:tc>
          <w:tcPr>
            <w:tcW w:w="708" w:type="dxa"/>
            <w:tcBorders>
              <w:top w:val="nil"/>
              <w:left w:val="nil"/>
              <w:bottom w:val="single" w:sz="4" w:space="0" w:color="auto"/>
              <w:right w:val="single" w:sz="4" w:space="0" w:color="auto"/>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23.9</w:t>
            </w:r>
          </w:p>
        </w:tc>
        <w:tc>
          <w:tcPr>
            <w:tcW w:w="851"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39</w:t>
            </w:r>
          </w:p>
        </w:tc>
        <w:tc>
          <w:tcPr>
            <w:tcW w:w="850"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30</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&gt;=60</w:t>
            </w:r>
          </w:p>
        </w:tc>
        <w:tc>
          <w:tcPr>
            <w:tcW w:w="850"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12</w:t>
            </w:r>
          </w:p>
        </w:tc>
        <w:tc>
          <w:tcPr>
            <w:tcW w:w="992"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&gt;=87</w:t>
            </w:r>
          </w:p>
        </w:tc>
      </w:tr>
      <w:tr w:rsidR="003F636F" w:rsidRPr="00375A13" w:rsidTr="00B93E6F">
        <w:trPr>
          <w:trHeight w:val="125"/>
          <w:jc w:val="center"/>
        </w:trPr>
        <w:tc>
          <w:tcPr>
            <w:tcW w:w="1277" w:type="dxa"/>
            <w:vMerge/>
            <w:tcBorders>
              <w:left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709" w:type="dxa"/>
            <w:tcBorders>
              <w:top w:val="single" w:sz="4" w:space="0" w:color="auto"/>
              <w:left w:val="single" w:sz="4" w:space="0" w:color="auto"/>
              <w:bottom w:val="single" w:sz="4" w:space="0" w:color="auto"/>
            </w:tcBorders>
            <w:shd w:val="clear" w:color="auto" w:fill="BDD6EE" w:themeFill="accent1" w:themeFillTint="66"/>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p>
        </w:tc>
        <w:tc>
          <w:tcPr>
            <w:tcW w:w="708" w:type="dxa"/>
            <w:tcBorders>
              <w:top w:val="single" w:sz="4" w:space="0" w:color="auto"/>
              <w:bottom w:val="single" w:sz="4" w:space="0" w:color="auto"/>
            </w:tcBorders>
            <w:shd w:val="clear" w:color="auto" w:fill="BDD6EE" w:themeFill="accent1" w:themeFillTint="66"/>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 </w:t>
            </w:r>
          </w:p>
        </w:tc>
        <w:tc>
          <w:tcPr>
            <w:tcW w:w="851" w:type="dxa"/>
            <w:tcBorders>
              <w:top w:val="single" w:sz="4" w:space="0" w:color="auto"/>
              <w:left w:val="nil"/>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850"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851"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850"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992"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r>
      <w:tr w:rsidR="003F636F" w:rsidRPr="00375A13" w:rsidTr="00B93E6F">
        <w:trPr>
          <w:trHeight w:val="70"/>
          <w:jc w:val="center"/>
        </w:trPr>
        <w:tc>
          <w:tcPr>
            <w:tcW w:w="1277" w:type="dxa"/>
            <w:vMerge/>
            <w:tcBorders>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1417" w:type="dxa"/>
            <w:gridSpan w:val="2"/>
            <w:tcBorders>
              <w:top w:val="single" w:sz="4" w:space="0" w:color="auto"/>
              <w:left w:val="nil"/>
              <w:bottom w:val="single" w:sz="4" w:space="0" w:color="auto"/>
              <w:right w:val="nil"/>
            </w:tcBorders>
            <w:shd w:val="clear" w:color="auto" w:fill="auto"/>
            <w:noWrap/>
            <w:vAlign w:val="bottom"/>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Procent din buget alocat 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6F" w:rsidRPr="00375A13" w:rsidRDefault="003F636F" w:rsidP="00970E00">
            <w:pPr>
              <w:spacing w:line="240" w:lineRule="auto"/>
              <w:jc w:val="right"/>
              <w:rPr>
                <w:rFonts w:ascii="Calibri" w:hAnsi="Calibri"/>
                <w:color w:val="000000"/>
                <w:sz w:val="18"/>
                <w:szCs w:val="18"/>
                <w:lang w:eastAsia="ro-RO"/>
              </w:rPr>
            </w:pPr>
            <w:r w:rsidRPr="00375A13">
              <w:rPr>
                <w:rFonts w:ascii="Calibri" w:hAnsi="Calibri"/>
                <w:color w:val="000000"/>
                <w:sz w:val="18"/>
                <w:szCs w:val="18"/>
                <w:lang w:eastAsia="ro-RO"/>
              </w:rPr>
              <w:t>440%</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376%</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100%</w:t>
            </w:r>
          </w:p>
        </w:tc>
      </w:tr>
    </w:tbl>
    <w:p w:rsidR="003F636F" w:rsidRPr="00375A13" w:rsidRDefault="003F636F" w:rsidP="003F636F">
      <w:pPr>
        <w:spacing w:line="240" w:lineRule="auto"/>
        <w:jc w:val="both"/>
        <w:rPr>
          <w:b/>
          <w:i/>
          <w:u w:val="single"/>
        </w:rPr>
      </w:pPr>
    </w:p>
    <w:p w:rsidR="003F636F" w:rsidRPr="00375A13" w:rsidRDefault="003F636F" w:rsidP="003F636F">
      <w:pPr>
        <w:spacing w:line="240" w:lineRule="auto"/>
        <w:ind w:left="284"/>
        <w:jc w:val="both"/>
        <w:rPr>
          <w:b/>
          <w:i/>
          <w:u w:val="single"/>
        </w:rPr>
      </w:pPr>
      <w:r w:rsidRPr="00375A13">
        <w:rPr>
          <w:b/>
          <w:i/>
          <w:u w:val="single"/>
        </w:rPr>
        <w:t>Acțiunea 1.1.1 Mari infrastructuri de Cercetare Dezvoltare – Tip proiect: Proiecte pentru clustere de inovare – Secţiunea B</w:t>
      </w:r>
    </w:p>
    <w:p w:rsidR="003F636F" w:rsidRPr="00375A13" w:rsidRDefault="003F636F" w:rsidP="003F636F">
      <w:pPr>
        <w:spacing w:line="240" w:lineRule="auto"/>
        <w:ind w:left="284"/>
        <w:jc w:val="both"/>
      </w:pPr>
      <w:r w:rsidRPr="00375A13">
        <w:t>În cadrul prezentului apel de proiecte s-au sprijinit:</w:t>
      </w:r>
    </w:p>
    <w:p w:rsidR="003F636F" w:rsidRPr="00375A13" w:rsidRDefault="003F636F" w:rsidP="003F636F">
      <w:pPr>
        <w:numPr>
          <w:ilvl w:val="0"/>
          <w:numId w:val="27"/>
        </w:numPr>
        <w:spacing w:line="240" w:lineRule="auto"/>
        <w:jc w:val="both"/>
      </w:pPr>
      <w:r w:rsidRPr="00375A13">
        <w:t>Investiții pentru dezvoltarea de noi facilități CD comune în clusterele de inovare și/sau modernizarea facilităților CD comune existente (departamente/centre/laboratoare de cercetare-dezvoltare comune, care aparțin clusterului, deși pot fi localizate fizic în cadrul unui sau unor partener/i din cadrul clusterului);</w:t>
      </w:r>
    </w:p>
    <w:p w:rsidR="003F636F" w:rsidRPr="00375A13" w:rsidRDefault="003F636F" w:rsidP="003F636F">
      <w:pPr>
        <w:numPr>
          <w:ilvl w:val="0"/>
          <w:numId w:val="27"/>
        </w:numPr>
        <w:spacing w:line="240" w:lineRule="auto"/>
        <w:jc w:val="both"/>
      </w:pPr>
      <w:r w:rsidRPr="00375A13">
        <w:t>Activități de inovare în clustere;</w:t>
      </w:r>
    </w:p>
    <w:p w:rsidR="003F636F" w:rsidRPr="00375A13" w:rsidRDefault="003F636F" w:rsidP="003F636F">
      <w:pPr>
        <w:numPr>
          <w:ilvl w:val="0"/>
          <w:numId w:val="27"/>
        </w:numPr>
        <w:spacing w:line="240" w:lineRule="auto"/>
        <w:jc w:val="both"/>
      </w:pPr>
      <w:r w:rsidRPr="00375A13">
        <w:lastRenderedPageBreak/>
        <w:t>Activități de exploatare pentru sprijinirea funcționării clusterelor (animarea și promovarea clusterului, gestionarea instalațiilor clusterului, organizarea de programe de formare, ateliere, conferințe).</w:t>
      </w:r>
    </w:p>
    <w:p w:rsidR="003F636F" w:rsidRPr="00375A13" w:rsidRDefault="003F636F" w:rsidP="003F636F">
      <w:pPr>
        <w:spacing w:line="240" w:lineRule="auto"/>
        <w:jc w:val="both"/>
      </w:pPr>
      <w:r w:rsidRPr="00375A13">
        <w:t>Valoarea finanțării publice nerambursabile, pentru un proiect, este cuprinsă între 4.500.000 lei şi 30.000.000 lei (max. 20.000.000 lei dacă proiectul conține activități de inovare pentru cluster).</w:t>
      </w:r>
    </w:p>
    <w:p w:rsidR="003F636F" w:rsidRPr="00375A13" w:rsidRDefault="003F636F" w:rsidP="003F636F">
      <w:pPr>
        <w:spacing w:line="240" w:lineRule="auto"/>
        <w:jc w:val="both"/>
      </w:pPr>
      <w:r w:rsidRPr="00375A13">
        <w:t>Valoarea finanțării publice nerambursabile nu va depăși echivalentul în lei a 7.500.000 euro sau, în cazul în care care proiectul conține activit</w:t>
      </w:r>
      <w:r>
        <w:t xml:space="preserve">ăți de inovare pentru cluster, </w:t>
      </w:r>
      <w:r w:rsidRPr="00375A13">
        <w:t>echivalentul în lei a 5.000.000 euro.</w:t>
      </w:r>
    </w:p>
    <w:p w:rsidR="003F636F" w:rsidRPr="00375A13" w:rsidRDefault="003F636F" w:rsidP="003F636F">
      <w:pPr>
        <w:spacing w:line="240" w:lineRule="auto"/>
        <w:jc w:val="both"/>
      </w:pPr>
      <w:r w:rsidRPr="00375A13">
        <w:t>Un solicitant/cluster de inovare poate depune un singur proiect în cadrul aceleiași cereri/apel de propuneri de proiecte.</w:t>
      </w:r>
    </w:p>
    <w:p w:rsidR="003F636F" w:rsidRPr="00375A13" w:rsidRDefault="003F636F" w:rsidP="003F636F">
      <w:pPr>
        <w:spacing w:line="240" w:lineRule="auto"/>
        <w:jc w:val="both"/>
        <w:rPr>
          <w:bCs/>
        </w:rPr>
      </w:pPr>
      <w:r w:rsidRPr="00375A13">
        <w:rPr>
          <w:b/>
          <w:bCs/>
        </w:rPr>
        <w:t>Categorii de aplicanti eligibili</w:t>
      </w:r>
      <w:r w:rsidRPr="00375A13">
        <w:rPr>
          <w:bCs/>
        </w:rPr>
        <w:t xml:space="preserve">: </w:t>
      </w:r>
    </w:p>
    <w:p w:rsidR="003F636F" w:rsidRPr="00375A13" w:rsidRDefault="003F636F" w:rsidP="003F636F">
      <w:pPr>
        <w:spacing w:line="240" w:lineRule="auto"/>
        <w:jc w:val="both"/>
        <w:rPr>
          <w:bCs/>
        </w:rPr>
      </w:pPr>
      <w:r w:rsidRPr="00375A13">
        <w:rPr>
          <w:bCs/>
        </w:rPr>
        <w:tab/>
        <w:t>a) Start-up-uri: întreprindere,</w:t>
      </w:r>
      <w:r>
        <w:rPr>
          <w:bCs/>
        </w:rPr>
        <w:t xml:space="preserve"> î</w:t>
      </w:r>
      <w:r w:rsidRPr="00375A13">
        <w:rPr>
          <w:bCs/>
        </w:rPr>
        <w:t>nfiin</w:t>
      </w:r>
      <w:r>
        <w:rPr>
          <w:bCs/>
        </w:rPr>
        <w:t>ţ</w:t>
      </w:r>
      <w:r w:rsidRPr="00375A13">
        <w:rPr>
          <w:bCs/>
        </w:rPr>
        <w:t>at</w:t>
      </w:r>
      <w:r>
        <w:rPr>
          <w:bCs/>
        </w:rPr>
        <w:t>ă</w:t>
      </w:r>
      <w:r w:rsidRPr="00375A13">
        <w:rPr>
          <w:bCs/>
        </w:rPr>
        <w:t xml:space="preserve"> </w:t>
      </w:r>
      <w:r>
        <w:rPr>
          <w:bCs/>
        </w:rPr>
        <w:t>î</w:t>
      </w:r>
      <w:r w:rsidRPr="00375A13">
        <w:rPr>
          <w:bCs/>
        </w:rPr>
        <w:t xml:space="preserve">n baza legii 31/1990, care înregistrează o vechime de maximum 3 ani în anul depunerii proiectului </w:t>
      </w:r>
    </w:p>
    <w:p w:rsidR="003F636F" w:rsidRPr="00375A13" w:rsidRDefault="003F636F" w:rsidP="003F636F">
      <w:pPr>
        <w:spacing w:line="240" w:lineRule="auto"/>
        <w:jc w:val="both"/>
        <w:rPr>
          <w:bCs/>
        </w:rPr>
      </w:pPr>
      <w:r w:rsidRPr="00375A13">
        <w:rPr>
          <w:bCs/>
        </w:rPr>
        <w:tab/>
        <w:t>b) Spin-off-uri: întreprinderi care urmează să se înfiinţeze pe baza unui rezultat obţinut în organizaţii de cercetare de drept public (instituţie de CD sau de învăţământ superior).</w:t>
      </w:r>
    </w:p>
    <w:p w:rsidR="003F636F" w:rsidRPr="00375A13" w:rsidRDefault="003F636F" w:rsidP="003F636F">
      <w:pPr>
        <w:spacing w:line="240" w:lineRule="auto"/>
        <w:jc w:val="both"/>
        <w:rPr>
          <w:bCs/>
        </w:rPr>
      </w:pPr>
      <w:r w:rsidRPr="00375A13">
        <w:rPr>
          <w:bCs/>
        </w:rPr>
        <w:t>Apelul a fost lansat în 27 Iunie 2015. Depunerea proiectelor s-a închis în data de 18 August 2015</w:t>
      </w:r>
      <w:r>
        <w:rPr>
          <w:bCs/>
        </w:rPr>
        <w:t>.</w:t>
      </w:r>
    </w:p>
    <w:p w:rsidR="003F636F" w:rsidRPr="00375A13" w:rsidRDefault="003F636F" w:rsidP="003F636F">
      <w:pPr>
        <w:spacing w:line="240" w:lineRule="auto"/>
        <w:jc w:val="both"/>
        <w:rPr>
          <w:bCs/>
        </w:rPr>
      </w:pPr>
      <w:r w:rsidRPr="00375A13">
        <w:rPr>
          <w:b/>
          <w:bCs/>
        </w:rPr>
        <w:t>Status la 31.12.2015:</w:t>
      </w:r>
      <w:r w:rsidRPr="00375A13">
        <w:rPr>
          <w:bCs/>
        </w:rPr>
        <w:t xml:space="preserve"> S-a finalizat evaluarea tehnico-stiintifică. Etapa de soluţionare contestaţii </w:t>
      </w:r>
      <w:r w:rsidR="00BF432B">
        <w:rPr>
          <w:bCs/>
        </w:rPr>
        <w:t>este</w:t>
      </w:r>
      <w:r w:rsidRPr="00375A13">
        <w:rPr>
          <w:bCs/>
        </w:rPr>
        <w:t xml:space="preserve"> în derulare. </w:t>
      </w:r>
    </w:p>
    <w:p w:rsidR="003F636F" w:rsidRPr="00375A13" w:rsidRDefault="003F636F" w:rsidP="003F636F">
      <w:pPr>
        <w:spacing w:line="240" w:lineRule="auto"/>
        <w:jc w:val="both"/>
        <w:rPr>
          <w:bCs/>
        </w:rPr>
      </w:pPr>
      <w:r w:rsidRPr="00375A13">
        <w:rPr>
          <w:bCs/>
        </w:rPr>
        <w:t>Evaluarea tehnico-științifică s-a efectuat de către un panel compus din 3 evaluator</w:t>
      </w:r>
      <w:r>
        <w:rPr>
          <w:bCs/>
        </w:rPr>
        <w:t xml:space="preserve">i externi români (2 evaluatori </w:t>
      </w:r>
      <w:r w:rsidRPr="00375A13">
        <w:rPr>
          <w:bCs/>
        </w:rPr>
        <w:t>științifici din domeniul de Specializare Inteligentă și de un evaluator tehnic), selectați și repartizați electronic din baza de date a evaluatorilor UEFISCDI.</w:t>
      </w:r>
    </w:p>
    <w:p w:rsidR="003F636F" w:rsidRPr="00375A13" w:rsidRDefault="003F636F" w:rsidP="003F636F">
      <w:pPr>
        <w:pStyle w:val="ListParagraph"/>
        <w:numPr>
          <w:ilvl w:val="0"/>
          <w:numId w:val="28"/>
        </w:numPr>
        <w:spacing w:line="240" w:lineRule="auto"/>
        <w:jc w:val="both"/>
      </w:pPr>
      <w:r>
        <w:t xml:space="preserve">8 </w:t>
      </w:r>
      <w:r w:rsidRPr="00375A13">
        <w:t>proiecte depuse, valoare AFN: 16.7 mil. Euro;</w:t>
      </w:r>
    </w:p>
    <w:p w:rsidR="003F636F" w:rsidRPr="00375A13" w:rsidRDefault="003F636F" w:rsidP="003F636F">
      <w:pPr>
        <w:pStyle w:val="ListParagraph"/>
        <w:numPr>
          <w:ilvl w:val="0"/>
          <w:numId w:val="28"/>
        </w:numPr>
        <w:spacing w:line="240" w:lineRule="auto"/>
        <w:jc w:val="both"/>
      </w:pPr>
      <w:r w:rsidRPr="00375A13">
        <w:t>8 proiecte selectate în această eta</w:t>
      </w:r>
      <w:r>
        <w:t>pă, valoare AFN: 16.7 mil. Euro;</w:t>
      </w:r>
    </w:p>
    <w:p w:rsidR="003F636F" w:rsidRPr="00375A13" w:rsidRDefault="003F636F" w:rsidP="003F636F">
      <w:pPr>
        <w:pStyle w:val="ListParagraph"/>
        <w:numPr>
          <w:ilvl w:val="0"/>
          <w:numId w:val="28"/>
        </w:numPr>
        <w:spacing w:line="240" w:lineRule="auto"/>
        <w:jc w:val="both"/>
      </w:pPr>
      <w:r w:rsidRPr="00375A13">
        <w:t>7 proiecte selectate pentru finanta</w:t>
      </w:r>
      <w:r>
        <w:t>re, valoare AFN: 15.8 mil. Euro;</w:t>
      </w:r>
    </w:p>
    <w:p w:rsidR="003F636F" w:rsidRPr="00375A13" w:rsidRDefault="003F636F" w:rsidP="003F636F">
      <w:pPr>
        <w:pStyle w:val="ListParagraph"/>
        <w:numPr>
          <w:ilvl w:val="0"/>
          <w:numId w:val="28"/>
        </w:numPr>
        <w:spacing w:line="240" w:lineRule="auto"/>
        <w:jc w:val="both"/>
      </w:pPr>
      <w:r w:rsidRPr="00375A13">
        <w:t>O primă reuniune a Comitetului de Selecţie a avut loc în 21.12.2015. Aprobarea proiectelor selectate pentru finanţare de către Comitetul de Selecţie urmând a avea loc la începutul anului 2016.</w:t>
      </w:r>
    </w:p>
    <w:tbl>
      <w:tblPr>
        <w:tblW w:w="7179" w:type="dxa"/>
        <w:jc w:val="center"/>
        <w:tblLayout w:type="fixed"/>
        <w:tblLook w:val="04A0" w:firstRow="1" w:lastRow="0" w:firstColumn="1" w:lastColumn="0" w:noHBand="0" w:noVBand="1"/>
      </w:tblPr>
      <w:tblGrid>
        <w:gridCol w:w="1273"/>
        <w:gridCol w:w="707"/>
        <w:gridCol w:w="707"/>
        <w:gridCol w:w="851"/>
        <w:gridCol w:w="850"/>
        <w:gridCol w:w="851"/>
        <w:gridCol w:w="850"/>
        <w:gridCol w:w="854"/>
        <w:gridCol w:w="236"/>
      </w:tblGrid>
      <w:tr w:rsidR="003F636F" w:rsidRPr="00375A13" w:rsidTr="00970E00">
        <w:trPr>
          <w:gridAfter w:val="1"/>
          <w:wAfter w:w="236" w:type="dxa"/>
          <w:trHeight w:val="154"/>
          <w:jc w:val="center"/>
        </w:trPr>
        <w:tc>
          <w:tcPr>
            <w:tcW w:w="1273" w:type="dxa"/>
            <w:noWrap/>
            <w:vAlign w:val="bottom"/>
            <w:hideMark/>
          </w:tcPr>
          <w:p w:rsidR="003F636F" w:rsidRPr="00375A13" w:rsidRDefault="003F636F" w:rsidP="00970E00">
            <w:pPr>
              <w:spacing w:line="240" w:lineRule="auto"/>
              <w:rPr>
                <w:rFonts w:ascii="Calibri" w:eastAsia="Calibri" w:hAnsi="Calibri"/>
                <w:sz w:val="16"/>
                <w:szCs w:val="16"/>
              </w:rPr>
            </w:pPr>
          </w:p>
        </w:tc>
        <w:tc>
          <w:tcPr>
            <w:tcW w:w="5670" w:type="dxa"/>
            <w:gridSpan w:val="7"/>
            <w:tcBorders>
              <w:top w:val="single" w:sz="4" w:space="0" w:color="auto"/>
              <w:left w:val="single" w:sz="4" w:space="0" w:color="auto"/>
              <w:bottom w:val="nil"/>
              <w:right w:val="single" w:sz="4" w:space="0" w:color="000000"/>
            </w:tcBorders>
            <w:noWrap/>
            <w:vAlign w:val="bottom"/>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 xml:space="preserve">Secţiunea B </w:t>
            </w:r>
          </w:p>
        </w:tc>
      </w:tr>
      <w:tr w:rsidR="003F636F" w:rsidRPr="00375A13" w:rsidTr="00970E00">
        <w:trPr>
          <w:gridAfter w:val="1"/>
          <w:wAfter w:w="236" w:type="dxa"/>
          <w:trHeight w:val="154"/>
          <w:jc w:val="center"/>
        </w:trPr>
        <w:tc>
          <w:tcPr>
            <w:tcW w:w="1273" w:type="dxa"/>
            <w:noWrap/>
            <w:vAlign w:val="bottom"/>
            <w:hideMark/>
          </w:tcPr>
          <w:p w:rsidR="003F636F" w:rsidRPr="00375A13" w:rsidRDefault="003F636F" w:rsidP="00970E00">
            <w:pPr>
              <w:spacing w:line="240" w:lineRule="auto"/>
              <w:rPr>
                <w:rFonts w:ascii="Calibri" w:eastAsia="Calibri" w:hAnsi="Calibri"/>
                <w:sz w:val="16"/>
                <w:szCs w:val="16"/>
              </w:rPr>
            </w:pPr>
          </w:p>
        </w:tc>
        <w:tc>
          <w:tcPr>
            <w:tcW w:w="5670" w:type="dxa"/>
            <w:gridSpan w:val="7"/>
            <w:tcBorders>
              <w:top w:val="nil"/>
              <w:left w:val="single" w:sz="4" w:space="0" w:color="auto"/>
              <w:bottom w:val="single" w:sz="4" w:space="0" w:color="auto"/>
              <w:right w:val="single" w:sz="4" w:space="0" w:color="000000"/>
            </w:tcBorders>
            <w:noWrap/>
            <w:vAlign w:val="bottom"/>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 xml:space="preserve">                                                                                  FEDR+BS  (mil. Euro)                                                            </w:t>
            </w:r>
          </w:p>
        </w:tc>
      </w:tr>
      <w:tr w:rsidR="003F636F" w:rsidRPr="00375A13" w:rsidTr="00970E00">
        <w:trPr>
          <w:gridAfter w:val="1"/>
          <w:wAfter w:w="236" w:type="dxa"/>
          <w:trHeight w:val="747"/>
          <w:jc w:val="center"/>
        </w:trPr>
        <w:tc>
          <w:tcPr>
            <w:tcW w:w="1273" w:type="dxa"/>
            <w:vMerge w:val="restart"/>
            <w:tcBorders>
              <w:top w:val="single" w:sz="4" w:space="0" w:color="auto"/>
              <w:left w:val="single" w:sz="4" w:space="0" w:color="auto"/>
              <w:right w:val="single" w:sz="4" w:space="0" w:color="auto"/>
            </w:tcBorders>
            <w:vAlign w:val="center"/>
            <w:hideMark/>
          </w:tcPr>
          <w:p w:rsidR="003F636F" w:rsidRPr="00375A13" w:rsidRDefault="003F636F" w:rsidP="00970E00">
            <w:pPr>
              <w:spacing w:line="240" w:lineRule="auto"/>
              <w:rPr>
                <w:rFonts w:ascii="Calibri" w:hAnsi="Calibri"/>
                <w:b/>
                <w:color w:val="000000"/>
                <w:sz w:val="16"/>
                <w:szCs w:val="16"/>
                <w:lang w:eastAsia="ro-RO"/>
              </w:rPr>
            </w:pPr>
            <w:r w:rsidRPr="00375A13">
              <w:rPr>
                <w:rFonts w:ascii="Calibri" w:hAnsi="Calibri"/>
                <w:b/>
                <w:color w:val="000000"/>
                <w:sz w:val="16"/>
                <w:szCs w:val="16"/>
                <w:lang w:eastAsia="ro-RO"/>
              </w:rPr>
              <w:t>Beneficiar eligibil</w:t>
            </w:r>
          </w:p>
        </w:tc>
        <w:tc>
          <w:tcPr>
            <w:tcW w:w="1414"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Buget total alocat</w:t>
            </w:r>
          </w:p>
        </w:tc>
        <w:tc>
          <w:tcPr>
            <w:tcW w:w="851" w:type="dxa"/>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b/>
                <w:color w:val="000000"/>
                <w:sz w:val="16"/>
                <w:szCs w:val="16"/>
                <w:lang w:eastAsia="ro-RO"/>
              </w:rPr>
            </w:pPr>
            <w:r w:rsidRPr="00375A13">
              <w:rPr>
                <w:rFonts w:ascii="Calibri" w:hAnsi="Calibri"/>
                <w:b/>
                <w:color w:val="000000"/>
                <w:sz w:val="16"/>
                <w:szCs w:val="16"/>
                <w:lang w:eastAsia="ro-RO"/>
              </w:rPr>
              <w:t xml:space="preserve">Buget proiecte depuse </w:t>
            </w:r>
          </w:p>
        </w:tc>
        <w:tc>
          <w:tcPr>
            <w:tcW w:w="1701"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Valoare proiecte eligibile peste prag minim cf. ghid.</w:t>
            </w:r>
          </w:p>
        </w:tc>
        <w:tc>
          <w:tcPr>
            <w:tcW w:w="1704"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bCs/>
                <w:color w:val="000000"/>
                <w:sz w:val="16"/>
                <w:szCs w:val="16"/>
                <w:lang w:eastAsia="ro-RO"/>
              </w:rPr>
              <w:t>Valoare proiecte propuse pentru finanţare de Comitetul de Selecţie</w:t>
            </w:r>
          </w:p>
        </w:tc>
      </w:tr>
      <w:tr w:rsidR="003F636F" w:rsidRPr="00375A13" w:rsidTr="00970E00">
        <w:trPr>
          <w:gridAfter w:val="1"/>
          <w:wAfter w:w="236" w:type="dxa"/>
          <w:trHeight w:val="302"/>
          <w:jc w:val="center"/>
        </w:trPr>
        <w:tc>
          <w:tcPr>
            <w:tcW w:w="1273" w:type="dxa"/>
            <w:vMerge/>
            <w:tcBorders>
              <w:left w:val="single" w:sz="4" w:space="0" w:color="auto"/>
              <w:bottom w:val="single" w:sz="4" w:space="0" w:color="auto"/>
              <w:right w:val="single" w:sz="4" w:space="0" w:color="auto"/>
            </w:tcBorders>
            <w:vAlign w:val="center"/>
          </w:tcPr>
          <w:p w:rsidR="003F636F" w:rsidRPr="00375A13" w:rsidRDefault="003F636F" w:rsidP="00970E00">
            <w:pPr>
              <w:spacing w:line="240" w:lineRule="auto"/>
              <w:rPr>
                <w:rFonts w:ascii="Calibri" w:hAnsi="Calibri"/>
                <w:color w:val="000000"/>
                <w:sz w:val="16"/>
                <w:szCs w:val="16"/>
                <w:lang w:eastAsia="ro-RO"/>
              </w:rPr>
            </w:pPr>
          </w:p>
        </w:tc>
        <w:tc>
          <w:tcPr>
            <w:tcW w:w="1414"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(a) = (a1)+(a2)</w:t>
            </w:r>
          </w:p>
        </w:tc>
        <w:tc>
          <w:tcPr>
            <w:tcW w:w="851" w:type="dxa"/>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(b)</w:t>
            </w:r>
          </w:p>
        </w:tc>
        <w:tc>
          <w:tcPr>
            <w:tcW w:w="1701"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(c)</w:t>
            </w:r>
          </w:p>
        </w:tc>
        <w:tc>
          <w:tcPr>
            <w:tcW w:w="1704"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(d)</w:t>
            </w:r>
          </w:p>
        </w:tc>
      </w:tr>
      <w:tr w:rsidR="003F636F" w:rsidRPr="00375A13" w:rsidTr="00970E00">
        <w:trPr>
          <w:gridAfter w:val="1"/>
          <w:wAfter w:w="236" w:type="dxa"/>
          <w:trHeight w:val="397"/>
          <w:jc w:val="center"/>
        </w:trPr>
        <w:tc>
          <w:tcPr>
            <w:tcW w:w="1273" w:type="dxa"/>
            <w:vMerge w:val="restart"/>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Clustere de inovare</w:t>
            </w:r>
          </w:p>
        </w:tc>
        <w:tc>
          <w:tcPr>
            <w:tcW w:w="1414" w:type="dxa"/>
            <w:gridSpan w:val="2"/>
            <w:vMerge w:val="restart"/>
            <w:tcBorders>
              <w:top w:val="single" w:sz="4" w:space="0" w:color="auto"/>
              <w:left w:val="nil"/>
              <w:bottom w:val="single" w:sz="4" w:space="0" w:color="000000"/>
              <w:right w:val="single" w:sz="4" w:space="0" w:color="000000"/>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53.7</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16.7</w:t>
            </w:r>
          </w:p>
        </w:tc>
        <w:tc>
          <w:tcPr>
            <w:tcW w:w="1701"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15.8</w:t>
            </w:r>
          </w:p>
        </w:tc>
        <w:tc>
          <w:tcPr>
            <w:tcW w:w="1704"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15.8</w:t>
            </w:r>
          </w:p>
        </w:tc>
      </w:tr>
      <w:tr w:rsidR="003F636F" w:rsidRPr="00375A13" w:rsidTr="00BF432B">
        <w:trPr>
          <w:gridAfter w:val="1"/>
          <w:wAfter w:w="236" w:type="dxa"/>
          <w:trHeight w:val="355"/>
          <w:jc w:val="center"/>
        </w:trPr>
        <w:tc>
          <w:tcPr>
            <w:tcW w:w="1273"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1414" w:type="dxa"/>
            <w:gridSpan w:val="2"/>
            <w:vMerge/>
            <w:tcBorders>
              <w:top w:val="single" w:sz="4" w:space="0" w:color="auto"/>
              <w:left w:val="nil"/>
              <w:bottom w:val="single" w:sz="4" w:space="0" w:color="000000"/>
              <w:right w:val="single" w:sz="4" w:space="0" w:color="000000"/>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851" w:type="dxa"/>
            <w:vMerge/>
            <w:tcBorders>
              <w:top w:val="nil"/>
              <w:left w:val="single" w:sz="4" w:space="0" w:color="auto"/>
              <w:bottom w:val="single" w:sz="4" w:space="0" w:color="000000"/>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F636F" w:rsidRPr="00375A13" w:rsidRDefault="003F636F" w:rsidP="00970E00">
            <w:pPr>
              <w:spacing w:line="240" w:lineRule="auto"/>
              <w:rPr>
                <w:rFonts w:ascii="Calibri" w:hAnsi="Calibri"/>
                <w:color w:val="000000"/>
                <w:sz w:val="16"/>
                <w:szCs w:val="16"/>
                <w:lang w:eastAsia="ro-RO"/>
              </w:rPr>
            </w:pPr>
          </w:p>
        </w:tc>
      </w:tr>
      <w:tr w:rsidR="003F636F" w:rsidRPr="00375A13" w:rsidTr="00970E00">
        <w:trPr>
          <w:gridAfter w:val="1"/>
          <w:wAfter w:w="236" w:type="dxa"/>
          <w:cantSplit/>
          <w:trHeight w:val="1134"/>
          <w:jc w:val="center"/>
        </w:trPr>
        <w:tc>
          <w:tcPr>
            <w:tcW w:w="1273"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707"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An 2015</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(a1)</w:t>
            </w:r>
          </w:p>
        </w:tc>
        <w:tc>
          <w:tcPr>
            <w:tcW w:w="707"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An 2016</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(a2)</w:t>
            </w:r>
          </w:p>
        </w:tc>
        <w:tc>
          <w:tcPr>
            <w:tcW w:w="851"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depuse</w:t>
            </w:r>
          </w:p>
        </w:tc>
        <w:tc>
          <w:tcPr>
            <w:tcW w:w="850"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Peste prag min</w:t>
            </w:r>
          </w:p>
        </w:tc>
        <w:tc>
          <w:tcPr>
            <w:tcW w:w="851"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Prag min.</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(puncte)</w:t>
            </w:r>
          </w:p>
        </w:tc>
        <w:tc>
          <w:tcPr>
            <w:tcW w:w="850"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selectate</w:t>
            </w:r>
          </w:p>
        </w:tc>
        <w:tc>
          <w:tcPr>
            <w:tcW w:w="854"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Prag (puncte)</w:t>
            </w:r>
          </w:p>
        </w:tc>
      </w:tr>
      <w:tr w:rsidR="003F636F" w:rsidRPr="00375A13" w:rsidTr="00970E00">
        <w:trPr>
          <w:gridAfter w:val="1"/>
          <w:wAfter w:w="236" w:type="dxa"/>
          <w:trHeight w:val="154"/>
          <w:jc w:val="center"/>
        </w:trPr>
        <w:tc>
          <w:tcPr>
            <w:tcW w:w="1273"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707" w:type="dxa"/>
            <w:tcBorders>
              <w:top w:val="nil"/>
              <w:left w:val="nil"/>
              <w:bottom w:val="single" w:sz="4" w:space="0" w:color="auto"/>
              <w:right w:val="single" w:sz="4" w:space="0" w:color="auto"/>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35.8</w:t>
            </w:r>
          </w:p>
        </w:tc>
        <w:tc>
          <w:tcPr>
            <w:tcW w:w="707" w:type="dxa"/>
            <w:tcBorders>
              <w:top w:val="nil"/>
              <w:left w:val="nil"/>
              <w:bottom w:val="single" w:sz="4" w:space="0" w:color="auto"/>
              <w:right w:val="single" w:sz="4" w:space="0" w:color="auto"/>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17.9</w:t>
            </w:r>
          </w:p>
        </w:tc>
        <w:tc>
          <w:tcPr>
            <w:tcW w:w="851"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8</w:t>
            </w:r>
          </w:p>
        </w:tc>
        <w:tc>
          <w:tcPr>
            <w:tcW w:w="850"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7</w:t>
            </w:r>
          </w:p>
        </w:tc>
        <w:tc>
          <w:tcPr>
            <w:tcW w:w="851"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&gt;=79</w:t>
            </w:r>
          </w:p>
        </w:tc>
        <w:tc>
          <w:tcPr>
            <w:tcW w:w="850"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7</w:t>
            </w:r>
          </w:p>
        </w:tc>
        <w:tc>
          <w:tcPr>
            <w:tcW w:w="854" w:type="dxa"/>
            <w:tcBorders>
              <w:top w:val="single" w:sz="4" w:space="0" w:color="auto"/>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&gt;=79</w:t>
            </w:r>
          </w:p>
        </w:tc>
      </w:tr>
      <w:tr w:rsidR="003F636F" w:rsidRPr="00375A13" w:rsidTr="00970E00">
        <w:trPr>
          <w:trHeight w:val="72"/>
          <w:jc w:val="center"/>
        </w:trPr>
        <w:tc>
          <w:tcPr>
            <w:tcW w:w="1273"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707" w:type="dxa"/>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rsidR="003F636F" w:rsidRPr="00375A13" w:rsidRDefault="003F636F" w:rsidP="00970E00">
            <w:pPr>
              <w:spacing w:line="240" w:lineRule="auto"/>
              <w:rPr>
                <w:rFonts w:ascii="Calibri" w:eastAsia="Calibri" w:hAnsi="Calibri"/>
                <w:sz w:val="16"/>
                <w:szCs w:val="16"/>
              </w:rPr>
            </w:pPr>
          </w:p>
        </w:tc>
        <w:tc>
          <w:tcPr>
            <w:tcW w:w="707" w:type="dxa"/>
            <w:tcBorders>
              <w:top w:val="single" w:sz="4" w:space="0" w:color="auto"/>
              <w:left w:val="nil"/>
              <w:bottom w:val="single" w:sz="4" w:space="0" w:color="auto"/>
              <w:right w:val="nil"/>
            </w:tcBorders>
            <w:shd w:val="clear" w:color="auto" w:fill="BDD6EE" w:themeFill="accent1" w:themeFillTint="66"/>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 </w:t>
            </w:r>
          </w:p>
        </w:tc>
        <w:tc>
          <w:tcPr>
            <w:tcW w:w="851" w:type="dxa"/>
            <w:tcBorders>
              <w:top w:val="single" w:sz="4" w:space="0" w:color="auto"/>
              <w:left w:val="nil"/>
              <w:bottom w:val="single" w:sz="4" w:space="0" w:color="auto"/>
              <w:right w:val="nil"/>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c>
          <w:tcPr>
            <w:tcW w:w="850" w:type="dxa"/>
            <w:tcBorders>
              <w:top w:val="single" w:sz="4" w:space="0" w:color="auto"/>
              <w:left w:val="nil"/>
              <w:bottom w:val="single" w:sz="4" w:space="0" w:color="auto"/>
              <w:right w:val="nil"/>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c>
          <w:tcPr>
            <w:tcW w:w="851" w:type="dxa"/>
            <w:tcBorders>
              <w:top w:val="single" w:sz="4" w:space="0" w:color="auto"/>
              <w:left w:val="nil"/>
              <w:bottom w:val="single" w:sz="4" w:space="0" w:color="auto"/>
              <w:right w:val="nil"/>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c>
          <w:tcPr>
            <w:tcW w:w="850" w:type="dxa"/>
            <w:tcBorders>
              <w:top w:val="single" w:sz="4" w:space="0" w:color="auto"/>
              <w:left w:val="nil"/>
              <w:bottom w:val="single" w:sz="4" w:space="0" w:color="auto"/>
              <w:right w:val="nil"/>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c>
          <w:tcPr>
            <w:tcW w:w="85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c>
          <w:tcPr>
            <w:tcW w:w="236" w:type="dxa"/>
            <w:tcBorders>
              <w:left w:val="nil"/>
              <w:right w:val="nil"/>
            </w:tcBorders>
            <w:shd w:val="clear" w:color="auto" w:fill="auto"/>
            <w:noWrap/>
            <w:vAlign w:val="bottom"/>
          </w:tcPr>
          <w:p w:rsidR="003F636F" w:rsidRPr="00375A13" w:rsidRDefault="003F636F" w:rsidP="00970E00">
            <w:pPr>
              <w:spacing w:line="240" w:lineRule="auto"/>
              <w:rPr>
                <w:rFonts w:ascii="Calibri" w:hAnsi="Calibri"/>
                <w:color w:val="000000"/>
                <w:sz w:val="16"/>
                <w:szCs w:val="16"/>
                <w:lang w:eastAsia="ro-RO"/>
              </w:rPr>
            </w:pPr>
          </w:p>
        </w:tc>
      </w:tr>
      <w:tr w:rsidR="003F636F" w:rsidRPr="00375A13" w:rsidTr="00970E00">
        <w:trPr>
          <w:trHeight w:val="486"/>
          <w:jc w:val="center"/>
        </w:trPr>
        <w:tc>
          <w:tcPr>
            <w:tcW w:w="1273"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1414" w:type="dxa"/>
            <w:gridSpan w:val="2"/>
            <w:tcBorders>
              <w:top w:val="single" w:sz="4" w:space="0" w:color="auto"/>
              <w:left w:val="nil"/>
              <w:bottom w:val="single" w:sz="4" w:space="0" w:color="auto"/>
              <w:right w:val="nil"/>
            </w:tcBorders>
            <w:noWrap/>
            <w:vAlign w:val="bottom"/>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Procent din buget alocat 2015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46%</w:t>
            </w:r>
          </w:p>
        </w:tc>
        <w:tc>
          <w:tcPr>
            <w:tcW w:w="1701" w:type="dxa"/>
            <w:gridSpan w:val="2"/>
            <w:tcBorders>
              <w:top w:val="single" w:sz="4" w:space="0" w:color="auto"/>
              <w:left w:val="nil"/>
              <w:bottom w:val="single" w:sz="4" w:space="0" w:color="auto"/>
              <w:right w:val="single" w:sz="4" w:space="0" w:color="000000"/>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42%</w:t>
            </w:r>
          </w:p>
        </w:tc>
        <w:tc>
          <w:tcPr>
            <w:tcW w:w="1704" w:type="dxa"/>
            <w:gridSpan w:val="2"/>
            <w:tcBorders>
              <w:top w:val="single" w:sz="4" w:space="0" w:color="auto"/>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42%</w:t>
            </w:r>
          </w:p>
        </w:tc>
        <w:tc>
          <w:tcPr>
            <w:tcW w:w="236" w:type="dxa"/>
            <w:tcBorders>
              <w:left w:val="single" w:sz="4" w:space="0" w:color="auto"/>
            </w:tcBorders>
            <w:noWrap/>
            <w:vAlign w:val="bottom"/>
          </w:tcPr>
          <w:p w:rsidR="003F636F" w:rsidRPr="00375A13" w:rsidRDefault="003F636F" w:rsidP="00970E00">
            <w:pPr>
              <w:spacing w:line="240" w:lineRule="auto"/>
              <w:jc w:val="right"/>
              <w:rPr>
                <w:rFonts w:ascii="Calibri" w:hAnsi="Calibri"/>
                <w:color w:val="000000"/>
                <w:sz w:val="16"/>
                <w:szCs w:val="16"/>
                <w:lang w:eastAsia="ro-RO"/>
              </w:rPr>
            </w:pPr>
          </w:p>
        </w:tc>
      </w:tr>
    </w:tbl>
    <w:p w:rsidR="003F636F" w:rsidRPr="00375A13" w:rsidRDefault="003F636F" w:rsidP="003F636F">
      <w:pPr>
        <w:spacing w:line="240" w:lineRule="auto"/>
        <w:ind w:left="644"/>
        <w:jc w:val="both"/>
      </w:pPr>
    </w:p>
    <w:p w:rsidR="003F636F" w:rsidRPr="00375A13" w:rsidRDefault="003F636F" w:rsidP="003F636F">
      <w:pPr>
        <w:spacing w:line="240" w:lineRule="auto"/>
        <w:jc w:val="both"/>
        <w:rPr>
          <w:b/>
          <w:i/>
          <w:u w:val="single"/>
        </w:rPr>
      </w:pPr>
      <w:r w:rsidRPr="00375A13">
        <w:rPr>
          <w:b/>
          <w:i/>
          <w:u w:val="single"/>
        </w:rPr>
        <w:t>Acțiunea 1.1.1 Mari infrastructuri de Cercetare Dezvoltare – Tip proiect: Proiecte de investiții pentru instituții publice de CD/universități – Secțiunea F</w:t>
      </w:r>
    </w:p>
    <w:p w:rsidR="003F636F" w:rsidRPr="00375A13" w:rsidRDefault="003F636F" w:rsidP="003F636F">
      <w:pPr>
        <w:spacing w:line="240" w:lineRule="auto"/>
        <w:jc w:val="both"/>
      </w:pPr>
      <w:r w:rsidRPr="00375A13">
        <w:t>Prin acest tip de proiect se urmărește sprijinirea instituțiilor publice de cercetare în vederea creșterii capacității lor de cercetare-dezvoltare și de transfer de cunoștințe prin creare</w:t>
      </w:r>
      <w:r>
        <w:t xml:space="preserve">a sau modernizarea unor centre/ laboratoare/ instalații </w:t>
      </w:r>
      <w:r w:rsidRPr="00375A13">
        <w:t>de cercetare, care pot deservi cerințele de inovare ale unor structuri cu potențial de clu</w:t>
      </w:r>
      <w:r>
        <w:t xml:space="preserve">ster, existente sau emergente, </w:t>
      </w:r>
      <w:r w:rsidRPr="00375A13">
        <w:t xml:space="preserve">din sectoare economice competitive sau cu potențial de creștere la nivel național sau al comunităților unde se dezvoltă aceste investiții de cercetare. </w:t>
      </w:r>
    </w:p>
    <w:p w:rsidR="003F636F" w:rsidRPr="00375A13" w:rsidRDefault="003F636F" w:rsidP="003F636F">
      <w:pPr>
        <w:spacing w:line="240" w:lineRule="auto"/>
        <w:jc w:val="both"/>
      </w:pPr>
      <w:r w:rsidRPr="00375A13">
        <w:t>Pot fi finanțate numai institutele de cercetare de drept public sau de învățământ superior de stat cu o performanță instituțională  de cercetare înaltă, demonstrată de calificativul obținut în urma procesului de evaluare (“A+” și “A” pentru institute CD, respectiv “B” universități de educație și cercetare științifică și “C” universități de cercetare avansată și educație).</w:t>
      </w:r>
    </w:p>
    <w:p w:rsidR="003F636F" w:rsidRPr="00375A13" w:rsidRDefault="003F636F" w:rsidP="003F636F">
      <w:pPr>
        <w:spacing w:line="240" w:lineRule="auto"/>
        <w:jc w:val="both"/>
      </w:pPr>
      <w:r w:rsidRPr="00375A13">
        <w:t>În cadrul prezentului apel de proiecte se vor sprijini:</w:t>
      </w:r>
    </w:p>
    <w:p w:rsidR="003F636F" w:rsidRPr="00375A13" w:rsidRDefault="003F636F" w:rsidP="003F636F">
      <w:pPr>
        <w:numPr>
          <w:ilvl w:val="0"/>
          <w:numId w:val="27"/>
        </w:numPr>
        <w:spacing w:line="240" w:lineRule="auto"/>
        <w:jc w:val="both"/>
      </w:pPr>
      <w:r w:rsidRPr="00375A13">
        <w:t>Construcția de noi laboratoare, centre de cercetare, însoțită obligatoriu de dotarea acestora cu echipamente și instrumente de cercetare ;</w:t>
      </w:r>
    </w:p>
    <w:p w:rsidR="003F636F" w:rsidRPr="00375A13" w:rsidRDefault="003F636F" w:rsidP="003F636F">
      <w:pPr>
        <w:numPr>
          <w:ilvl w:val="0"/>
          <w:numId w:val="27"/>
        </w:numPr>
        <w:spacing w:line="240" w:lineRule="auto"/>
        <w:jc w:val="both"/>
      </w:pPr>
      <w:r w:rsidRPr="00375A13">
        <w:t>Modernizarea, extinderea, consolidarea și schimbarea de destinație a laboratoarelor, centrelor de cercetare existente, însoțită obligatoriu de dotarea acestora cu echipamente și instrumente de cercetare;</w:t>
      </w:r>
    </w:p>
    <w:p w:rsidR="003F636F" w:rsidRPr="00375A13" w:rsidRDefault="003F636F" w:rsidP="003F636F">
      <w:pPr>
        <w:numPr>
          <w:ilvl w:val="0"/>
          <w:numId w:val="27"/>
        </w:numPr>
        <w:spacing w:line="240" w:lineRule="auto"/>
        <w:jc w:val="both"/>
      </w:pPr>
      <w:r w:rsidRPr="00375A13">
        <w:t>Achiziția de  echipamente și instrumente de cercetare.</w:t>
      </w:r>
    </w:p>
    <w:p w:rsidR="003F636F" w:rsidRPr="00375A13" w:rsidRDefault="003F636F" w:rsidP="003F636F">
      <w:pPr>
        <w:spacing w:line="240" w:lineRule="auto"/>
        <w:jc w:val="both"/>
      </w:pPr>
      <w:r w:rsidRPr="00375A13">
        <w:t>Valoarea finanțării publice nerambursabile, pentru un proiect, va fi cuprinsă între 4.500.000 lei și 90.000.000 lei.</w:t>
      </w:r>
    </w:p>
    <w:p w:rsidR="003F636F" w:rsidRPr="00375A13" w:rsidRDefault="003F636F" w:rsidP="003F636F">
      <w:pPr>
        <w:spacing w:line="240" w:lineRule="auto"/>
        <w:jc w:val="both"/>
      </w:pPr>
      <w:r w:rsidRPr="00375A13">
        <w:t>Valoarea totală a proiectului (costuri eligibile și neeligibi</w:t>
      </w:r>
      <w:r>
        <w:t xml:space="preserve">le) nu poate depăși 225.000.000 </w:t>
      </w:r>
      <w:r w:rsidRPr="00375A13">
        <w:t>lei (50 milioane euro).</w:t>
      </w:r>
    </w:p>
    <w:p w:rsidR="003F636F" w:rsidRPr="00375A13" w:rsidRDefault="003F636F" w:rsidP="003F636F">
      <w:pPr>
        <w:spacing w:line="240" w:lineRule="auto"/>
        <w:jc w:val="both"/>
        <w:rPr>
          <w:bCs/>
        </w:rPr>
      </w:pPr>
      <w:r w:rsidRPr="00375A13">
        <w:rPr>
          <w:b/>
          <w:bCs/>
        </w:rPr>
        <w:t>Categorii de aplican</w:t>
      </w:r>
      <w:r>
        <w:rPr>
          <w:b/>
          <w:bCs/>
        </w:rPr>
        <w:t>ţ</w:t>
      </w:r>
      <w:r w:rsidRPr="00375A13">
        <w:rPr>
          <w:b/>
          <w:bCs/>
        </w:rPr>
        <w:t>i eligibili</w:t>
      </w:r>
      <w:r w:rsidRPr="00375A13">
        <w:rPr>
          <w:bCs/>
        </w:rPr>
        <w:t xml:space="preserve">: </w:t>
      </w:r>
    </w:p>
    <w:p w:rsidR="003F636F" w:rsidRPr="00375A13" w:rsidRDefault="003F636F" w:rsidP="003F636F">
      <w:pPr>
        <w:spacing w:line="240" w:lineRule="auto"/>
        <w:jc w:val="both"/>
      </w:pPr>
      <w:r>
        <w:t xml:space="preserve">Solicitanții </w:t>
      </w:r>
      <w:r w:rsidRPr="00375A13">
        <w:t>eligibili sunt instituții de drept public cu personalitate juridică, care fac parte din sistemul național de cercetare-dezvoltare conform art. 7 al OG nr. 57/2002 privind cercetarea ştiinţifică şi dezvoltarea tehnologică, și respectă definiția de organizație de cercetare din Cadrul comunitar pentru ajutoarele de stat pentru cercetare, dezvoltare și inovare (2014/C 198/01)</w:t>
      </w:r>
      <w:r>
        <w:t>.</w:t>
      </w:r>
    </w:p>
    <w:p w:rsidR="003F636F" w:rsidRPr="00375A13" w:rsidRDefault="003F636F" w:rsidP="003F636F">
      <w:pPr>
        <w:spacing w:line="240" w:lineRule="auto"/>
        <w:jc w:val="both"/>
      </w:pPr>
      <w:r w:rsidRPr="00375A13">
        <w:t>Apelul a fost lansat în 27 Iunie 2015. Depunerea proiectelor s-a încheiat la 25 August 2015.</w:t>
      </w:r>
    </w:p>
    <w:p w:rsidR="003F636F" w:rsidRPr="00375A13" w:rsidRDefault="003F636F" w:rsidP="003F636F">
      <w:pPr>
        <w:spacing w:line="240" w:lineRule="auto"/>
        <w:jc w:val="both"/>
      </w:pPr>
      <w:r w:rsidRPr="00375A13">
        <w:rPr>
          <w:b/>
        </w:rPr>
        <w:t>Status la 31.12.2015</w:t>
      </w:r>
      <w:r>
        <w:t>: S-a finalizat</w:t>
      </w:r>
      <w:r w:rsidRPr="00375A13">
        <w:t xml:space="preserve"> etapa</w:t>
      </w:r>
      <w:r>
        <w:t xml:space="preserve"> de</w:t>
      </w:r>
      <w:r w:rsidRPr="00375A13">
        <w:t xml:space="preserve"> verificare eligibilitate.</w:t>
      </w:r>
    </w:p>
    <w:p w:rsidR="003F636F" w:rsidRPr="00533F7D" w:rsidRDefault="003F636F" w:rsidP="003F636F">
      <w:pPr>
        <w:spacing w:line="240" w:lineRule="auto"/>
        <w:jc w:val="both"/>
      </w:pPr>
      <w:r w:rsidRPr="00375A13">
        <w:t xml:space="preserve">Evaluarea tehnico-științifică s-a efectuat de către un panel compus </w:t>
      </w:r>
      <w:r w:rsidRPr="00533F7D">
        <w:t>din 3 evaluatori</w:t>
      </w:r>
      <w:r w:rsidRPr="00375A13">
        <w:t xml:space="preserve"> (2 evaluatori științifici străini din domeniul de Specializare Inteligentă și de un evaluator tehnic rom</w:t>
      </w:r>
      <w:r>
        <w:t>â</w:t>
      </w:r>
      <w:r w:rsidRPr="00375A13">
        <w:t>n) selectați și repartizaț</w:t>
      </w:r>
      <w:r>
        <w:t xml:space="preserve">i electronic din baza de date </w:t>
      </w:r>
      <w:r w:rsidRPr="00375A13">
        <w:t xml:space="preserve">a </w:t>
      </w:r>
      <w:r w:rsidRPr="00533F7D">
        <w:t>evaluatorilor UEFISCDI.</w:t>
      </w:r>
    </w:p>
    <w:p w:rsidR="003F636F" w:rsidRPr="00375A13" w:rsidRDefault="003F636F" w:rsidP="003F636F">
      <w:pPr>
        <w:pStyle w:val="ListParagraph"/>
        <w:numPr>
          <w:ilvl w:val="0"/>
          <w:numId w:val="29"/>
        </w:numPr>
        <w:spacing w:line="240" w:lineRule="auto"/>
        <w:jc w:val="both"/>
      </w:pPr>
      <w:r>
        <w:t>110 proiecte depuse, valoare AFN: 901.8 mil. Euro;</w:t>
      </w:r>
    </w:p>
    <w:p w:rsidR="003F636F" w:rsidRPr="00375A13" w:rsidRDefault="003F636F" w:rsidP="003F636F">
      <w:pPr>
        <w:pStyle w:val="ListParagraph"/>
        <w:numPr>
          <w:ilvl w:val="0"/>
          <w:numId w:val="29"/>
        </w:numPr>
        <w:spacing w:line="240" w:lineRule="auto"/>
        <w:jc w:val="both"/>
      </w:pPr>
      <w:r w:rsidRPr="00375A13">
        <w:t xml:space="preserve">100 (44 universitati, 56 institute de cercetare) proiecte selectate </w:t>
      </w:r>
      <w:r>
        <w:t xml:space="preserve">in aceasta etapa, valoare AFN: </w:t>
      </w:r>
      <w:r w:rsidRPr="00375A13">
        <w:t>865.9 mil. Euro.</w:t>
      </w:r>
    </w:p>
    <w:p w:rsidR="003F636F" w:rsidRPr="00375A13" w:rsidRDefault="003F636F" w:rsidP="003F636F">
      <w:pPr>
        <w:spacing w:line="240" w:lineRule="auto"/>
        <w:ind w:left="360"/>
        <w:jc w:val="both"/>
      </w:pPr>
    </w:p>
    <w:p w:rsidR="003F636F" w:rsidRPr="00375A13" w:rsidRDefault="003F636F" w:rsidP="003F636F">
      <w:pPr>
        <w:spacing w:line="240" w:lineRule="auto"/>
        <w:jc w:val="both"/>
        <w:rPr>
          <w:b/>
          <w:i/>
          <w:u w:val="single"/>
        </w:rPr>
      </w:pPr>
      <w:r w:rsidRPr="00375A13">
        <w:rPr>
          <w:b/>
          <w:i/>
          <w:u w:val="single"/>
        </w:rPr>
        <w:lastRenderedPageBreak/>
        <w:t>Acțiunea 1.1.2: Dezvoltarea unor rețele de centre CD, coordonate la nivel național și racordate la rețele europene şi internaționale de profil și asigurarea accesului cercetătorilor la publicații științifice și baze de date europene și internaționale</w:t>
      </w:r>
    </w:p>
    <w:p w:rsidR="003F636F" w:rsidRPr="00375A13" w:rsidRDefault="003F636F" w:rsidP="003F636F">
      <w:pPr>
        <w:numPr>
          <w:ilvl w:val="0"/>
          <w:numId w:val="31"/>
        </w:numPr>
        <w:spacing w:line="240" w:lineRule="auto"/>
        <w:jc w:val="both"/>
        <w:rPr>
          <w:b/>
        </w:rPr>
      </w:pPr>
      <w:r w:rsidRPr="00375A13">
        <w:rPr>
          <w:b/>
        </w:rPr>
        <w:t>Tipuri de proiecte:</w:t>
      </w:r>
    </w:p>
    <w:p w:rsidR="003F636F" w:rsidRPr="00375A13" w:rsidRDefault="003F636F" w:rsidP="003F636F">
      <w:pPr>
        <w:numPr>
          <w:ilvl w:val="0"/>
          <w:numId w:val="32"/>
        </w:numPr>
        <w:spacing w:line="240" w:lineRule="auto"/>
        <w:jc w:val="both"/>
      </w:pPr>
      <w:r w:rsidRPr="00375A13">
        <w:t>Proiecte de tip Grid</w:t>
      </w:r>
    </w:p>
    <w:p w:rsidR="003F636F" w:rsidRPr="00375A13" w:rsidRDefault="003F636F" w:rsidP="003F636F">
      <w:pPr>
        <w:numPr>
          <w:ilvl w:val="0"/>
          <w:numId w:val="32"/>
        </w:numPr>
        <w:spacing w:line="240" w:lineRule="auto"/>
        <w:jc w:val="both"/>
      </w:pPr>
      <w:r w:rsidRPr="00375A13">
        <w:t>Proiecte pentru dezvoltarea Roedunet</w:t>
      </w:r>
    </w:p>
    <w:p w:rsidR="003F636F" w:rsidRPr="00375A13" w:rsidRDefault="003F636F" w:rsidP="003F636F">
      <w:pPr>
        <w:numPr>
          <w:ilvl w:val="0"/>
          <w:numId w:val="32"/>
        </w:numPr>
        <w:spacing w:line="240" w:lineRule="auto"/>
        <w:jc w:val="both"/>
      </w:pPr>
      <w:r w:rsidRPr="00375A13">
        <w:t>Proiect pentru asigurarea accesului la literatura internațională științifică de cercetare</w:t>
      </w:r>
    </w:p>
    <w:p w:rsidR="003F636F" w:rsidRPr="00375A13" w:rsidRDefault="003F636F" w:rsidP="003F636F">
      <w:pPr>
        <w:spacing w:line="240" w:lineRule="auto"/>
        <w:jc w:val="both"/>
      </w:pPr>
      <w:r w:rsidRPr="00375A13">
        <w:rPr>
          <w:b/>
        </w:rPr>
        <w:t>Status la 31.12.2015:</w:t>
      </w:r>
      <w:r w:rsidRPr="00375A13">
        <w:t xml:space="preserve"> Pregatire ghiduri pentru lansare 2016.</w:t>
      </w:r>
    </w:p>
    <w:p w:rsidR="003F636F" w:rsidRPr="00375A13" w:rsidRDefault="003F636F" w:rsidP="003F636F">
      <w:pPr>
        <w:spacing w:line="240" w:lineRule="auto"/>
        <w:jc w:val="both"/>
        <w:rPr>
          <w:b/>
          <w:i/>
          <w:u w:val="single"/>
        </w:rPr>
      </w:pPr>
      <w:r w:rsidRPr="00375A13">
        <w:rPr>
          <w:b/>
          <w:i/>
          <w:u w:val="single"/>
        </w:rPr>
        <w:t>Acțiunea 1.1.2: Dezvoltarea unor reţele de centre CD, coordonate la nivel naţional şi racordate la reţele europene şi internaţionale de profil și asigurarea accesului cercetătorilor la publicații științifice și baze de date europene și international (Anelis)</w:t>
      </w:r>
    </w:p>
    <w:p w:rsidR="003F636F" w:rsidRPr="00375A13" w:rsidRDefault="003F636F" w:rsidP="003F636F">
      <w:pPr>
        <w:numPr>
          <w:ilvl w:val="0"/>
          <w:numId w:val="33"/>
        </w:numPr>
        <w:spacing w:line="240" w:lineRule="auto"/>
        <w:jc w:val="both"/>
      </w:pPr>
      <w:r w:rsidRPr="00375A13">
        <w:rPr>
          <w:b/>
        </w:rPr>
        <w:t>Obiective</w:t>
      </w:r>
      <w:r w:rsidRPr="00375A13">
        <w:t xml:space="preserve">: </w:t>
      </w:r>
    </w:p>
    <w:p w:rsidR="003F636F" w:rsidRPr="00375A13" w:rsidRDefault="003F636F" w:rsidP="003F636F">
      <w:pPr>
        <w:numPr>
          <w:ilvl w:val="0"/>
          <w:numId w:val="32"/>
        </w:numPr>
        <w:spacing w:line="240" w:lineRule="auto"/>
        <w:jc w:val="both"/>
      </w:pPr>
      <w:r w:rsidRPr="00375A13">
        <w:t>Dezvoltarea unui depozit național de documente științifice, prin achiziția de ar</w:t>
      </w:r>
      <w:r>
        <w:t xml:space="preserve">hive de </w:t>
      </w:r>
      <w:r w:rsidRPr="00375A13">
        <w:t>publicații electronice de specialitate;</w:t>
      </w:r>
    </w:p>
    <w:p w:rsidR="003F636F" w:rsidRPr="00375A13" w:rsidRDefault="003F636F" w:rsidP="003F636F">
      <w:pPr>
        <w:numPr>
          <w:ilvl w:val="0"/>
          <w:numId w:val="32"/>
        </w:numPr>
        <w:spacing w:line="240" w:lineRule="auto"/>
        <w:jc w:val="both"/>
      </w:pPr>
      <w:r w:rsidRPr="00375A13">
        <w:t>Accesul la resurse electronice științifice.</w:t>
      </w:r>
    </w:p>
    <w:p w:rsidR="003F636F" w:rsidRPr="00375A13" w:rsidRDefault="003F636F" w:rsidP="003F636F">
      <w:pPr>
        <w:numPr>
          <w:ilvl w:val="0"/>
          <w:numId w:val="33"/>
        </w:numPr>
        <w:spacing w:line="240" w:lineRule="auto"/>
        <w:jc w:val="both"/>
      </w:pPr>
      <w:r w:rsidRPr="00375A13">
        <w:rPr>
          <w:b/>
        </w:rPr>
        <w:t xml:space="preserve">Tipuri de proiecte: </w:t>
      </w:r>
      <w:r w:rsidRPr="00375A13">
        <w:t>Asigurarea accesului la literatura internațională științifică de cercetare prin abonarea la principalele surse/baze de date internaționale, pentru rețeaua de universități publice și private, institute de CD și biblioteci centrale universitare, membre ale asociaţiei.</w:t>
      </w:r>
    </w:p>
    <w:p w:rsidR="003F636F" w:rsidRPr="00375A13" w:rsidRDefault="003F636F" w:rsidP="003F636F">
      <w:pPr>
        <w:numPr>
          <w:ilvl w:val="0"/>
          <w:numId w:val="32"/>
        </w:numPr>
        <w:spacing w:line="240" w:lineRule="auto"/>
        <w:jc w:val="both"/>
      </w:pPr>
      <w:r w:rsidRPr="00375A13">
        <w:rPr>
          <w:b/>
          <w:bCs/>
        </w:rPr>
        <w:t>Categorii de aplican</w:t>
      </w:r>
      <w:r w:rsidR="00A831A9">
        <w:rPr>
          <w:b/>
          <w:bCs/>
        </w:rPr>
        <w:t>ţ</w:t>
      </w:r>
      <w:r w:rsidRPr="00375A13">
        <w:rPr>
          <w:b/>
          <w:bCs/>
        </w:rPr>
        <w:t>i eligibili:</w:t>
      </w:r>
    </w:p>
    <w:p w:rsidR="003F636F" w:rsidRPr="00375A13" w:rsidRDefault="003F636F" w:rsidP="003F636F">
      <w:pPr>
        <w:pStyle w:val="ListParagraph"/>
        <w:spacing w:line="240" w:lineRule="auto"/>
        <w:jc w:val="both"/>
      </w:pPr>
      <w:r w:rsidRPr="00375A13">
        <w:t>Asociaţia Universităţilor, Institutelor de Cercetare - Dezvoltare şi Bibliotecilor Centrale Universitare din România „Anelis Plus” este instituția solicitantă unică pentru proiectul destinat accesului cercetătorilor și specialiștilor la publicații și baze de date științifice internaționale, în calitatea ei de instituție dedicată scopului proiectului;</w:t>
      </w:r>
    </w:p>
    <w:p w:rsidR="003F636F" w:rsidRPr="00375A13" w:rsidRDefault="003F636F" w:rsidP="003F636F">
      <w:pPr>
        <w:numPr>
          <w:ilvl w:val="0"/>
          <w:numId w:val="32"/>
        </w:numPr>
        <w:spacing w:line="240" w:lineRule="auto"/>
        <w:jc w:val="both"/>
      </w:pPr>
      <w:r w:rsidRPr="00375A13">
        <w:rPr>
          <w:b/>
        </w:rPr>
        <w:t>Status la 31.12.2015</w:t>
      </w:r>
      <w:r w:rsidRPr="00375A13">
        <w:t>: Ghidul solicitantului a fost supus consultării publice în perioada 04.12.2015</w:t>
      </w:r>
      <w:r w:rsidR="00A831A9">
        <w:t xml:space="preserve"> </w:t>
      </w:r>
      <w:r w:rsidRPr="00375A13">
        <w:t>-</w:t>
      </w:r>
      <w:r w:rsidR="00A831A9">
        <w:t xml:space="preserve"> </w:t>
      </w:r>
      <w:r w:rsidRPr="00375A13">
        <w:t xml:space="preserve">21.12.2015. </w:t>
      </w:r>
    </w:p>
    <w:p w:rsidR="003F636F" w:rsidRPr="00375A13" w:rsidRDefault="003F636F" w:rsidP="003F636F">
      <w:pPr>
        <w:spacing w:line="240" w:lineRule="auto"/>
        <w:jc w:val="both"/>
        <w:rPr>
          <w:b/>
          <w:i/>
          <w:u w:val="single"/>
        </w:rPr>
      </w:pPr>
      <w:r w:rsidRPr="00375A13">
        <w:rPr>
          <w:b/>
          <w:i/>
          <w:u w:val="single"/>
        </w:rPr>
        <w:t>Acțiunea 1.1.3: Crearea de sinergii cu acţiunile de CDI ale programului-cadru ORIZONT 2020 al Uniunii Europene şi alte programe CDI internaționale</w:t>
      </w:r>
    </w:p>
    <w:p w:rsidR="003F636F" w:rsidRPr="00E15899" w:rsidRDefault="003F636F" w:rsidP="003F636F">
      <w:pPr>
        <w:spacing w:line="240" w:lineRule="auto"/>
        <w:jc w:val="both"/>
        <w:rPr>
          <w:bCs/>
          <w:u w:val="single"/>
        </w:rPr>
      </w:pPr>
      <w:r w:rsidRPr="00E15899">
        <w:rPr>
          <w:bCs/>
          <w:u w:val="single"/>
        </w:rPr>
        <w:t xml:space="preserve">Această acțiune are ca scop sprijinirea proiectelor de CD și Inovare care participă direct la competițiile H2020, care complementează prin activitățile propuse obiectivele unor apeluri propuse pentru competițiile H2020 sau care se adresează întăririi capacității administrative a instituțiilor de CD și Inovare din România de a realiza aplicații pentru proiecte și apeluri la nivel European și mondial. </w:t>
      </w:r>
    </w:p>
    <w:p w:rsidR="003F636F" w:rsidRPr="00375A13" w:rsidRDefault="003F636F" w:rsidP="003F636F">
      <w:pPr>
        <w:spacing w:line="240" w:lineRule="auto"/>
        <w:jc w:val="both"/>
      </w:pPr>
      <w:r w:rsidRPr="00375A13">
        <w:rPr>
          <w:bCs/>
        </w:rPr>
        <w:t xml:space="preserve">Această acțiune se adresează entităților din România cu obiect de activitate cercetarea-dezvoltarea, care pot fi de tip organizație de cercetare sau întreprindere conform definițiilor din capitolul 2.1 al secțiunii prezente și </w:t>
      </w:r>
      <w:r w:rsidRPr="00375A13">
        <w:t>care doresc să aplice şi/sau au o participare constantă la programele-cadru de cercetare ale UE sau alte programe CDI cu finanțare internațională.</w:t>
      </w:r>
    </w:p>
    <w:p w:rsidR="003F636F" w:rsidRPr="00375A13" w:rsidRDefault="003F636F" w:rsidP="003F636F">
      <w:pPr>
        <w:spacing w:line="240" w:lineRule="auto"/>
        <w:jc w:val="both"/>
        <w:rPr>
          <w:b/>
          <w:u w:val="single"/>
        </w:rPr>
      </w:pPr>
      <w:r w:rsidRPr="00375A13">
        <w:rPr>
          <w:b/>
          <w:u w:val="single"/>
        </w:rPr>
        <w:t>Tipuri de proiecte:</w:t>
      </w:r>
    </w:p>
    <w:p w:rsidR="003F636F" w:rsidRPr="00336583" w:rsidRDefault="003F636F" w:rsidP="003F636F">
      <w:pPr>
        <w:spacing w:line="240" w:lineRule="auto"/>
        <w:jc w:val="both"/>
      </w:pPr>
      <w:r>
        <w:rPr>
          <w:b/>
        </w:rPr>
        <w:t xml:space="preserve">    </w:t>
      </w:r>
      <w:r w:rsidRPr="00336583">
        <w:rPr>
          <w:b/>
        </w:rPr>
        <w:t>Proiecte de cercetare-inovare</w:t>
      </w:r>
      <w:r w:rsidRPr="00336583">
        <w:t xml:space="preserve"> atât pentru organizații de cercetare cât și pentru întreprinderi</w:t>
      </w:r>
    </w:p>
    <w:p w:rsidR="003F636F" w:rsidRPr="00375A13" w:rsidRDefault="003F636F" w:rsidP="003F636F">
      <w:pPr>
        <w:spacing w:line="240" w:lineRule="auto"/>
        <w:jc w:val="both"/>
      </w:pPr>
      <w:r w:rsidRPr="00375A13">
        <w:rPr>
          <w:b/>
        </w:rPr>
        <w:t>1. CO-ECSEL</w:t>
      </w:r>
      <w:r w:rsidRPr="00375A13">
        <w:t xml:space="preserve">: proiect pentru co-finanțarea activităților CD și de inovare eligibile ale participanților din România pe proiectele </w:t>
      </w:r>
      <w:r w:rsidRPr="009E4779">
        <w:t xml:space="preserve">selectate la finanțare de către Inițiativa Tehnologică Comună </w:t>
      </w:r>
      <w:r w:rsidRPr="009E4779">
        <w:rPr>
          <w:b/>
        </w:rPr>
        <w:t xml:space="preserve">ECSEL Joint </w:t>
      </w:r>
      <w:r w:rsidRPr="009E4779">
        <w:rPr>
          <w:b/>
        </w:rPr>
        <w:lastRenderedPageBreak/>
        <w:t>Undertaking</w:t>
      </w:r>
      <w:r w:rsidRPr="009E4779">
        <w:t xml:space="preserve"> în cadrul apelurilor pentru care România contribuie la finanțare împreuna cu programul-cadru Orizont 2020.</w:t>
      </w:r>
      <w:r w:rsidRPr="00375A13">
        <w:t xml:space="preserve"> </w:t>
      </w:r>
    </w:p>
    <w:p w:rsidR="003F636F" w:rsidRPr="00375A13" w:rsidRDefault="003F636F" w:rsidP="003F636F">
      <w:pPr>
        <w:spacing w:line="240" w:lineRule="auto"/>
        <w:jc w:val="both"/>
      </w:pPr>
      <w:r w:rsidRPr="00375A13">
        <w:t xml:space="preserve">Inițiative Tehnologice Comune (JTI) sunt parteneriate public-privat în cercetare, pe domenii de interes pentru industrie. </w:t>
      </w:r>
      <w:r w:rsidRPr="00375A13">
        <w:rPr>
          <w:iCs/>
        </w:rPr>
        <w:t xml:space="preserve">Industria pune în comun cu sectorul public şi cu alte părţi interesate resurse financiare şi umane substanţiale pentru a se îndrepta spre scopuri comune de cercetare. </w:t>
      </w:r>
      <w:r w:rsidRPr="00375A13">
        <w:t xml:space="preserve">Forma de organizare a unui </w:t>
      </w:r>
      <w:r>
        <w:t>JTI este de întreprindere comună</w:t>
      </w:r>
      <w:r w:rsidRPr="00375A13">
        <w:t xml:space="preserve"> (joint undertaking)</w:t>
      </w:r>
      <w:r>
        <w:t xml:space="preserve">, </w:t>
      </w:r>
      <w:r w:rsidRPr="00375A13">
        <w:t>în baza art. 187 al Tratatului privind funcționarea Uniunii Europene.</w:t>
      </w:r>
    </w:p>
    <w:p w:rsidR="003F636F" w:rsidRPr="00375A13" w:rsidRDefault="003F636F" w:rsidP="003F636F">
      <w:pPr>
        <w:spacing w:line="240" w:lineRule="auto"/>
        <w:jc w:val="both"/>
        <w:rPr>
          <w:iCs/>
        </w:rPr>
      </w:pPr>
      <w:r w:rsidRPr="00375A13">
        <w:t xml:space="preserve">Inițiativa Tehnologică Comună </w:t>
      </w:r>
      <w:r w:rsidRPr="00375A13">
        <w:rPr>
          <w:b/>
        </w:rPr>
        <w:t xml:space="preserve">ECSEL Joint Undertaking </w:t>
      </w:r>
      <w:r w:rsidRPr="00375A13">
        <w:t>a fost înființată prin Regulamentul Consiliului (UE) nr 561/2014. Spre deosebire de celelalte JTI finanțate de Orizont 2020, în cazul ECSEL finanțarea activităților și costurilor eligibile ale proiectelor selectate la finanța</w:t>
      </w:r>
      <w:r>
        <w:t xml:space="preserve">re de ECSEL se face împreună de </w:t>
      </w:r>
      <w:r w:rsidRPr="00375A13">
        <w:t>către ECSEL (prin fonduri comunitare) și de statele participante la ECSEL (prin fonduri naționale sau structurale)</w:t>
      </w:r>
      <w:r w:rsidRPr="00375A13">
        <w:rPr>
          <w:iCs/>
        </w:rPr>
        <w:t xml:space="preserve">. </w:t>
      </w:r>
    </w:p>
    <w:p w:rsidR="003F636F" w:rsidRPr="00375A13" w:rsidRDefault="003F636F" w:rsidP="003F636F">
      <w:pPr>
        <w:spacing w:line="240" w:lineRule="auto"/>
        <w:jc w:val="both"/>
        <w:rPr>
          <w:bCs/>
        </w:rPr>
      </w:pPr>
      <w:r w:rsidRPr="00375A13">
        <w:rPr>
          <w:iCs/>
        </w:rPr>
        <w:t>Valoarea asistenței financiare nerambursabile</w:t>
      </w:r>
      <w:r w:rsidRPr="00375A13">
        <w:t xml:space="preserve"> acordate din partea României pe un proiect ECSEL unui participant din România nu va depăși </w:t>
      </w:r>
      <w:r w:rsidRPr="00375A13">
        <w:rPr>
          <w:b/>
        </w:rPr>
        <w:t>1.000.000 lei</w:t>
      </w:r>
      <w:r w:rsidRPr="00375A13">
        <w:t>.</w:t>
      </w:r>
    </w:p>
    <w:p w:rsidR="003F636F" w:rsidRPr="00375A13" w:rsidRDefault="003F636F" w:rsidP="003F636F">
      <w:pPr>
        <w:spacing w:line="240" w:lineRule="auto"/>
        <w:jc w:val="both"/>
      </w:pPr>
      <w:r w:rsidRPr="00375A13">
        <w:rPr>
          <w:bCs/>
        </w:rPr>
        <w:t>Durata</w:t>
      </w:r>
      <w:r w:rsidRPr="00375A13">
        <w:t xml:space="preserve"> unui proiect este în principiu durata propunerii de proiect finanțată de ECSEL, dar fără să se depășească data de </w:t>
      </w:r>
      <w:r w:rsidRPr="00375A13">
        <w:rPr>
          <w:b/>
        </w:rPr>
        <w:t>31 decembrie 2022</w:t>
      </w:r>
      <w:r w:rsidRPr="00375A13">
        <w:t>.</w:t>
      </w:r>
    </w:p>
    <w:p w:rsidR="003F636F" w:rsidRPr="00375A13" w:rsidRDefault="003F636F" w:rsidP="003F636F">
      <w:pPr>
        <w:spacing w:line="240" w:lineRule="auto"/>
        <w:jc w:val="both"/>
      </w:pPr>
      <w:r w:rsidRPr="00375A13">
        <w:rPr>
          <w:b/>
        </w:rPr>
        <w:t>2. COMPLEMENT</w:t>
      </w:r>
      <w:r w:rsidRPr="00375A13">
        <w:t>: proiecte pentru finanțarea activităților CD și de inovare complementare cuprinse în proiectele finanțate în cadrul Inițiativelor Tehnologice Comune (JTI) ale Orizont 2020, care sunt în afara planului de lucru al JTI (deci ne-eligibile pentru finanțare din fondurile programului-cadru Orizont 2020), dar sunt complementare activităților din planul de lucru și contribuie la atingerea obiectivelor JTI. Pentru a fi eligibil la f</w:t>
      </w:r>
      <w:r>
        <w:t xml:space="preserve">inanțare prin prezenta acțiune, </w:t>
      </w:r>
      <w:r w:rsidRPr="00375A13">
        <w:t xml:space="preserve">pachetul de activități CDI adiționale/complementare trebuie să primească din partea evaluatorilor JTI o eticheta de sinergie de tipul </w:t>
      </w:r>
      <w:r w:rsidRPr="00375A13">
        <w:rPr>
          <w:b/>
        </w:rPr>
        <w:t xml:space="preserve">„Synergy Label” </w:t>
      </w:r>
      <w:r w:rsidRPr="00375A13">
        <w:t>(CLEANSKY2) sau echivalent.</w:t>
      </w:r>
    </w:p>
    <w:p w:rsidR="003F636F" w:rsidRPr="00375A13" w:rsidRDefault="003F636F" w:rsidP="003F636F">
      <w:pPr>
        <w:spacing w:line="240" w:lineRule="auto"/>
        <w:jc w:val="both"/>
      </w:pPr>
      <w:r w:rsidRPr="00375A13">
        <w:t xml:space="preserve">Participanții din Romania la </w:t>
      </w:r>
      <w:r w:rsidRPr="00375A13">
        <w:rPr>
          <w:b/>
        </w:rPr>
        <w:t xml:space="preserve">CLEANSKY2 </w:t>
      </w:r>
      <w:r w:rsidRPr="00375A13">
        <w:t xml:space="preserve">pot aplica pentru acest tip de proiect, precum și participanții din </w:t>
      </w:r>
      <w:r>
        <w:t xml:space="preserve">Romania la celelalte Inițiative Tehnologice Comune (JTI) finanțate </w:t>
      </w:r>
      <w:r w:rsidRPr="00375A13">
        <w:t>de Orizont 2020</w:t>
      </w:r>
      <w:r>
        <w:t>,</w:t>
      </w:r>
      <w:r w:rsidRPr="00375A13">
        <w:t xml:space="preserve"> cu condiția ca pachetul de activități CDI adiționale/compl</w:t>
      </w:r>
      <w:r>
        <w:t>ementare să fie parte integrantă</w:t>
      </w:r>
      <w:r w:rsidRPr="00375A13">
        <w:t xml:space="preserve"> dintr-un proiect evaluat și finanțat de JTI, să fi fost evaluat pozitiv de evaluatorii JTI și să fi primit un certificat de conformitate cu obiectivele JTI din partea acestora (a se vedea modelul CLEANSKY2 în documentul „Guidance Note How to Include în the Proposal Complementary Activities Supported by ESIF)</w:t>
      </w:r>
      <w:r w:rsidRPr="00375A13">
        <w:rPr>
          <w:bCs/>
        </w:rPr>
        <w:t>.</w:t>
      </w:r>
    </w:p>
    <w:p w:rsidR="003F636F" w:rsidRPr="00375A13" w:rsidRDefault="003F636F" w:rsidP="003F636F">
      <w:pPr>
        <w:spacing w:line="240" w:lineRule="auto"/>
        <w:jc w:val="both"/>
        <w:rPr>
          <w:b/>
          <w:bCs/>
        </w:rPr>
      </w:pPr>
      <w:r w:rsidRPr="00375A13">
        <w:rPr>
          <w:iCs/>
        </w:rPr>
        <w:t>Valoarea asistenței financiare nerambursabile</w:t>
      </w:r>
      <w:r w:rsidRPr="00375A13">
        <w:t xml:space="preserve"> acordate nu poate depăși </w:t>
      </w:r>
      <w:r w:rsidRPr="00375A13">
        <w:rPr>
          <w:b/>
        </w:rPr>
        <w:t>4.500.000 lei.</w:t>
      </w:r>
    </w:p>
    <w:p w:rsidR="003F636F" w:rsidRPr="009E4779" w:rsidRDefault="003F636F" w:rsidP="003F636F">
      <w:pPr>
        <w:spacing w:line="240" w:lineRule="auto"/>
        <w:jc w:val="both"/>
      </w:pPr>
      <w:r w:rsidRPr="00375A13">
        <w:rPr>
          <w:bCs/>
        </w:rPr>
        <w:t>Durata</w:t>
      </w:r>
      <w:r w:rsidRPr="00375A13">
        <w:t xml:space="preserve"> unui proiect este în principiu durata propunerii de proiect finanțat de Inițiativa Tehnologic</w:t>
      </w:r>
      <w:r>
        <w:t>ă</w:t>
      </w:r>
      <w:r w:rsidRPr="00375A13">
        <w:t xml:space="preserve"> Comun</w:t>
      </w:r>
      <w:r>
        <w:t>ă</w:t>
      </w:r>
      <w:r w:rsidRPr="00375A13">
        <w:t xml:space="preserve">, dar fără să depășească data de </w:t>
      </w:r>
      <w:r w:rsidRPr="00375A13">
        <w:rPr>
          <w:b/>
        </w:rPr>
        <w:t>31 decembrie 2022</w:t>
      </w:r>
      <w:r w:rsidRPr="00375A13">
        <w:t>.</w:t>
      </w:r>
    </w:p>
    <w:p w:rsidR="003F636F" w:rsidRPr="00375A13" w:rsidRDefault="003F636F" w:rsidP="003F636F">
      <w:pPr>
        <w:spacing w:line="240" w:lineRule="auto"/>
        <w:jc w:val="both"/>
      </w:pPr>
      <w:r w:rsidRPr="00375A13">
        <w:rPr>
          <w:b/>
        </w:rPr>
        <w:t>3. RO-EIT</w:t>
      </w:r>
      <w:r w:rsidRPr="00375A13">
        <w:t>: proiecte CDI pentru pentru consolidarea participării entităților din Rom</w:t>
      </w:r>
      <w:r>
        <w:t>â</w:t>
      </w:r>
      <w:r w:rsidRPr="00375A13">
        <w:t>nia la activitățile finanțate de Institutul European pentru Inovare și Tehnologie (EIT). Orice entitate din Rom</w:t>
      </w:r>
      <w:r>
        <w:t>â</w:t>
      </w:r>
      <w:r w:rsidRPr="00375A13">
        <w:t>nia care este partener al unei Comunități pentru Cunoaștere și Inovare (EIT KIC) sau al unei scheme regionale de inovare a EIT (EIT RIS) finanțate prin Orizont 2020 poate aplica pentru acest tip de proiect.</w:t>
      </w:r>
    </w:p>
    <w:p w:rsidR="003F636F" w:rsidRPr="00375A13" w:rsidRDefault="003F636F" w:rsidP="003F636F">
      <w:pPr>
        <w:spacing w:line="240" w:lineRule="auto"/>
        <w:jc w:val="both"/>
        <w:rPr>
          <w:b/>
          <w:bCs/>
        </w:rPr>
      </w:pPr>
      <w:r w:rsidRPr="00375A13">
        <w:rPr>
          <w:iCs/>
        </w:rPr>
        <w:t>Valoarea asistenței financiare nerambursabile</w:t>
      </w:r>
      <w:r w:rsidRPr="00375A13">
        <w:t xml:space="preserve"> acordate nu poate depăși </w:t>
      </w:r>
      <w:r>
        <w:rPr>
          <w:b/>
        </w:rPr>
        <w:t xml:space="preserve">4.500.000 </w:t>
      </w:r>
      <w:r w:rsidRPr="00375A13">
        <w:rPr>
          <w:b/>
        </w:rPr>
        <w:t>lei.</w:t>
      </w:r>
    </w:p>
    <w:p w:rsidR="003F636F" w:rsidRPr="00375A13" w:rsidRDefault="003F636F" w:rsidP="003F636F">
      <w:pPr>
        <w:spacing w:line="240" w:lineRule="auto"/>
        <w:jc w:val="both"/>
      </w:pPr>
      <w:r w:rsidRPr="00375A13">
        <w:rPr>
          <w:bCs/>
        </w:rPr>
        <w:t>Durata</w:t>
      </w:r>
      <w:r w:rsidRPr="00375A13">
        <w:t xml:space="preserve"> unui proiect nu poate depăși data de </w:t>
      </w:r>
      <w:r w:rsidRPr="00375A13">
        <w:rPr>
          <w:b/>
        </w:rPr>
        <w:t>31 decembrie 2022</w:t>
      </w:r>
      <w:r w:rsidRPr="00375A13">
        <w:t>.</w:t>
      </w:r>
    </w:p>
    <w:p w:rsidR="003F636F" w:rsidRPr="00375A13" w:rsidRDefault="003F636F" w:rsidP="003F636F">
      <w:pPr>
        <w:spacing w:line="240" w:lineRule="auto"/>
        <w:jc w:val="both"/>
      </w:pPr>
      <w:r w:rsidRPr="00375A13">
        <w:rPr>
          <w:b/>
        </w:rPr>
        <w:t xml:space="preserve">4. RO-ERIC: </w:t>
      </w:r>
      <w:r w:rsidRPr="00375A13">
        <w:t>proiecte CDI pentru consolidarea p</w:t>
      </w:r>
      <w:r>
        <w:t>articipării entităților din Româ</w:t>
      </w:r>
      <w:r w:rsidRPr="00375A13">
        <w:t>nia ca parteneri în infrastructuri pan-europene de cercetare de tip European Research Infrastructure Consorțiu (ERIC). Orice organizație de cercetare din Romania care reprezintă Romania într-o infrast</w:t>
      </w:r>
      <w:r>
        <w:t>ructură pan-europeană organizată</w:t>
      </w:r>
      <w:r w:rsidRPr="00375A13">
        <w:t xml:space="preserve"> legal ca ERIC prin Regulamentul Consiliului (EC) 723/2009, poate aplica în cadrul acestei acțiuni pentru finanțarea unor activități CDI care au ca scop dezvoltarea facilitaților și laboratoarelor de cercetare cu care particip</w:t>
      </w:r>
      <w:r>
        <w:t>ă</w:t>
      </w:r>
      <w:r w:rsidRPr="00375A13">
        <w:t xml:space="preserve"> la ERIC.</w:t>
      </w:r>
    </w:p>
    <w:p w:rsidR="003F636F" w:rsidRPr="00375A13" w:rsidRDefault="003F636F" w:rsidP="003F636F">
      <w:pPr>
        <w:spacing w:line="240" w:lineRule="auto"/>
        <w:jc w:val="both"/>
      </w:pPr>
      <w:r w:rsidRPr="00375A13">
        <w:lastRenderedPageBreak/>
        <w:t xml:space="preserve">Valoarea asistenței financiare nerambursabile este de maximum </w:t>
      </w:r>
      <w:r w:rsidRPr="00375A13">
        <w:rPr>
          <w:b/>
        </w:rPr>
        <w:t>9.000.000 lei</w:t>
      </w:r>
      <w:r w:rsidRPr="00375A13">
        <w:t>.</w:t>
      </w:r>
    </w:p>
    <w:p w:rsidR="003F636F" w:rsidRPr="00375A13" w:rsidRDefault="003F636F" w:rsidP="003F636F">
      <w:pPr>
        <w:spacing w:line="240" w:lineRule="auto"/>
        <w:jc w:val="both"/>
      </w:pPr>
      <w:r w:rsidRPr="00375A13">
        <w:rPr>
          <w:bCs/>
        </w:rPr>
        <w:t>Durata</w:t>
      </w:r>
      <w:r w:rsidRPr="00375A13">
        <w:t xml:space="preserve"> unui proiect nu poate depăși data de </w:t>
      </w:r>
      <w:r w:rsidRPr="00375A13">
        <w:rPr>
          <w:b/>
        </w:rPr>
        <w:t>31 decembrie 2022</w:t>
      </w:r>
      <w:r w:rsidRPr="00375A13">
        <w:t>.</w:t>
      </w:r>
    </w:p>
    <w:p w:rsidR="003F636F" w:rsidRPr="00375A13" w:rsidRDefault="003F636F" w:rsidP="003F636F">
      <w:pPr>
        <w:numPr>
          <w:ilvl w:val="0"/>
          <w:numId w:val="34"/>
        </w:numPr>
        <w:spacing w:line="240" w:lineRule="auto"/>
        <w:jc w:val="both"/>
        <w:rPr>
          <w:i/>
        </w:rPr>
      </w:pPr>
      <w:r w:rsidRPr="00375A13">
        <w:rPr>
          <w:b/>
          <w:i/>
        </w:rPr>
        <w:t>Proiecte de cercetare-inovare</w:t>
      </w:r>
      <w:r w:rsidRPr="00375A13">
        <w:rPr>
          <w:i/>
        </w:rPr>
        <w:t xml:space="preserve"> pentru întreprinderi mici și mijlocii</w:t>
      </w:r>
    </w:p>
    <w:p w:rsidR="003F636F" w:rsidRPr="00375A13" w:rsidRDefault="003F636F" w:rsidP="003F636F">
      <w:pPr>
        <w:spacing w:line="240" w:lineRule="auto"/>
        <w:jc w:val="both"/>
      </w:pPr>
      <w:r w:rsidRPr="00375A13">
        <w:rPr>
          <w:b/>
        </w:rPr>
        <w:t>5. FINALIST-IMM:</w:t>
      </w:r>
      <w:r w:rsidRPr="00375A13">
        <w:t xml:space="preserve"> proiecte pentru finanțarea activităților CD și de inovare cuprinse în propunerile IMM-urilor care au participat individual la competițiile Orizont 2020 pentru instrumentul dedicat IMM-urilor – faza 2 („SME instrument – phase 2”) și care au obținut din partea Comisiei Europene „Pecetea Excelentei” (</w:t>
      </w:r>
      <w:r w:rsidRPr="00375A13">
        <w:rPr>
          <w:b/>
        </w:rPr>
        <w:t>„Seal of Excellence”</w:t>
      </w:r>
      <w:r w:rsidRPr="00375A13">
        <w:t>), dar care nu au fost selectate la finanțare din fondurile programului-cadru.</w:t>
      </w:r>
    </w:p>
    <w:p w:rsidR="003F636F" w:rsidRPr="00375A13" w:rsidRDefault="003F636F" w:rsidP="003F636F">
      <w:pPr>
        <w:spacing w:line="240" w:lineRule="auto"/>
        <w:jc w:val="both"/>
      </w:pPr>
      <w:r w:rsidRPr="00375A13">
        <w:t>IMM-urile din Romania finaliste la competițiile Orizont 2020 de tip „H2020-SMEINST”, faza 2 pot aplica pentru acest tip de proiect.</w:t>
      </w:r>
    </w:p>
    <w:p w:rsidR="003F636F" w:rsidRPr="00375A13" w:rsidRDefault="003F636F" w:rsidP="003F636F">
      <w:pPr>
        <w:spacing w:line="240" w:lineRule="auto"/>
        <w:jc w:val="both"/>
        <w:rPr>
          <w:bCs/>
        </w:rPr>
      </w:pPr>
      <w:r w:rsidRPr="00375A13">
        <w:rPr>
          <w:iCs/>
        </w:rPr>
        <w:t>Valoarea asistenței financiare nerambursabile</w:t>
      </w:r>
      <w:r w:rsidRPr="00375A13">
        <w:t xml:space="preserve"> acordate nu poate depăși valoarea finanțării solicitat</w:t>
      </w:r>
      <w:r>
        <w:t>ă</w:t>
      </w:r>
      <w:r w:rsidRPr="00375A13">
        <w:t xml:space="preserve"> programului-cadru Orizont 2020 în cadrul propunerii de proiect care a primit „Pecetea Excelen</w:t>
      </w:r>
      <w:r>
        <w:t>ţ</w:t>
      </w:r>
      <w:r w:rsidRPr="00375A13">
        <w:t>ei”, dar p</w:t>
      </w:r>
      <w:r>
        <w:t>â</w:t>
      </w:r>
      <w:r w:rsidRPr="00375A13">
        <w:t>n</w:t>
      </w:r>
      <w:r>
        <w:t>ă</w:t>
      </w:r>
      <w:r w:rsidRPr="00375A13">
        <w:t xml:space="preserve"> la echivalentul în lei a </w:t>
      </w:r>
      <w:r w:rsidRPr="00375A13">
        <w:rPr>
          <w:b/>
        </w:rPr>
        <w:t>2,5 milioane de euro</w:t>
      </w:r>
      <w:r w:rsidRPr="00375A13">
        <w:t>.</w:t>
      </w:r>
    </w:p>
    <w:p w:rsidR="003F636F" w:rsidRPr="00375A13" w:rsidRDefault="003F636F" w:rsidP="003F636F">
      <w:pPr>
        <w:spacing w:line="240" w:lineRule="auto"/>
        <w:jc w:val="both"/>
      </w:pPr>
      <w:r w:rsidRPr="00375A13">
        <w:rPr>
          <w:bCs/>
        </w:rPr>
        <w:t>Durata</w:t>
      </w:r>
      <w:r w:rsidRPr="00375A13">
        <w:t xml:space="preserve"> unui proiect este în principiu durata propunerii de proiect</w:t>
      </w:r>
      <w:r w:rsidR="000E2330">
        <w:t xml:space="preserve"> care a primit „Pecetea Excelenţ</w:t>
      </w:r>
      <w:r w:rsidRPr="00375A13">
        <w:t xml:space="preserve">ei”, dar fără să depășească </w:t>
      </w:r>
      <w:r w:rsidRPr="00375A13">
        <w:rPr>
          <w:b/>
        </w:rPr>
        <w:t>24 de luni.</w:t>
      </w:r>
    </w:p>
    <w:p w:rsidR="003F636F" w:rsidRPr="00375A13" w:rsidRDefault="003F636F" w:rsidP="003F636F">
      <w:pPr>
        <w:spacing w:line="240" w:lineRule="auto"/>
        <w:ind w:left="360"/>
        <w:jc w:val="both"/>
        <w:rPr>
          <w:i/>
        </w:rPr>
      </w:pPr>
      <w:r w:rsidRPr="00375A13">
        <w:rPr>
          <w:b/>
          <w:i/>
        </w:rPr>
        <w:t>Proiecte suport</w:t>
      </w:r>
      <w:r w:rsidRPr="00375A13">
        <w:rPr>
          <w:i/>
        </w:rPr>
        <w:t xml:space="preserve"> pentru organizații de cercetare</w:t>
      </w:r>
    </w:p>
    <w:p w:rsidR="003F636F" w:rsidRPr="00375A13" w:rsidRDefault="003F636F" w:rsidP="003F636F">
      <w:pPr>
        <w:spacing w:line="240" w:lineRule="auto"/>
        <w:jc w:val="both"/>
      </w:pPr>
      <w:r w:rsidRPr="00375A13">
        <w:rPr>
          <w:b/>
        </w:rPr>
        <w:t>6. CENTRE-SUPORT:</w:t>
      </w:r>
      <w:r w:rsidRPr="00375A13">
        <w:t xml:space="preserve"> Proiecte pentru crearea unor Centre Suport pentru Proiecte CD Internaționale în acele organizații de cercetare care pot demonstra o participare constantă cu propuneri de proiecte la programele-cadru ale UE (FP6, 7 și Orizont 2020) sau la alte programe CDI cu finanțare din străinătate pentru a crește rata de participare și de succes a acestora. Centrele Suport astfel înființate vor susț</w:t>
      </w:r>
      <w:r>
        <w:t xml:space="preserve">ine potențialii participanți, </w:t>
      </w:r>
      <w:r w:rsidRPr="00375A13">
        <w:t>inclusiv întreprinderile care vor dori să pregătească aplicații la competițiile finanțate prin programul Orizont 2020.</w:t>
      </w:r>
    </w:p>
    <w:p w:rsidR="003F636F" w:rsidRPr="00375A13" w:rsidRDefault="003F636F" w:rsidP="003F636F">
      <w:pPr>
        <w:spacing w:line="240" w:lineRule="auto"/>
        <w:jc w:val="both"/>
        <w:rPr>
          <w:b/>
        </w:rPr>
      </w:pPr>
      <w:r w:rsidRPr="00375A13">
        <w:rPr>
          <w:b/>
        </w:rPr>
        <w:t>O organizație de cercetare poate să depună o singură propunere de proiect tip CENTRE-SUPORT.</w:t>
      </w:r>
    </w:p>
    <w:p w:rsidR="003F636F" w:rsidRPr="00375A13" w:rsidRDefault="003F636F" w:rsidP="003F636F">
      <w:pPr>
        <w:spacing w:line="240" w:lineRule="auto"/>
        <w:jc w:val="both"/>
      </w:pPr>
      <w:r w:rsidRPr="00375A13">
        <w:t xml:space="preserve">Valoarea asistenței financiare nerambursabile nu poate depăși </w:t>
      </w:r>
      <w:r w:rsidRPr="00375A13">
        <w:rPr>
          <w:b/>
        </w:rPr>
        <w:t>4.500.000 lei</w:t>
      </w:r>
      <w:r w:rsidRPr="00375A13">
        <w:t>.</w:t>
      </w:r>
    </w:p>
    <w:p w:rsidR="003F636F" w:rsidRPr="00375A13" w:rsidRDefault="003F636F" w:rsidP="003F636F">
      <w:pPr>
        <w:spacing w:line="240" w:lineRule="auto"/>
        <w:jc w:val="both"/>
      </w:pPr>
      <w:r w:rsidRPr="00375A13">
        <w:rPr>
          <w:bCs/>
        </w:rPr>
        <w:t>Durata</w:t>
      </w:r>
      <w:r w:rsidRPr="00375A13">
        <w:t xml:space="preserve"> proiectelor este de maximum </w:t>
      </w:r>
      <w:r w:rsidRPr="00375A13">
        <w:rPr>
          <w:b/>
        </w:rPr>
        <w:t>60 de luni</w:t>
      </w:r>
      <w:r w:rsidRPr="00375A13">
        <w:t>.</w:t>
      </w:r>
    </w:p>
    <w:p w:rsidR="003F636F" w:rsidRPr="00375A13" w:rsidRDefault="003F636F" w:rsidP="003F636F">
      <w:pPr>
        <w:spacing w:line="240" w:lineRule="auto"/>
        <w:jc w:val="both"/>
      </w:pPr>
      <w:r w:rsidRPr="00375A13">
        <w:t>Spreading and widening of excelence- program dedicat din H2020 sinergiilor cu FS</w:t>
      </w:r>
      <w:r>
        <w:t>.</w:t>
      </w:r>
    </w:p>
    <w:p w:rsidR="003F636F" w:rsidRPr="00375A13" w:rsidRDefault="003F636F" w:rsidP="003F636F">
      <w:pPr>
        <w:spacing w:line="240" w:lineRule="auto"/>
        <w:ind w:left="360"/>
        <w:jc w:val="both"/>
        <w:rPr>
          <w:i/>
        </w:rPr>
      </w:pPr>
      <w:r w:rsidRPr="00375A13">
        <w:rPr>
          <w:b/>
          <w:i/>
        </w:rPr>
        <w:t>Proiecte</w:t>
      </w:r>
      <w:r>
        <w:rPr>
          <w:b/>
          <w:i/>
        </w:rPr>
        <w:t xml:space="preserve"> de investiții în infrastructură</w:t>
      </w:r>
      <w:r w:rsidRPr="00375A13">
        <w:rPr>
          <w:b/>
          <w:i/>
        </w:rPr>
        <w:t xml:space="preserve"> CD</w:t>
      </w:r>
      <w:r w:rsidRPr="00375A13">
        <w:rPr>
          <w:i/>
        </w:rPr>
        <w:t xml:space="preserve"> pentru organizații de cercetare</w:t>
      </w:r>
    </w:p>
    <w:p w:rsidR="003F636F" w:rsidRPr="00375A13" w:rsidRDefault="003F636F" w:rsidP="003F636F">
      <w:pPr>
        <w:spacing w:line="240" w:lineRule="auto"/>
        <w:jc w:val="both"/>
      </w:pPr>
      <w:r w:rsidRPr="00375A13">
        <w:rPr>
          <w:b/>
        </w:rPr>
        <w:t>7. CATEDRE-ERA:</w:t>
      </w:r>
      <w:r w:rsidRPr="00375A13">
        <w:t xml:space="preserve"> proiectele pentru catedre ERA ale Orizont 2020 - „ERA Chairs” (ERA=Aria Europeană a Cercetării) cu scopul de a atrage cadre universitare și cercetători de renume în instituții care prezintă potențial de cercetare de excelență, pentru a sprijini aceste instituții să-și deblocheze potențialul, creând în felul acesta o bază pentru CDI în ERA. Proiectele CATEDRE-ERA din cadrul acestei acțiuni vor finanța investiții pentru dezvoltarea infrastructurii CD în departamentele organizațiilor de cercetare care au câștigat finanțare pe proiecte „ERA Chairs” la competițiile Orizont 2020, în timp ce Orizont 2020 va finanța costuri de personal și administrative.</w:t>
      </w:r>
    </w:p>
    <w:p w:rsidR="003F636F" w:rsidRPr="00375A13" w:rsidRDefault="003F636F" w:rsidP="003F636F">
      <w:pPr>
        <w:spacing w:line="240" w:lineRule="auto"/>
        <w:jc w:val="both"/>
        <w:rPr>
          <w:bCs/>
        </w:rPr>
      </w:pPr>
      <w:r w:rsidRPr="00375A13">
        <w:rPr>
          <w:iCs/>
        </w:rPr>
        <w:t>Valoarea asistenței financiare nerambursabile</w:t>
      </w:r>
      <w:r w:rsidRPr="00375A13">
        <w:t xml:space="preserve"> acordate nu poate depăși </w:t>
      </w:r>
      <w:r w:rsidRPr="00375A13">
        <w:rPr>
          <w:b/>
        </w:rPr>
        <w:t>20 milioane lei</w:t>
      </w:r>
      <w:r w:rsidRPr="00375A13">
        <w:t>.</w:t>
      </w:r>
    </w:p>
    <w:p w:rsidR="003F636F" w:rsidRPr="00375A13" w:rsidRDefault="003F636F" w:rsidP="003F636F">
      <w:pPr>
        <w:spacing w:line="240" w:lineRule="auto"/>
        <w:jc w:val="both"/>
      </w:pPr>
      <w:r w:rsidRPr="00375A13">
        <w:rPr>
          <w:bCs/>
        </w:rPr>
        <w:t>Durata</w:t>
      </w:r>
      <w:r w:rsidRPr="00375A13">
        <w:t xml:space="preserve"> proiectelor este de maximum </w:t>
      </w:r>
      <w:r w:rsidRPr="00375A13">
        <w:rPr>
          <w:b/>
        </w:rPr>
        <w:t>36 de luni</w:t>
      </w:r>
      <w:r w:rsidRPr="00375A13">
        <w:t>.</w:t>
      </w:r>
    </w:p>
    <w:p w:rsidR="003F636F" w:rsidRPr="00375A13" w:rsidRDefault="003F636F" w:rsidP="003F636F">
      <w:pPr>
        <w:spacing w:line="240" w:lineRule="auto"/>
        <w:jc w:val="both"/>
      </w:pPr>
      <w:r w:rsidRPr="00375A13">
        <w:rPr>
          <w:b/>
        </w:rPr>
        <w:t>8. TEAMING:</w:t>
      </w:r>
      <w:r w:rsidRPr="00375A13">
        <w:t xml:space="preserve"> proiecte între instituții de cercetare puternice și instituții de cercetare cu potențial de excelență din Rom</w:t>
      </w:r>
      <w:r>
        <w:t>â</w:t>
      </w:r>
      <w:r w:rsidRPr="00375A13">
        <w:t xml:space="preserve">nia, care vor conduce la îmbunătățirea centrelor de excelență din </w:t>
      </w:r>
      <w:r>
        <w:t>ţ</w:t>
      </w:r>
      <w:r w:rsidRPr="00375A13">
        <w:t>ara noastră. Orizont 2020 va finanța faza pregătitoare a proiectului (inclusiv dezvoltarea unui plan de afaceri) în vederea dezvoltării capacității de CD printr-un proces de teaming cu o instituție performantă dintr-un alt Stat Membru. Fondurile structurale vor interveni în faza a doua de teaming pentru finanţarea investiţiilor în dezvoltarea infrastructurii CD.</w:t>
      </w:r>
    </w:p>
    <w:p w:rsidR="003F636F" w:rsidRPr="00375A13" w:rsidRDefault="003F636F" w:rsidP="003F636F">
      <w:pPr>
        <w:spacing w:line="240" w:lineRule="auto"/>
        <w:jc w:val="both"/>
      </w:pPr>
      <w:r w:rsidRPr="00375A13">
        <w:lastRenderedPageBreak/>
        <w:t>Organizațiile de cercetare din Romania care au câștigat finanțare la programul-cadru Orizont 2020 pentru faza pregătitoare a proiectului de Teaming pot depune o propunere TEAMING în cadrul acestei acțiuni pentru dezvoltarea infrastructurii CD pentru a consolida parteneriatul cu instituțiile mai puternice și a asigura o participare de succes la faza a doua a Orizont 2020 – Teaming.</w:t>
      </w:r>
    </w:p>
    <w:p w:rsidR="003F636F" w:rsidRPr="00375A13" w:rsidRDefault="003F636F" w:rsidP="003F636F">
      <w:pPr>
        <w:spacing w:line="240" w:lineRule="auto"/>
        <w:jc w:val="both"/>
        <w:rPr>
          <w:bCs/>
        </w:rPr>
      </w:pPr>
      <w:r w:rsidRPr="00375A13">
        <w:rPr>
          <w:iCs/>
        </w:rPr>
        <w:t>Valoarea asistenței financiare nerambursabile</w:t>
      </w:r>
      <w:r w:rsidRPr="00375A13">
        <w:t xml:space="preserve"> acordate nu poate depăși </w:t>
      </w:r>
      <w:r w:rsidRPr="00375A13">
        <w:rPr>
          <w:b/>
        </w:rPr>
        <w:t>20 milioane lei</w:t>
      </w:r>
      <w:r w:rsidRPr="00375A13">
        <w:t>.</w:t>
      </w:r>
    </w:p>
    <w:p w:rsidR="003F636F" w:rsidRPr="00375A13" w:rsidRDefault="003F636F" w:rsidP="003F636F">
      <w:pPr>
        <w:spacing w:line="240" w:lineRule="auto"/>
        <w:jc w:val="both"/>
      </w:pPr>
      <w:r w:rsidRPr="00375A13">
        <w:rPr>
          <w:bCs/>
        </w:rPr>
        <w:t>Durata</w:t>
      </w:r>
      <w:r w:rsidRPr="00375A13">
        <w:t xml:space="preserve"> proiectelor este de maximum </w:t>
      </w:r>
      <w:r w:rsidRPr="00375A13">
        <w:rPr>
          <w:b/>
        </w:rPr>
        <w:t>36 de luni.</w:t>
      </w:r>
    </w:p>
    <w:p w:rsidR="003F636F" w:rsidRPr="00375A13" w:rsidRDefault="003F636F" w:rsidP="003F636F">
      <w:pPr>
        <w:spacing w:line="240" w:lineRule="auto"/>
        <w:jc w:val="both"/>
        <w:rPr>
          <w:b/>
        </w:rPr>
      </w:pPr>
      <w:r w:rsidRPr="00375A13">
        <w:rPr>
          <w:b/>
        </w:rPr>
        <w:t>Valoarea totală a nici</w:t>
      </w:r>
      <w:r>
        <w:rPr>
          <w:b/>
        </w:rPr>
        <w:t xml:space="preserve"> </w:t>
      </w:r>
      <w:r w:rsidRPr="00375A13">
        <w:rPr>
          <w:b/>
        </w:rPr>
        <w:t>unui tip de proiect din cadrul acestei acțiuni (costuri eligibile şi neeligibile) nu poate depăși echivalentul în lei a 50 milioane euro.</w:t>
      </w:r>
    </w:p>
    <w:p w:rsidR="003F636F" w:rsidRPr="00375A13" w:rsidRDefault="003F636F" w:rsidP="003F636F">
      <w:pPr>
        <w:spacing w:line="240" w:lineRule="auto"/>
        <w:jc w:val="both"/>
        <w:rPr>
          <w:b/>
          <w:bCs/>
        </w:rPr>
      </w:pPr>
      <w:r w:rsidRPr="00375A13">
        <w:rPr>
          <w:b/>
          <w:bCs/>
        </w:rPr>
        <w:t>Categorii de aplican</w:t>
      </w:r>
      <w:r>
        <w:rPr>
          <w:b/>
          <w:bCs/>
        </w:rPr>
        <w:t>ţ</w:t>
      </w:r>
      <w:r w:rsidRPr="00375A13">
        <w:rPr>
          <w:b/>
          <w:bCs/>
        </w:rPr>
        <w:t>i eligibili:</w:t>
      </w:r>
    </w:p>
    <w:p w:rsidR="003F636F" w:rsidRPr="00375A13" w:rsidRDefault="003F636F" w:rsidP="003F636F">
      <w:pPr>
        <w:pStyle w:val="ListParagraph"/>
        <w:numPr>
          <w:ilvl w:val="0"/>
          <w:numId w:val="32"/>
        </w:numPr>
        <w:spacing w:line="240" w:lineRule="auto"/>
        <w:jc w:val="both"/>
        <w:rPr>
          <w:b/>
        </w:rPr>
      </w:pPr>
      <w:r w:rsidRPr="00375A13">
        <w:rPr>
          <w:b/>
        </w:rPr>
        <w:t>Organizații de cercetare</w:t>
      </w:r>
    </w:p>
    <w:p w:rsidR="003F636F" w:rsidRPr="00375A13" w:rsidRDefault="003F636F" w:rsidP="003F636F">
      <w:pPr>
        <w:spacing w:line="240" w:lineRule="auto"/>
        <w:jc w:val="both"/>
      </w:pPr>
      <w:r w:rsidRPr="00375A13">
        <w:t xml:space="preserve">Din această categorie fac parte instituții de drept public sau privat, care au în obiectul de activitate cercetarea-dezvoltarea, organizate în conformitate cu art.7 sau art.8 din Ordonanța Guvernului nr. 57/2002 privind cercetarea științifică și dezvoltarea tehnologică aprobată prin Legea nr. 324/2003 cu modificările și completările ulterioare. Organizație de cercetare înseamnă o entitate, precum o universitate sau un institut de cercetare, indiferent de statutul său juridic sau de modul său de finanțare, al cărei scop principal este de a realiza în mod independent cercetare fundamentală, cercetare industrială sau dezvoltare experimentală sau de a disemina la scară largă rezultatele unor astfel de activități prin predare, publicare sau transfer de cunoștințe. În cazul în care entitatea desfășoară și activități economice, finanțarea, costurile și veniturile activităților economice respective trebuie să fie contabilizate separat. Întreprinderile care pot exercita o influență decisivă asupra unei astfel de entități, de exemplu, în calitate de acționari sau asociați, nu pot beneficia de acces preferențial la rezultatele generate de aceasta. </w:t>
      </w:r>
    </w:p>
    <w:p w:rsidR="003F636F" w:rsidRPr="00375A13" w:rsidRDefault="003F636F" w:rsidP="003F636F">
      <w:pPr>
        <w:pStyle w:val="ListParagraph"/>
        <w:numPr>
          <w:ilvl w:val="0"/>
          <w:numId w:val="32"/>
        </w:numPr>
        <w:spacing w:line="240" w:lineRule="auto"/>
        <w:jc w:val="both"/>
      </w:pPr>
      <w:r w:rsidRPr="00375A13">
        <w:rPr>
          <w:b/>
        </w:rPr>
        <w:t>Întreprinderi cu obiect de activitate cercetare-dezvoltare</w:t>
      </w:r>
    </w:p>
    <w:p w:rsidR="003F636F" w:rsidRPr="00E15899" w:rsidRDefault="003F636F" w:rsidP="003F636F">
      <w:pPr>
        <w:spacing w:line="240" w:lineRule="auto"/>
        <w:jc w:val="both"/>
        <w:rPr>
          <w:i/>
        </w:rPr>
      </w:pPr>
      <w:r w:rsidRPr="00E15899">
        <w:rPr>
          <w:i/>
        </w:rPr>
        <w:t xml:space="preserve">Este considerată întreprindere orice entitate care desfășoară o activitate economică, indiferent de forma juridică şi de dimensiunea acesteia (micro, mică, mijlocie, mare). </w:t>
      </w:r>
    </w:p>
    <w:p w:rsidR="003F636F" w:rsidRPr="00375A13" w:rsidRDefault="003F636F" w:rsidP="003F636F">
      <w:pPr>
        <w:spacing w:line="240" w:lineRule="auto"/>
        <w:jc w:val="both"/>
      </w:pPr>
      <w:r w:rsidRPr="00375A13">
        <w:t>Propunerile de proiect se depun individual de către un singur solicitant.</w:t>
      </w:r>
    </w:p>
    <w:p w:rsidR="003F636F" w:rsidRPr="00375A13" w:rsidRDefault="003F636F" w:rsidP="003F636F">
      <w:pPr>
        <w:spacing w:line="240" w:lineRule="auto"/>
        <w:jc w:val="both"/>
      </w:pPr>
      <w:r w:rsidRPr="00375A13">
        <w:rPr>
          <w:b/>
        </w:rPr>
        <w:t>Status la 31.12.2015</w:t>
      </w:r>
      <w:r w:rsidRPr="00375A13">
        <w:t>: Ghidul solicitantului a fost supus consultării publice în perioada 06.11.2015 – 27.11.2015.</w:t>
      </w:r>
    </w:p>
    <w:p w:rsidR="003F636F" w:rsidRPr="00375A13" w:rsidRDefault="003F636F" w:rsidP="003F636F">
      <w:pPr>
        <w:spacing w:line="240" w:lineRule="auto"/>
        <w:jc w:val="both"/>
        <w:rPr>
          <w:b/>
          <w:i/>
          <w:u w:val="single"/>
        </w:rPr>
      </w:pPr>
      <w:bookmarkStart w:id="4" w:name="_Toc449624129"/>
      <w:r w:rsidRPr="00375A13">
        <w:rPr>
          <w:b/>
          <w:i/>
          <w:u w:val="single"/>
        </w:rPr>
        <w:t>Acțiunea 1.1.4 Atragerea de personal cu competențe avansate din străinătate pentru consolidarea capacității de cercetare-dezvoltare – Tip proiect: Proiecte CD pentru atragerea de personal cu competențe avansate din străinătate – Secțiunea E</w:t>
      </w:r>
      <w:bookmarkEnd w:id="4"/>
    </w:p>
    <w:p w:rsidR="003F636F" w:rsidRPr="00375A13" w:rsidRDefault="003F636F" w:rsidP="003F636F">
      <w:pPr>
        <w:spacing w:line="240" w:lineRule="auto"/>
        <w:jc w:val="both"/>
      </w:pPr>
      <w:r>
        <w:t>Î</w:t>
      </w:r>
      <w:r w:rsidRPr="00375A13">
        <w:t xml:space="preserve">n cazul acestei acțiuni există </w:t>
      </w:r>
      <w:r w:rsidRPr="00E15899">
        <w:rPr>
          <w:u w:val="single"/>
        </w:rPr>
        <w:t xml:space="preserve">un singur tip de proiect, care </w:t>
      </w:r>
      <w:r w:rsidRPr="00375A13">
        <w:rPr>
          <w:u w:val="single"/>
        </w:rPr>
        <w:t>urmăreșt</w:t>
      </w:r>
      <w:r>
        <w:rPr>
          <w:u w:val="single"/>
        </w:rPr>
        <w:t>e crearea de nuclee de competenţ</w:t>
      </w:r>
      <w:r w:rsidRPr="00375A13">
        <w:rPr>
          <w:u w:val="single"/>
        </w:rPr>
        <w:t>ă științifică și/sau tehnologică de înalt nivel, la standarde europene, în cadrul unei instituții CD, al unei universități sau al unei întreprinderi gazdă cu activitate CD, prin atragerea de specialiști din străinătate, de orice naționalitate, cu competen</w:t>
      </w:r>
      <w:r>
        <w:rPr>
          <w:u w:val="single"/>
        </w:rPr>
        <w:t>ţ</w:t>
      </w:r>
      <w:r w:rsidRPr="00375A13">
        <w:rPr>
          <w:u w:val="single"/>
        </w:rPr>
        <w:t>ă recunoscută.</w:t>
      </w:r>
      <w:r w:rsidRPr="00375A13">
        <w:t xml:space="preserve"> </w:t>
      </w:r>
    </w:p>
    <w:p w:rsidR="003F636F" w:rsidRPr="00375A13" w:rsidRDefault="003F636F" w:rsidP="003F636F">
      <w:pPr>
        <w:spacing w:line="240" w:lineRule="auto"/>
        <w:jc w:val="both"/>
      </w:pPr>
      <w:r w:rsidRPr="00375A13">
        <w:t>Proiectele vor fi conduse de către specialistul din străinătate, care va fi angajat ca cercetător științific pe o perioada egală cel puțin cu durata proiectului, în instituția gazdă. Acțiunea va urmări consolidarea capacității de CDI în vederea pregătirii pentru participarea la Orizont 2020 sau la alte programe C&amp;I europene.</w:t>
      </w:r>
    </w:p>
    <w:p w:rsidR="003F636F" w:rsidRPr="00375A13" w:rsidRDefault="003F636F" w:rsidP="003F636F">
      <w:pPr>
        <w:spacing w:line="240" w:lineRule="auto"/>
        <w:jc w:val="both"/>
        <w:rPr>
          <w:b/>
        </w:rPr>
      </w:pPr>
      <w:r w:rsidRPr="00375A13">
        <w:rPr>
          <w:b/>
        </w:rPr>
        <w:t>Valoarea asistenței financiare nerambursabile este de maximum 9.000.000 lei.</w:t>
      </w:r>
    </w:p>
    <w:p w:rsidR="003F636F" w:rsidRPr="00375A13" w:rsidRDefault="003F636F" w:rsidP="003F636F">
      <w:pPr>
        <w:spacing w:line="240" w:lineRule="auto"/>
        <w:jc w:val="both"/>
      </w:pPr>
      <w:r w:rsidRPr="00375A13">
        <w:rPr>
          <w:iCs/>
        </w:rPr>
        <w:t>Valoarea asistenței financiare nerambursabile</w:t>
      </w:r>
      <w:r w:rsidRPr="00375A13">
        <w:t xml:space="preserve"> acordate nu poate depăși echivalentul în lei a 2 milioane de euro.</w:t>
      </w:r>
    </w:p>
    <w:p w:rsidR="003F636F" w:rsidRPr="00375A13" w:rsidRDefault="003F636F" w:rsidP="003F636F">
      <w:pPr>
        <w:spacing w:line="240" w:lineRule="auto"/>
        <w:jc w:val="both"/>
      </w:pPr>
      <w:r w:rsidRPr="00375A13">
        <w:lastRenderedPageBreak/>
        <w:t>Specialistul din străinătate trebuie să îndeplinească următoarele condiţii:</w:t>
      </w:r>
    </w:p>
    <w:p w:rsidR="003F636F" w:rsidRPr="00375A13" w:rsidRDefault="003F636F" w:rsidP="003F636F">
      <w:pPr>
        <w:numPr>
          <w:ilvl w:val="0"/>
          <w:numId w:val="36"/>
        </w:numPr>
        <w:spacing w:after="0" w:line="240" w:lineRule="auto"/>
        <w:jc w:val="both"/>
      </w:pPr>
      <w:r w:rsidRPr="00375A13">
        <w:t>să aibă cel puţin 5 ani vechime în activitatea de cercetare (titlul de doctor în ştiinţe este obligatoriu);</w:t>
      </w:r>
    </w:p>
    <w:p w:rsidR="003F636F" w:rsidRDefault="003F636F" w:rsidP="003F636F">
      <w:pPr>
        <w:numPr>
          <w:ilvl w:val="0"/>
          <w:numId w:val="36"/>
        </w:numPr>
        <w:spacing w:after="0" w:line="240" w:lineRule="auto"/>
        <w:jc w:val="both"/>
      </w:pPr>
      <w:r w:rsidRPr="00375A13">
        <w:t>să fi lucrat în cercetare (sau să fi fost la studii pentru doctorat sau post-doctorat) cel puţin 3 ani în străinătate, în ultimii 5 ani.</w:t>
      </w:r>
    </w:p>
    <w:p w:rsidR="003F636F" w:rsidRPr="00375A13" w:rsidRDefault="003F636F" w:rsidP="003F636F">
      <w:pPr>
        <w:spacing w:after="0" w:line="240" w:lineRule="auto"/>
        <w:ind w:left="720"/>
        <w:jc w:val="both"/>
      </w:pPr>
    </w:p>
    <w:p w:rsidR="003F636F" w:rsidRPr="00375A13" w:rsidRDefault="003F636F" w:rsidP="003F636F">
      <w:pPr>
        <w:spacing w:line="240" w:lineRule="auto"/>
        <w:jc w:val="both"/>
        <w:rPr>
          <w:b/>
        </w:rPr>
      </w:pPr>
      <w:r w:rsidRPr="00375A13">
        <w:rPr>
          <w:b/>
        </w:rPr>
        <w:t>Categorii de solicitanti eligibili:</w:t>
      </w:r>
    </w:p>
    <w:p w:rsidR="003F636F" w:rsidRPr="00375A13" w:rsidRDefault="003F636F" w:rsidP="003F636F">
      <w:pPr>
        <w:numPr>
          <w:ilvl w:val="1"/>
          <w:numId w:val="37"/>
        </w:numPr>
        <w:spacing w:after="0" w:line="240" w:lineRule="auto"/>
        <w:ind w:left="1512"/>
        <w:jc w:val="both"/>
      </w:pPr>
      <w:r w:rsidRPr="00375A13">
        <w:rPr>
          <w:bCs/>
        </w:rPr>
        <w:t>Organizaţii de cercetare</w:t>
      </w:r>
      <w:r>
        <w:rPr>
          <w:bCs/>
        </w:rPr>
        <w:t>;</w:t>
      </w:r>
    </w:p>
    <w:p w:rsidR="003F636F" w:rsidRPr="00FA782E" w:rsidRDefault="003F636F" w:rsidP="003F636F">
      <w:pPr>
        <w:numPr>
          <w:ilvl w:val="1"/>
          <w:numId w:val="37"/>
        </w:numPr>
        <w:spacing w:after="0" w:line="240" w:lineRule="auto"/>
        <w:ind w:left="1512"/>
        <w:jc w:val="both"/>
      </w:pPr>
      <w:r w:rsidRPr="00375A13">
        <w:rPr>
          <w:bCs/>
        </w:rPr>
        <w:t>Întreprinderi cu obi</w:t>
      </w:r>
      <w:r>
        <w:rPr>
          <w:bCs/>
        </w:rPr>
        <w:t xml:space="preserve">ect de activitate </w:t>
      </w:r>
      <w:r w:rsidRPr="00375A13">
        <w:rPr>
          <w:bCs/>
        </w:rPr>
        <w:t>cercetare-dezvoltare</w:t>
      </w:r>
      <w:r>
        <w:rPr>
          <w:bCs/>
        </w:rPr>
        <w:t>.</w:t>
      </w:r>
    </w:p>
    <w:p w:rsidR="003F636F" w:rsidRPr="00375A13" w:rsidRDefault="003F636F" w:rsidP="003F636F">
      <w:pPr>
        <w:spacing w:after="0" w:line="240" w:lineRule="auto"/>
        <w:ind w:left="1512"/>
        <w:jc w:val="both"/>
      </w:pPr>
    </w:p>
    <w:p w:rsidR="003F636F" w:rsidRPr="00375A13" w:rsidRDefault="003F636F" w:rsidP="003F636F">
      <w:pPr>
        <w:spacing w:line="240" w:lineRule="auto"/>
        <w:jc w:val="both"/>
      </w:pPr>
      <w:r w:rsidRPr="00375A13">
        <w:t>Apelul a fost lansat în 27 Iunie 2015. Depunerea proiectelor s-a încheiat la 1 septembrie 2015.</w:t>
      </w:r>
    </w:p>
    <w:p w:rsidR="003F636F" w:rsidRPr="00375A13" w:rsidRDefault="003F636F" w:rsidP="003F636F">
      <w:pPr>
        <w:spacing w:line="240" w:lineRule="auto"/>
        <w:jc w:val="both"/>
      </w:pPr>
      <w:r w:rsidRPr="00375A13">
        <w:rPr>
          <w:b/>
        </w:rPr>
        <w:t>Status la 31.12.2015:</w:t>
      </w:r>
      <w:r w:rsidRPr="00375A13">
        <w:t xml:space="preserve"> Etapa verificare eligibilitate a fost finalizată.</w:t>
      </w:r>
    </w:p>
    <w:p w:rsidR="003F636F" w:rsidRPr="00375A13" w:rsidRDefault="003F636F" w:rsidP="003F636F">
      <w:pPr>
        <w:spacing w:line="240" w:lineRule="auto"/>
        <w:jc w:val="both"/>
      </w:pPr>
      <w:r w:rsidRPr="00375A13">
        <w:t>Evaluarea tehnico-științifică s-a efectuat de către un</w:t>
      </w:r>
      <w:r>
        <w:t xml:space="preserve"> panel compus din 3 evaluatori </w:t>
      </w:r>
      <w:r w:rsidRPr="00375A13">
        <w:t>str</w:t>
      </w:r>
      <w:r>
        <w:t xml:space="preserve">ăini (2 evaluatori științifici </w:t>
      </w:r>
      <w:r w:rsidRPr="00375A13">
        <w:t>din domeniul de Specializare Inteligentă și de u</w:t>
      </w:r>
      <w:r>
        <w:t xml:space="preserve">n evaluator tehnic) selectați </w:t>
      </w:r>
      <w:r w:rsidRPr="00375A13">
        <w:t xml:space="preserve">din baza de date a </w:t>
      </w:r>
      <w:r w:rsidRPr="00375A13">
        <w:rPr>
          <w:u w:val="single"/>
        </w:rPr>
        <w:t>evaluatorilor științifici a DG Research a COM</w:t>
      </w:r>
      <w:r w:rsidRPr="00375A13">
        <w:t xml:space="preserve">: </w:t>
      </w:r>
    </w:p>
    <w:p w:rsidR="003F636F" w:rsidRPr="004E5D04" w:rsidRDefault="003F636F" w:rsidP="003F636F">
      <w:pPr>
        <w:numPr>
          <w:ilvl w:val="0"/>
          <w:numId w:val="35"/>
        </w:numPr>
        <w:spacing w:line="240" w:lineRule="auto"/>
        <w:jc w:val="both"/>
        <w:rPr>
          <w:u w:val="single"/>
        </w:rPr>
      </w:pPr>
      <w:r w:rsidRPr="00375A13">
        <w:rPr>
          <w:u w:val="single"/>
        </w:rPr>
        <w:t>S-au constituit 22 paneluri cu 66 evaluatori</w:t>
      </w:r>
      <w:r w:rsidRPr="00375A13">
        <w:t xml:space="preserve">. </w:t>
      </w:r>
    </w:p>
    <w:p w:rsidR="003F636F" w:rsidRPr="00375A13" w:rsidRDefault="003F636F" w:rsidP="003F636F">
      <w:pPr>
        <w:pStyle w:val="ListParagraph"/>
        <w:numPr>
          <w:ilvl w:val="0"/>
          <w:numId w:val="35"/>
        </w:numPr>
        <w:spacing w:line="240" w:lineRule="auto"/>
        <w:jc w:val="both"/>
      </w:pPr>
      <w:r>
        <w:t xml:space="preserve">204 proiecte depuse, </w:t>
      </w:r>
      <w:r w:rsidRPr="00375A13">
        <w:t>valoare AFN: 373.6 mil. Euro.</w:t>
      </w:r>
    </w:p>
    <w:p w:rsidR="003F636F" w:rsidRDefault="003F636F" w:rsidP="003F636F">
      <w:pPr>
        <w:pStyle w:val="ListParagraph"/>
        <w:numPr>
          <w:ilvl w:val="0"/>
          <w:numId w:val="35"/>
        </w:numPr>
        <w:spacing w:line="240" w:lineRule="auto"/>
        <w:jc w:val="both"/>
      </w:pPr>
      <w:r w:rsidRPr="00375A13">
        <w:t xml:space="preserve">177 proiecte selectate </w:t>
      </w:r>
      <w:r>
        <w:t xml:space="preserve">în aceasta etapa, valoare AFN: </w:t>
      </w:r>
      <w:r w:rsidRPr="00375A13">
        <w:t>322.3 mil. Euro.</w:t>
      </w:r>
    </w:p>
    <w:p w:rsidR="00002944" w:rsidRDefault="00002944" w:rsidP="00002944">
      <w:pPr>
        <w:pStyle w:val="ListParagraph"/>
        <w:spacing w:line="240" w:lineRule="auto"/>
        <w:ind w:left="1495"/>
        <w:jc w:val="both"/>
      </w:pPr>
    </w:p>
    <w:p w:rsidR="00002944" w:rsidRDefault="00002944" w:rsidP="00002944">
      <w:pPr>
        <w:pStyle w:val="ListParagraph"/>
        <w:spacing w:line="240" w:lineRule="auto"/>
        <w:ind w:left="1495"/>
        <w:jc w:val="both"/>
      </w:pPr>
    </w:p>
    <w:tbl>
      <w:tblPr>
        <w:tblW w:w="7150" w:type="dxa"/>
        <w:jc w:val="center"/>
        <w:tblLayout w:type="fixed"/>
        <w:tblLook w:val="04A0" w:firstRow="1" w:lastRow="0" w:firstColumn="1" w:lastColumn="0" w:noHBand="0" w:noVBand="1"/>
      </w:tblPr>
      <w:tblGrid>
        <w:gridCol w:w="1701"/>
        <w:gridCol w:w="489"/>
        <w:gridCol w:w="504"/>
        <w:gridCol w:w="203"/>
        <w:gridCol w:w="644"/>
        <w:gridCol w:w="207"/>
        <w:gridCol w:w="850"/>
        <w:gridCol w:w="644"/>
        <w:gridCol w:w="207"/>
        <w:gridCol w:w="850"/>
        <w:gridCol w:w="625"/>
        <w:gridCol w:w="19"/>
        <w:gridCol w:w="207"/>
      </w:tblGrid>
      <w:tr w:rsidR="003F636F" w:rsidRPr="00375A13" w:rsidTr="00002944">
        <w:trPr>
          <w:gridAfter w:val="2"/>
          <w:wAfter w:w="226" w:type="dxa"/>
          <w:trHeight w:val="154"/>
          <w:jc w:val="center"/>
        </w:trPr>
        <w:tc>
          <w:tcPr>
            <w:tcW w:w="1701" w:type="dxa"/>
            <w:noWrap/>
            <w:vAlign w:val="bottom"/>
            <w:hideMark/>
          </w:tcPr>
          <w:p w:rsidR="003F636F" w:rsidRPr="00375A13" w:rsidRDefault="003F636F" w:rsidP="00970E00">
            <w:pPr>
              <w:spacing w:line="240" w:lineRule="auto"/>
              <w:rPr>
                <w:rFonts w:ascii="Calibri" w:eastAsia="Calibri" w:hAnsi="Calibri"/>
              </w:rPr>
            </w:pPr>
          </w:p>
        </w:tc>
        <w:tc>
          <w:tcPr>
            <w:tcW w:w="5223" w:type="dxa"/>
            <w:gridSpan w:val="10"/>
            <w:tcBorders>
              <w:top w:val="single" w:sz="4" w:space="0" w:color="auto"/>
              <w:left w:val="single" w:sz="4" w:space="0" w:color="auto"/>
              <w:bottom w:val="nil"/>
              <w:right w:val="single" w:sz="4" w:space="0" w:color="000000"/>
            </w:tcBorders>
            <w:noWrap/>
            <w:vAlign w:val="bottom"/>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 xml:space="preserve"> Secţiunea E</w:t>
            </w:r>
          </w:p>
        </w:tc>
      </w:tr>
      <w:tr w:rsidR="003F636F" w:rsidRPr="00375A13" w:rsidTr="00002944">
        <w:trPr>
          <w:gridAfter w:val="2"/>
          <w:wAfter w:w="226" w:type="dxa"/>
          <w:trHeight w:val="284"/>
          <w:jc w:val="center"/>
        </w:trPr>
        <w:tc>
          <w:tcPr>
            <w:tcW w:w="1701" w:type="dxa"/>
            <w:noWrap/>
            <w:vAlign w:val="bottom"/>
            <w:hideMark/>
          </w:tcPr>
          <w:p w:rsidR="003F636F" w:rsidRPr="00375A13" w:rsidRDefault="003F636F" w:rsidP="00970E00">
            <w:pPr>
              <w:spacing w:line="240" w:lineRule="auto"/>
              <w:rPr>
                <w:rFonts w:ascii="Calibri" w:eastAsia="Calibri" w:hAnsi="Calibri"/>
              </w:rPr>
            </w:pPr>
          </w:p>
        </w:tc>
        <w:tc>
          <w:tcPr>
            <w:tcW w:w="5223" w:type="dxa"/>
            <w:gridSpan w:val="10"/>
            <w:tcBorders>
              <w:top w:val="nil"/>
              <w:left w:val="single" w:sz="4" w:space="0" w:color="auto"/>
              <w:bottom w:val="single" w:sz="4" w:space="0" w:color="auto"/>
              <w:right w:val="single" w:sz="4" w:space="0" w:color="000000"/>
            </w:tcBorders>
            <w:noWrap/>
            <w:vAlign w:val="bottom"/>
            <w:hideMark/>
          </w:tcPr>
          <w:p w:rsidR="003F636F" w:rsidRPr="00375A13" w:rsidRDefault="003F636F" w:rsidP="00002944">
            <w:pPr>
              <w:spacing w:line="240" w:lineRule="auto"/>
              <w:rPr>
                <w:rFonts w:ascii="Calibri" w:hAnsi="Calibri"/>
                <w:b/>
                <w:color w:val="000000"/>
                <w:sz w:val="18"/>
                <w:szCs w:val="18"/>
                <w:lang w:eastAsia="ro-RO"/>
              </w:rPr>
            </w:pPr>
            <w:r w:rsidRPr="00375A13">
              <w:rPr>
                <w:rFonts w:ascii="Calibri" w:hAnsi="Calibri"/>
                <w:b/>
                <w:color w:val="000000"/>
                <w:sz w:val="18"/>
                <w:szCs w:val="18"/>
                <w:lang w:eastAsia="ro-RO"/>
              </w:rPr>
              <w:t xml:space="preserve">                                                                        FEDR+BS  (mil. Euro)</w:t>
            </w:r>
          </w:p>
        </w:tc>
      </w:tr>
      <w:tr w:rsidR="003F636F" w:rsidRPr="00375A13" w:rsidTr="00002944">
        <w:trPr>
          <w:gridAfter w:val="1"/>
          <w:wAfter w:w="207" w:type="dxa"/>
          <w:trHeight w:val="747"/>
          <w:jc w:val="center"/>
        </w:trPr>
        <w:tc>
          <w:tcPr>
            <w:tcW w:w="1701" w:type="dxa"/>
            <w:vMerge w:val="restart"/>
            <w:tcBorders>
              <w:top w:val="single" w:sz="4" w:space="0" w:color="auto"/>
              <w:left w:val="single" w:sz="4" w:space="0" w:color="auto"/>
              <w:right w:val="single" w:sz="4" w:space="0" w:color="auto"/>
            </w:tcBorders>
            <w:vAlign w:val="center"/>
            <w:hideMark/>
          </w:tcPr>
          <w:p w:rsidR="003F636F" w:rsidRPr="00375A13" w:rsidRDefault="003F636F" w:rsidP="00970E00">
            <w:pPr>
              <w:spacing w:line="240" w:lineRule="auto"/>
              <w:rPr>
                <w:rFonts w:ascii="Calibri" w:hAnsi="Calibri"/>
                <w:b/>
                <w:color w:val="000000"/>
                <w:sz w:val="18"/>
                <w:szCs w:val="18"/>
                <w:lang w:eastAsia="ro-RO"/>
              </w:rPr>
            </w:pPr>
            <w:r w:rsidRPr="00375A13">
              <w:rPr>
                <w:rFonts w:ascii="Calibri" w:hAnsi="Calibri"/>
                <w:b/>
                <w:color w:val="000000"/>
                <w:sz w:val="18"/>
                <w:szCs w:val="18"/>
                <w:lang w:eastAsia="ro-RO"/>
              </w:rPr>
              <w:t>Beneficiar eligibil</w:t>
            </w:r>
          </w:p>
        </w:tc>
        <w:tc>
          <w:tcPr>
            <w:tcW w:w="993"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Buget total alocat</w:t>
            </w:r>
          </w:p>
        </w:tc>
        <w:tc>
          <w:tcPr>
            <w:tcW w:w="847"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b/>
                <w:color w:val="000000"/>
                <w:sz w:val="18"/>
                <w:szCs w:val="18"/>
                <w:lang w:eastAsia="ro-RO"/>
              </w:rPr>
            </w:pPr>
            <w:r w:rsidRPr="00375A13">
              <w:rPr>
                <w:rFonts w:ascii="Calibri" w:hAnsi="Calibri"/>
                <w:b/>
                <w:color w:val="000000"/>
                <w:sz w:val="18"/>
                <w:szCs w:val="18"/>
                <w:lang w:eastAsia="ro-RO"/>
              </w:rPr>
              <w:t xml:space="preserve">Buget proiecte depuse </w:t>
            </w:r>
          </w:p>
        </w:tc>
        <w:tc>
          <w:tcPr>
            <w:tcW w:w="1701" w:type="dxa"/>
            <w:gridSpan w:val="3"/>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 xml:space="preserve">Evaluare tehnico-ştiintifică etapa evaluare individuală </w:t>
            </w:r>
          </w:p>
        </w:tc>
        <w:tc>
          <w:tcPr>
            <w:tcW w:w="1701" w:type="dxa"/>
            <w:gridSpan w:val="4"/>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Evaluare tehnico-ştiinţifică etapa evaluare în panel</w:t>
            </w:r>
          </w:p>
        </w:tc>
      </w:tr>
      <w:tr w:rsidR="003F636F" w:rsidRPr="00375A13" w:rsidTr="00002944">
        <w:trPr>
          <w:gridAfter w:val="1"/>
          <w:wAfter w:w="207" w:type="dxa"/>
          <w:trHeight w:val="72"/>
          <w:jc w:val="center"/>
        </w:trPr>
        <w:tc>
          <w:tcPr>
            <w:tcW w:w="1701" w:type="dxa"/>
            <w:vMerge/>
            <w:tcBorders>
              <w:left w:val="single" w:sz="4" w:space="0" w:color="auto"/>
              <w:bottom w:val="single" w:sz="4" w:space="0" w:color="auto"/>
              <w:right w:val="single" w:sz="4" w:space="0" w:color="auto"/>
            </w:tcBorders>
            <w:vAlign w:val="center"/>
          </w:tcPr>
          <w:p w:rsidR="003F636F" w:rsidRPr="00375A13" w:rsidRDefault="003F636F" w:rsidP="00970E00">
            <w:pPr>
              <w:spacing w:line="240" w:lineRule="auto"/>
              <w:rPr>
                <w:rFonts w:ascii="Calibri" w:hAnsi="Calibri"/>
                <w:color w:val="000000"/>
                <w:sz w:val="18"/>
                <w:szCs w:val="18"/>
                <w:lang w:eastAsia="ro-RO"/>
              </w:rPr>
            </w:pPr>
          </w:p>
        </w:tc>
        <w:tc>
          <w:tcPr>
            <w:tcW w:w="993"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 xml:space="preserve">(a) </w:t>
            </w:r>
          </w:p>
        </w:tc>
        <w:tc>
          <w:tcPr>
            <w:tcW w:w="847"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(b)</w:t>
            </w:r>
          </w:p>
        </w:tc>
        <w:tc>
          <w:tcPr>
            <w:tcW w:w="1701" w:type="dxa"/>
            <w:gridSpan w:val="3"/>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(c)</w:t>
            </w:r>
          </w:p>
        </w:tc>
        <w:tc>
          <w:tcPr>
            <w:tcW w:w="1701" w:type="dxa"/>
            <w:gridSpan w:val="4"/>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(d)</w:t>
            </w:r>
          </w:p>
        </w:tc>
      </w:tr>
      <w:tr w:rsidR="003F636F" w:rsidRPr="00375A13" w:rsidTr="00002944">
        <w:trPr>
          <w:gridAfter w:val="1"/>
          <w:wAfter w:w="207" w:type="dxa"/>
          <w:trHeight w:val="397"/>
          <w:jc w:val="center"/>
        </w:trPr>
        <w:tc>
          <w:tcPr>
            <w:tcW w:w="1701" w:type="dxa"/>
            <w:vMerge w:val="restart"/>
            <w:tcBorders>
              <w:top w:val="nil"/>
              <w:left w:val="single" w:sz="4" w:space="0" w:color="auto"/>
              <w:bottom w:val="single" w:sz="4" w:space="0" w:color="auto"/>
              <w:right w:val="single" w:sz="4" w:space="0" w:color="auto"/>
            </w:tcBorders>
            <w:vAlign w:val="center"/>
            <w:hideMark/>
          </w:tcPr>
          <w:p w:rsidR="003F636F" w:rsidRPr="00375A13" w:rsidRDefault="003F636F" w:rsidP="00166AA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Organiza</w:t>
            </w:r>
            <w:r w:rsidR="00166AA0">
              <w:rPr>
                <w:rFonts w:ascii="Calibri" w:hAnsi="Calibri"/>
                <w:color w:val="000000"/>
                <w:sz w:val="18"/>
                <w:szCs w:val="18"/>
                <w:lang w:eastAsia="ro-RO"/>
              </w:rPr>
              <w:t>ţ</w:t>
            </w:r>
            <w:r w:rsidRPr="00375A13">
              <w:rPr>
                <w:rFonts w:ascii="Calibri" w:hAnsi="Calibri"/>
                <w:color w:val="000000"/>
                <w:sz w:val="18"/>
                <w:szCs w:val="18"/>
                <w:lang w:eastAsia="ro-RO"/>
              </w:rPr>
              <w:t xml:space="preserve">ii de cercetare de drept public </w:t>
            </w:r>
            <w:r w:rsidR="00166AA0">
              <w:rPr>
                <w:rFonts w:ascii="Calibri" w:hAnsi="Calibri"/>
                <w:color w:val="000000"/>
                <w:sz w:val="18"/>
                <w:szCs w:val="18"/>
                <w:lang w:eastAsia="ro-RO"/>
              </w:rPr>
              <w:t>ş</w:t>
            </w:r>
            <w:r w:rsidRPr="00375A13">
              <w:rPr>
                <w:rFonts w:ascii="Calibri" w:hAnsi="Calibri"/>
                <w:color w:val="000000"/>
                <w:sz w:val="18"/>
                <w:szCs w:val="18"/>
                <w:lang w:eastAsia="ro-RO"/>
              </w:rPr>
              <w:t xml:space="preserve">i/sau privat </w:t>
            </w:r>
            <w:r w:rsidR="00166AA0">
              <w:rPr>
                <w:rFonts w:ascii="Calibri" w:hAnsi="Calibri"/>
                <w:color w:val="000000"/>
                <w:sz w:val="18"/>
                <w:szCs w:val="18"/>
                <w:lang w:eastAsia="ro-RO"/>
              </w:rPr>
              <w:t>ş</w:t>
            </w:r>
            <w:r w:rsidRPr="00375A13">
              <w:rPr>
                <w:rFonts w:ascii="Calibri" w:hAnsi="Calibri"/>
                <w:color w:val="000000"/>
                <w:sz w:val="18"/>
                <w:szCs w:val="18"/>
                <w:lang w:eastAsia="ro-RO"/>
              </w:rPr>
              <w:t xml:space="preserve">i </w:t>
            </w:r>
            <w:r w:rsidR="00166AA0">
              <w:rPr>
                <w:rFonts w:ascii="Calibri" w:hAnsi="Calibri"/>
                <w:color w:val="000000"/>
                <w:sz w:val="18"/>
                <w:szCs w:val="18"/>
                <w:lang w:eastAsia="ro-RO"/>
              </w:rPr>
              <w:t>î</w:t>
            </w:r>
            <w:r w:rsidRPr="00375A13">
              <w:rPr>
                <w:rFonts w:ascii="Calibri" w:hAnsi="Calibri"/>
                <w:color w:val="000000"/>
                <w:sz w:val="18"/>
                <w:szCs w:val="18"/>
                <w:lang w:eastAsia="ro-RO"/>
              </w:rPr>
              <w:t>ntreprinderile mari, mijlocii sau mici, cu activitate CD men</w:t>
            </w:r>
            <w:r w:rsidR="00166AA0">
              <w:rPr>
                <w:rFonts w:ascii="Calibri" w:hAnsi="Calibri"/>
                <w:color w:val="000000"/>
                <w:sz w:val="18"/>
                <w:szCs w:val="18"/>
                <w:lang w:eastAsia="ro-RO"/>
              </w:rPr>
              <w:t>ţ</w:t>
            </w:r>
            <w:r w:rsidRPr="00375A13">
              <w:rPr>
                <w:rFonts w:ascii="Calibri" w:hAnsi="Calibri"/>
                <w:color w:val="000000"/>
                <w:sz w:val="18"/>
                <w:szCs w:val="18"/>
                <w:lang w:eastAsia="ro-RO"/>
              </w:rPr>
              <w:t>ionat</w:t>
            </w:r>
            <w:r w:rsidR="00166AA0">
              <w:rPr>
                <w:rFonts w:ascii="Calibri" w:hAnsi="Calibri"/>
                <w:color w:val="000000"/>
                <w:sz w:val="18"/>
                <w:szCs w:val="18"/>
                <w:lang w:eastAsia="ro-RO"/>
              </w:rPr>
              <w:t>ă</w:t>
            </w:r>
            <w:r w:rsidRPr="00375A13">
              <w:rPr>
                <w:rFonts w:ascii="Calibri" w:hAnsi="Calibri"/>
                <w:color w:val="000000"/>
                <w:sz w:val="18"/>
                <w:szCs w:val="18"/>
                <w:lang w:eastAsia="ro-RO"/>
              </w:rPr>
              <w:t xml:space="preserve"> </w:t>
            </w:r>
            <w:r w:rsidR="00166AA0">
              <w:rPr>
                <w:rFonts w:ascii="Calibri" w:hAnsi="Calibri"/>
                <w:color w:val="000000"/>
                <w:sz w:val="18"/>
                <w:szCs w:val="18"/>
                <w:lang w:eastAsia="ro-RO"/>
              </w:rPr>
              <w:t>î</w:t>
            </w:r>
            <w:r w:rsidRPr="00375A13">
              <w:rPr>
                <w:rFonts w:ascii="Calibri" w:hAnsi="Calibri"/>
                <w:color w:val="000000"/>
                <w:sz w:val="18"/>
                <w:szCs w:val="18"/>
                <w:lang w:eastAsia="ro-RO"/>
              </w:rPr>
              <w:t>n statut</w:t>
            </w:r>
          </w:p>
        </w:tc>
        <w:tc>
          <w:tcPr>
            <w:tcW w:w="993" w:type="dxa"/>
            <w:gridSpan w:val="2"/>
            <w:vMerge w:val="restart"/>
            <w:tcBorders>
              <w:top w:val="single" w:sz="4" w:space="0" w:color="auto"/>
              <w:left w:val="nil"/>
              <w:bottom w:val="single" w:sz="4" w:space="0" w:color="000000"/>
              <w:right w:val="single" w:sz="4" w:space="0" w:color="000000"/>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97.4</w:t>
            </w:r>
          </w:p>
        </w:tc>
        <w:tc>
          <w:tcPr>
            <w:tcW w:w="847" w:type="dxa"/>
            <w:gridSpan w:val="2"/>
            <w:vMerge w:val="restart"/>
            <w:tcBorders>
              <w:top w:val="nil"/>
              <w:left w:val="single" w:sz="4" w:space="0" w:color="auto"/>
              <w:bottom w:val="single" w:sz="4" w:space="0" w:color="000000"/>
              <w:right w:val="single" w:sz="4" w:space="0" w:color="auto"/>
            </w:tcBorders>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373.6</w:t>
            </w:r>
          </w:p>
        </w:tc>
        <w:tc>
          <w:tcPr>
            <w:tcW w:w="1701" w:type="dxa"/>
            <w:gridSpan w:val="3"/>
            <w:vMerge w:val="restart"/>
            <w:tcBorders>
              <w:top w:val="single" w:sz="4" w:space="0" w:color="auto"/>
              <w:left w:val="single" w:sz="4" w:space="0" w:color="auto"/>
              <w:right w:val="single" w:sz="4" w:space="0" w:color="000000"/>
            </w:tcBorders>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b/>
                <w:color w:val="000000"/>
                <w:sz w:val="18"/>
                <w:szCs w:val="18"/>
                <w:lang w:eastAsia="ro-RO"/>
              </w:rPr>
              <w:t>Finalizată</w:t>
            </w:r>
          </w:p>
          <w:p w:rsidR="003F636F" w:rsidRPr="00375A13" w:rsidRDefault="003F636F" w:rsidP="00970E00">
            <w:pPr>
              <w:spacing w:line="240" w:lineRule="auto"/>
              <w:rPr>
                <w:rFonts w:ascii="Calibri" w:hAnsi="Calibri"/>
                <w:color w:val="000000"/>
                <w:sz w:val="18"/>
                <w:szCs w:val="18"/>
                <w:lang w:eastAsia="ro-RO"/>
              </w:rPr>
            </w:pPr>
          </w:p>
          <w:p w:rsidR="003F636F" w:rsidRPr="00375A13" w:rsidRDefault="003F636F" w:rsidP="00970E00">
            <w:pPr>
              <w:spacing w:line="240" w:lineRule="auto"/>
              <w:jc w:val="center"/>
              <w:rPr>
                <w:rFonts w:ascii="Calibri" w:hAnsi="Calibri"/>
                <w:color w:val="000000"/>
                <w:sz w:val="18"/>
                <w:szCs w:val="18"/>
                <w:lang w:eastAsia="ro-RO"/>
              </w:rPr>
            </w:pPr>
          </w:p>
        </w:tc>
        <w:tc>
          <w:tcPr>
            <w:tcW w:w="1701" w:type="dxa"/>
            <w:gridSpan w:val="4"/>
            <w:vMerge w:val="restart"/>
            <w:tcBorders>
              <w:top w:val="single" w:sz="4" w:space="0" w:color="auto"/>
              <w:left w:val="single" w:sz="4" w:space="0" w:color="auto"/>
              <w:right w:val="single" w:sz="4" w:space="0" w:color="000000"/>
            </w:tcBorders>
            <w:noWrap/>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Se va derula în perioada 08 Februarie – 02 Martie 2016</w:t>
            </w:r>
          </w:p>
        </w:tc>
      </w:tr>
      <w:tr w:rsidR="003F636F" w:rsidRPr="00375A13" w:rsidTr="00002944">
        <w:trPr>
          <w:gridAfter w:val="1"/>
          <w:wAfter w:w="207" w:type="dxa"/>
          <w:trHeight w:val="380"/>
          <w:jc w:val="center"/>
        </w:trPr>
        <w:tc>
          <w:tcPr>
            <w:tcW w:w="1701"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993" w:type="dxa"/>
            <w:gridSpan w:val="2"/>
            <w:vMerge/>
            <w:tcBorders>
              <w:top w:val="single" w:sz="4" w:space="0" w:color="auto"/>
              <w:left w:val="nil"/>
              <w:bottom w:val="single" w:sz="4" w:space="0" w:color="000000"/>
              <w:right w:val="single" w:sz="4" w:space="0" w:color="000000"/>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847" w:type="dxa"/>
            <w:gridSpan w:val="2"/>
            <w:vMerge/>
            <w:tcBorders>
              <w:top w:val="nil"/>
              <w:left w:val="single" w:sz="4" w:space="0" w:color="auto"/>
              <w:bottom w:val="single" w:sz="4" w:space="0" w:color="000000"/>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1701" w:type="dxa"/>
            <w:gridSpan w:val="3"/>
            <w:vMerge/>
            <w:tcBorders>
              <w:left w:val="single" w:sz="4" w:space="0" w:color="auto"/>
              <w:right w:val="single" w:sz="4" w:space="0" w:color="000000"/>
            </w:tcBorders>
            <w:vAlign w:val="center"/>
            <w:hideMark/>
          </w:tcPr>
          <w:p w:rsidR="003F636F" w:rsidRPr="00375A13" w:rsidRDefault="003F636F" w:rsidP="00970E00">
            <w:pPr>
              <w:spacing w:line="240" w:lineRule="auto"/>
              <w:jc w:val="center"/>
              <w:rPr>
                <w:rFonts w:ascii="Calibri" w:hAnsi="Calibri"/>
                <w:color w:val="000000"/>
                <w:sz w:val="18"/>
                <w:szCs w:val="18"/>
                <w:lang w:eastAsia="ro-RO"/>
              </w:rPr>
            </w:pPr>
          </w:p>
        </w:tc>
        <w:tc>
          <w:tcPr>
            <w:tcW w:w="1701" w:type="dxa"/>
            <w:gridSpan w:val="4"/>
            <w:vMerge/>
            <w:tcBorders>
              <w:left w:val="single" w:sz="4" w:space="0" w:color="auto"/>
              <w:right w:val="single" w:sz="4" w:space="0" w:color="000000"/>
            </w:tcBorders>
            <w:vAlign w:val="center"/>
            <w:hideMark/>
          </w:tcPr>
          <w:p w:rsidR="003F636F" w:rsidRPr="00375A13" w:rsidRDefault="003F636F" w:rsidP="00970E00">
            <w:pPr>
              <w:spacing w:line="240" w:lineRule="auto"/>
              <w:rPr>
                <w:rFonts w:ascii="Calibri" w:hAnsi="Calibri"/>
                <w:color w:val="000000"/>
                <w:sz w:val="18"/>
                <w:szCs w:val="18"/>
                <w:lang w:eastAsia="ro-RO"/>
              </w:rPr>
            </w:pPr>
          </w:p>
        </w:tc>
      </w:tr>
      <w:tr w:rsidR="003F636F" w:rsidRPr="00375A13" w:rsidTr="00002944">
        <w:trPr>
          <w:gridAfter w:val="1"/>
          <w:wAfter w:w="207" w:type="dxa"/>
          <w:cantSplit/>
          <w:trHeight w:val="872"/>
          <w:jc w:val="center"/>
        </w:trPr>
        <w:tc>
          <w:tcPr>
            <w:tcW w:w="1701"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993" w:type="dxa"/>
            <w:gridSpan w:val="2"/>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An 2015</w:t>
            </w:r>
          </w:p>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(a1)</w:t>
            </w:r>
          </w:p>
        </w:tc>
        <w:tc>
          <w:tcPr>
            <w:tcW w:w="847" w:type="dxa"/>
            <w:gridSpan w:val="2"/>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Nr. Proiecte</w:t>
            </w:r>
          </w:p>
        </w:tc>
        <w:tc>
          <w:tcPr>
            <w:tcW w:w="1701" w:type="dxa"/>
            <w:gridSpan w:val="3"/>
            <w:vMerge/>
            <w:tcBorders>
              <w:left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p>
        </w:tc>
        <w:tc>
          <w:tcPr>
            <w:tcW w:w="1701" w:type="dxa"/>
            <w:gridSpan w:val="4"/>
            <w:vMerge/>
            <w:tcBorders>
              <w:left w:val="single" w:sz="4" w:space="0" w:color="auto"/>
              <w:right w:val="single" w:sz="4" w:space="0" w:color="000000"/>
            </w:tcBorders>
            <w:noWrap/>
            <w:vAlign w:val="center"/>
            <w:hideMark/>
          </w:tcPr>
          <w:p w:rsidR="003F636F" w:rsidRPr="00375A13" w:rsidRDefault="003F636F" w:rsidP="00970E00">
            <w:pPr>
              <w:spacing w:line="240" w:lineRule="auto"/>
              <w:jc w:val="center"/>
              <w:rPr>
                <w:rFonts w:ascii="Calibri" w:hAnsi="Calibri"/>
                <w:b/>
                <w:color w:val="000000"/>
                <w:sz w:val="18"/>
                <w:szCs w:val="18"/>
                <w:lang w:eastAsia="ro-RO"/>
              </w:rPr>
            </w:pPr>
          </w:p>
        </w:tc>
      </w:tr>
      <w:tr w:rsidR="003F636F" w:rsidRPr="00375A13" w:rsidTr="00002944">
        <w:trPr>
          <w:gridAfter w:val="1"/>
          <w:wAfter w:w="207" w:type="dxa"/>
          <w:trHeight w:val="154"/>
          <w:jc w:val="center"/>
        </w:trPr>
        <w:tc>
          <w:tcPr>
            <w:tcW w:w="1701"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993" w:type="dxa"/>
            <w:gridSpan w:val="2"/>
            <w:tcBorders>
              <w:top w:val="nil"/>
              <w:left w:val="nil"/>
              <w:bottom w:val="single" w:sz="4" w:space="0" w:color="auto"/>
              <w:right w:val="single" w:sz="4" w:space="0" w:color="auto"/>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97.4</w:t>
            </w:r>
          </w:p>
        </w:tc>
        <w:tc>
          <w:tcPr>
            <w:tcW w:w="847" w:type="dxa"/>
            <w:gridSpan w:val="2"/>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204</w:t>
            </w:r>
          </w:p>
        </w:tc>
        <w:tc>
          <w:tcPr>
            <w:tcW w:w="1701" w:type="dxa"/>
            <w:gridSpan w:val="3"/>
            <w:vMerge/>
            <w:tcBorders>
              <w:left w:val="single" w:sz="4" w:space="0" w:color="auto"/>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p>
        </w:tc>
        <w:tc>
          <w:tcPr>
            <w:tcW w:w="1701" w:type="dxa"/>
            <w:gridSpan w:val="4"/>
            <w:vMerge/>
            <w:tcBorders>
              <w:left w:val="single" w:sz="4" w:space="0" w:color="auto"/>
              <w:bottom w:val="single" w:sz="4" w:space="0" w:color="auto"/>
              <w:right w:val="single" w:sz="4" w:space="0" w:color="000000"/>
            </w:tcBorders>
            <w:noWrap/>
            <w:vAlign w:val="center"/>
          </w:tcPr>
          <w:p w:rsidR="003F636F" w:rsidRPr="00375A13" w:rsidRDefault="003F636F" w:rsidP="00970E00">
            <w:pPr>
              <w:spacing w:line="240" w:lineRule="auto"/>
              <w:jc w:val="center"/>
              <w:rPr>
                <w:rFonts w:ascii="Calibri" w:hAnsi="Calibri"/>
                <w:color w:val="000000"/>
                <w:sz w:val="18"/>
                <w:szCs w:val="18"/>
                <w:lang w:eastAsia="ro-RO"/>
              </w:rPr>
            </w:pPr>
          </w:p>
        </w:tc>
      </w:tr>
      <w:tr w:rsidR="003F636F" w:rsidRPr="00375A13" w:rsidTr="00002944">
        <w:trPr>
          <w:trHeight w:val="116"/>
          <w:jc w:val="center"/>
        </w:trPr>
        <w:tc>
          <w:tcPr>
            <w:tcW w:w="1701"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489" w:type="dxa"/>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rsidR="003F636F" w:rsidRPr="00375A13" w:rsidRDefault="003F636F" w:rsidP="00970E00">
            <w:pPr>
              <w:spacing w:line="240" w:lineRule="auto"/>
              <w:rPr>
                <w:rFonts w:ascii="Calibri" w:eastAsia="Calibri" w:hAnsi="Calibri"/>
              </w:rPr>
            </w:pPr>
          </w:p>
        </w:tc>
        <w:tc>
          <w:tcPr>
            <w:tcW w:w="707" w:type="dxa"/>
            <w:gridSpan w:val="2"/>
            <w:tcBorders>
              <w:top w:val="single" w:sz="4" w:space="0" w:color="auto"/>
              <w:left w:val="nil"/>
              <w:bottom w:val="single" w:sz="4" w:space="0" w:color="auto"/>
              <w:right w:val="nil"/>
            </w:tcBorders>
            <w:shd w:val="clear" w:color="auto" w:fill="BDD6EE" w:themeFill="accent1" w:themeFillTint="66"/>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 </w:t>
            </w:r>
          </w:p>
        </w:tc>
        <w:tc>
          <w:tcPr>
            <w:tcW w:w="851" w:type="dxa"/>
            <w:gridSpan w:val="2"/>
            <w:tcBorders>
              <w:top w:val="single" w:sz="4" w:space="0" w:color="auto"/>
              <w:left w:val="nil"/>
              <w:bottom w:val="single" w:sz="4" w:space="0" w:color="auto"/>
              <w:right w:val="nil"/>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850" w:type="dxa"/>
            <w:tcBorders>
              <w:top w:val="single" w:sz="4" w:space="0" w:color="auto"/>
              <w:left w:val="nil"/>
              <w:bottom w:val="single" w:sz="4" w:space="0" w:color="auto"/>
              <w:right w:val="nil"/>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851" w:type="dxa"/>
            <w:gridSpan w:val="2"/>
            <w:tcBorders>
              <w:top w:val="single" w:sz="4" w:space="0" w:color="auto"/>
              <w:left w:val="nil"/>
              <w:bottom w:val="single" w:sz="4" w:space="0" w:color="auto"/>
              <w:right w:val="nil"/>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850" w:type="dxa"/>
            <w:tcBorders>
              <w:top w:val="single" w:sz="4" w:space="0" w:color="auto"/>
              <w:left w:val="nil"/>
              <w:bottom w:val="single" w:sz="4" w:space="0" w:color="auto"/>
              <w:right w:val="nil"/>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851" w:type="dxa"/>
            <w:gridSpan w:val="3"/>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r>
      <w:tr w:rsidR="003F636F" w:rsidRPr="00375A13" w:rsidTr="00002944">
        <w:trPr>
          <w:gridAfter w:val="8"/>
          <w:wAfter w:w="3609" w:type="dxa"/>
          <w:trHeight w:val="486"/>
          <w:jc w:val="center"/>
        </w:trPr>
        <w:tc>
          <w:tcPr>
            <w:tcW w:w="1701"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993" w:type="dxa"/>
            <w:gridSpan w:val="2"/>
            <w:tcBorders>
              <w:top w:val="single" w:sz="4" w:space="0" w:color="auto"/>
              <w:left w:val="nil"/>
              <w:bottom w:val="single" w:sz="4" w:space="0" w:color="auto"/>
              <w:right w:val="nil"/>
            </w:tcBorders>
            <w:noWrap/>
            <w:vAlign w:val="bottom"/>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Procent din buget alocat 2015</w:t>
            </w:r>
          </w:p>
        </w:tc>
        <w:tc>
          <w:tcPr>
            <w:tcW w:w="847" w:type="dxa"/>
            <w:gridSpan w:val="2"/>
            <w:tcBorders>
              <w:top w:val="single" w:sz="4" w:space="0" w:color="auto"/>
              <w:left w:val="single" w:sz="4" w:space="0" w:color="auto"/>
              <w:bottom w:val="single" w:sz="4" w:space="0" w:color="auto"/>
              <w:right w:val="single" w:sz="4" w:space="0" w:color="auto"/>
            </w:tcBorders>
            <w:noWrap/>
            <w:vAlign w:val="bottom"/>
            <w:hideMark/>
          </w:tcPr>
          <w:p w:rsidR="003F636F" w:rsidRPr="00375A13" w:rsidRDefault="003F636F" w:rsidP="00970E00">
            <w:pPr>
              <w:spacing w:line="240" w:lineRule="auto"/>
              <w:jc w:val="right"/>
              <w:rPr>
                <w:rFonts w:ascii="Calibri" w:hAnsi="Calibri"/>
                <w:color w:val="000000"/>
                <w:sz w:val="18"/>
                <w:szCs w:val="18"/>
                <w:lang w:eastAsia="ro-RO"/>
              </w:rPr>
            </w:pPr>
            <w:r w:rsidRPr="00375A13">
              <w:rPr>
                <w:rFonts w:ascii="Calibri" w:hAnsi="Calibri"/>
                <w:color w:val="000000"/>
                <w:sz w:val="18"/>
                <w:szCs w:val="18"/>
                <w:lang w:eastAsia="ro-RO"/>
              </w:rPr>
              <w:t>383%</w:t>
            </w:r>
          </w:p>
        </w:tc>
      </w:tr>
    </w:tbl>
    <w:p w:rsidR="00FA7509" w:rsidRDefault="00FA7509" w:rsidP="003F636F">
      <w:pPr>
        <w:spacing w:line="240" w:lineRule="auto"/>
        <w:jc w:val="both"/>
        <w:rPr>
          <w:b/>
          <w:i/>
          <w:u w:val="single"/>
        </w:rPr>
      </w:pPr>
    </w:p>
    <w:p w:rsidR="00002944" w:rsidRDefault="00002944" w:rsidP="003F636F">
      <w:pPr>
        <w:spacing w:line="240" w:lineRule="auto"/>
        <w:jc w:val="both"/>
        <w:rPr>
          <w:b/>
          <w:i/>
          <w:u w:val="single"/>
        </w:rPr>
      </w:pPr>
    </w:p>
    <w:p w:rsidR="00002944" w:rsidRDefault="00002944" w:rsidP="003F636F">
      <w:pPr>
        <w:spacing w:line="240" w:lineRule="auto"/>
        <w:jc w:val="both"/>
        <w:rPr>
          <w:b/>
          <w:i/>
          <w:u w:val="single"/>
        </w:rPr>
      </w:pPr>
    </w:p>
    <w:p w:rsidR="003F636F" w:rsidRPr="00375A13" w:rsidRDefault="003F636F" w:rsidP="003F636F">
      <w:pPr>
        <w:spacing w:line="240" w:lineRule="auto"/>
        <w:jc w:val="both"/>
        <w:rPr>
          <w:b/>
          <w:i/>
          <w:u w:val="single"/>
        </w:rPr>
      </w:pPr>
      <w:r w:rsidRPr="00375A13">
        <w:rPr>
          <w:b/>
          <w:i/>
          <w:u w:val="single"/>
        </w:rPr>
        <w:lastRenderedPageBreak/>
        <w:t>Acțiunea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 – Tip proiect: Întreprinderi inovatoare de tip start-up şi spin-off – Secțiunea C – apel cu depunere continuă</w:t>
      </w:r>
    </w:p>
    <w:p w:rsidR="003F636F" w:rsidRDefault="003F636F" w:rsidP="003F636F">
      <w:pPr>
        <w:spacing w:line="240" w:lineRule="auto"/>
        <w:jc w:val="both"/>
      </w:pPr>
      <w:r w:rsidRPr="00375A13">
        <w:rPr>
          <w:b/>
          <w:bCs/>
        </w:rPr>
        <w:t>Obiectiv</w:t>
      </w:r>
      <w:r>
        <w:t xml:space="preserve">: </w:t>
      </w:r>
      <w:r w:rsidRPr="00375A13">
        <w:t xml:space="preserve">realizarea </w:t>
      </w:r>
      <w:r>
        <w:t xml:space="preserve">de produse, tehnologii/procese </w:t>
      </w:r>
      <w:r w:rsidRPr="00375A13">
        <w:t xml:space="preserve">noi sau semnificativ îmbunătățite în scopul producției și comercializării. </w:t>
      </w:r>
    </w:p>
    <w:p w:rsidR="001B45B4" w:rsidRPr="00375A13" w:rsidRDefault="001B45B4" w:rsidP="003F636F">
      <w:pPr>
        <w:spacing w:line="240" w:lineRule="auto"/>
        <w:jc w:val="both"/>
      </w:pPr>
    </w:p>
    <w:p w:rsidR="003F636F" w:rsidRPr="00375A13" w:rsidRDefault="003F636F" w:rsidP="003F636F">
      <w:pPr>
        <w:spacing w:line="240" w:lineRule="auto"/>
        <w:jc w:val="both"/>
      </w:pPr>
      <w:r>
        <w:rPr>
          <w:b/>
          <w:bCs/>
        </w:rPr>
        <w:t>Asistenţ</w:t>
      </w:r>
      <w:r w:rsidRPr="00375A13">
        <w:rPr>
          <w:b/>
          <w:bCs/>
        </w:rPr>
        <w:t xml:space="preserve">a financiară nerambursabilă pe proiect: max. 840.000,00 lei </w:t>
      </w:r>
      <w:r w:rsidRPr="00375A13">
        <w:t xml:space="preserve">și nu poate depăși </w:t>
      </w:r>
      <w:r w:rsidRPr="00375A13">
        <w:rPr>
          <w:b/>
          <w:bCs/>
        </w:rPr>
        <w:t>echivalentul în lei a 200.000,00 Euro</w:t>
      </w:r>
      <w:r w:rsidRPr="00375A13">
        <w:t>,  la data semnării contractului de finanțare, pe o perioadă de trei ani fiscali consecutivi, indiferent dacă ajutorul a fost acordat din surse naționale sau comunitare.</w:t>
      </w:r>
    </w:p>
    <w:p w:rsidR="003F636F" w:rsidRPr="00375A13" w:rsidRDefault="003F636F" w:rsidP="003F636F">
      <w:pPr>
        <w:spacing w:line="240" w:lineRule="auto"/>
        <w:jc w:val="both"/>
      </w:pPr>
      <w:r w:rsidRPr="00375A13">
        <w:t>Pentru beneficiarii care își desfășoară activitatea în sectorul transport</w:t>
      </w:r>
      <w:r>
        <w:t xml:space="preserve">ului rutier, valoarea totală a </w:t>
      </w:r>
      <w:r w:rsidRPr="00375A13">
        <w:t xml:space="preserve">asistenței financiare nerambursabile este de max. </w:t>
      </w:r>
      <w:r w:rsidRPr="00375A13">
        <w:rPr>
          <w:b/>
          <w:bCs/>
        </w:rPr>
        <w:t>420.000 lei</w:t>
      </w:r>
      <w:r w:rsidRPr="00375A13">
        <w:t xml:space="preserve"> și nu poate depăși </w:t>
      </w:r>
      <w:r w:rsidRPr="00375A13">
        <w:rPr>
          <w:b/>
          <w:bCs/>
        </w:rPr>
        <w:t xml:space="preserve">echivalentul în lei a 100.000 Euro, </w:t>
      </w:r>
      <w:r w:rsidRPr="00375A13">
        <w:t>la data semnării contractului de finanțare, pe o perioadă de trei ani fiscali consecutivi, indiferent dacă ajutorul a fost acordat din surse naționale sau comunitare.</w:t>
      </w:r>
    </w:p>
    <w:p w:rsidR="003F636F" w:rsidRPr="00375A13" w:rsidRDefault="003F636F" w:rsidP="003F636F">
      <w:pPr>
        <w:spacing w:line="240" w:lineRule="auto"/>
        <w:jc w:val="both"/>
      </w:pPr>
      <w:r w:rsidRPr="00375A13">
        <w:rPr>
          <w:b/>
          <w:bCs/>
        </w:rPr>
        <w:t>Valoarea grantului</w:t>
      </w:r>
      <w:r w:rsidRPr="00375A13">
        <w:t xml:space="preserve"> va reprezenta maxim 90% din valoarea totală a costurilor eligibile ale proiectului. Restul de 10% din costurile eligibile ale proiectului va reprezenta contribuția proprie a beneficiarului din fonduri private.</w:t>
      </w:r>
    </w:p>
    <w:p w:rsidR="003F636F" w:rsidRPr="00E15899" w:rsidRDefault="003F636F" w:rsidP="003F636F">
      <w:pPr>
        <w:spacing w:line="240" w:lineRule="auto"/>
        <w:jc w:val="both"/>
        <w:rPr>
          <w:bCs/>
        </w:rPr>
      </w:pPr>
      <w:r w:rsidRPr="00375A13">
        <w:rPr>
          <w:b/>
          <w:bCs/>
        </w:rPr>
        <w:t>Domeniul de aplic</w:t>
      </w:r>
      <w:r>
        <w:rPr>
          <w:b/>
          <w:bCs/>
        </w:rPr>
        <w:t xml:space="preserve">are: </w:t>
      </w:r>
      <w:r w:rsidRPr="00E15899">
        <w:rPr>
          <w:bCs/>
        </w:rPr>
        <w:t>domeniile și subdomeniile de specializare inteligentă şi sănătate definite prin strategia CDI.</w:t>
      </w:r>
    </w:p>
    <w:p w:rsidR="003F636F" w:rsidRDefault="003F636F" w:rsidP="003F636F">
      <w:pPr>
        <w:spacing w:line="240" w:lineRule="auto"/>
        <w:jc w:val="both"/>
        <w:rPr>
          <w:bCs/>
        </w:rPr>
      </w:pPr>
      <w:r>
        <w:rPr>
          <w:b/>
          <w:bCs/>
        </w:rPr>
        <w:t xml:space="preserve">Durata maximă admisă </w:t>
      </w:r>
      <w:r w:rsidRPr="00375A13">
        <w:rPr>
          <w:b/>
          <w:bCs/>
        </w:rPr>
        <w:t xml:space="preserve">a unui proiect </w:t>
      </w:r>
      <w:r w:rsidRPr="00E15899">
        <w:rPr>
          <w:bCs/>
        </w:rPr>
        <w:t>este de 24 luni.</w:t>
      </w:r>
    </w:p>
    <w:p w:rsidR="001B45B4" w:rsidRPr="00375A13" w:rsidRDefault="001B45B4" w:rsidP="003F636F">
      <w:pPr>
        <w:spacing w:line="240" w:lineRule="auto"/>
        <w:jc w:val="both"/>
        <w:rPr>
          <w:b/>
          <w:bCs/>
        </w:rPr>
      </w:pPr>
    </w:p>
    <w:p w:rsidR="003F636F" w:rsidRPr="00375A13" w:rsidRDefault="003F636F" w:rsidP="003F636F">
      <w:pPr>
        <w:spacing w:line="240" w:lineRule="auto"/>
        <w:jc w:val="both"/>
        <w:rPr>
          <w:b/>
          <w:bCs/>
        </w:rPr>
      </w:pPr>
      <w:r w:rsidRPr="00375A13">
        <w:rPr>
          <w:b/>
          <w:bCs/>
        </w:rPr>
        <w:t>Condiţii de eligibilitate a beneficiarilor:</w:t>
      </w:r>
    </w:p>
    <w:p w:rsidR="003F636F" w:rsidRPr="00375A13" w:rsidRDefault="003F636F" w:rsidP="003F636F">
      <w:pPr>
        <w:spacing w:after="0" w:line="240" w:lineRule="auto"/>
        <w:jc w:val="both"/>
        <w:rPr>
          <w:bCs/>
        </w:rPr>
      </w:pPr>
      <w:r>
        <w:rPr>
          <w:bCs/>
        </w:rPr>
        <w:t xml:space="preserve">a) </w:t>
      </w:r>
      <w:r w:rsidRPr="00E15899">
        <w:rPr>
          <w:bCs/>
          <w:u w:val="single"/>
        </w:rPr>
        <w:t>Start-up-uri</w:t>
      </w:r>
      <w:r>
        <w:rPr>
          <w:bCs/>
        </w:rPr>
        <w:t xml:space="preserve"> : întreprindere </w:t>
      </w:r>
      <w:r w:rsidRPr="00375A13">
        <w:rPr>
          <w:bCs/>
        </w:rPr>
        <w:t>infiintaţată in baza legii 31/1990, care înregistrează o vechime de maximum 3 ani în anul depunerii proiectului;</w:t>
      </w:r>
    </w:p>
    <w:p w:rsidR="003F636F" w:rsidRDefault="003F636F" w:rsidP="003F636F">
      <w:pPr>
        <w:spacing w:after="0" w:line="240" w:lineRule="auto"/>
        <w:jc w:val="both"/>
        <w:rPr>
          <w:bCs/>
        </w:rPr>
      </w:pPr>
      <w:r w:rsidRPr="00375A13">
        <w:rPr>
          <w:bCs/>
        </w:rPr>
        <w:t xml:space="preserve">b) </w:t>
      </w:r>
      <w:r w:rsidRPr="00E15899">
        <w:rPr>
          <w:bCs/>
          <w:u w:val="single"/>
        </w:rPr>
        <w:t>Spin-off-uri</w:t>
      </w:r>
      <w:r w:rsidRPr="00375A13">
        <w:rPr>
          <w:bCs/>
        </w:rPr>
        <w:t xml:space="preserve"> : întreprinderi care urmează să se înfiinţeze pe baza unui rezultat obţinut în organizaţii de cercetare de drept public (instituţie de </w:t>
      </w:r>
      <w:r>
        <w:rPr>
          <w:bCs/>
        </w:rPr>
        <w:t>CD sau de învăţământ superior).</w:t>
      </w:r>
    </w:p>
    <w:p w:rsidR="003F636F" w:rsidRPr="00A433B9" w:rsidRDefault="003F636F" w:rsidP="003F636F">
      <w:pPr>
        <w:spacing w:after="0" w:line="240" w:lineRule="auto"/>
        <w:jc w:val="both"/>
        <w:rPr>
          <w:bCs/>
          <w:sz w:val="18"/>
          <w:szCs w:val="18"/>
        </w:rPr>
      </w:pPr>
    </w:p>
    <w:p w:rsidR="003F636F" w:rsidRDefault="003F636F" w:rsidP="003F636F">
      <w:pPr>
        <w:spacing w:after="0" w:line="240" w:lineRule="auto"/>
        <w:jc w:val="both"/>
        <w:rPr>
          <w:bCs/>
        </w:rPr>
      </w:pPr>
      <w:r w:rsidRPr="00375A13">
        <w:rPr>
          <w:bCs/>
        </w:rPr>
        <w:t>Apelul a fost lansat la 27 Iunie 2015.</w:t>
      </w:r>
    </w:p>
    <w:p w:rsidR="001B45B4" w:rsidRDefault="001B45B4" w:rsidP="003F636F">
      <w:pPr>
        <w:spacing w:after="0" w:line="240" w:lineRule="auto"/>
        <w:jc w:val="both"/>
        <w:rPr>
          <w:bCs/>
        </w:rPr>
      </w:pPr>
    </w:p>
    <w:p w:rsidR="003F636F" w:rsidRDefault="003F636F" w:rsidP="003F636F">
      <w:pPr>
        <w:spacing w:after="0" w:line="240" w:lineRule="auto"/>
        <w:jc w:val="both"/>
        <w:rPr>
          <w:bCs/>
        </w:rPr>
      </w:pPr>
      <w:r w:rsidRPr="00E15899">
        <w:rPr>
          <w:b/>
          <w:bCs/>
        </w:rPr>
        <w:t>Tip apel</w:t>
      </w:r>
      <w:r w:rsidRPr="00375A13">
        <w:rPr>
          <w:bCs/>
        </w:rPr>
        <w:t>: Depunere continuă.</w:t>
      </w:r>
    </w:p>
    <w:p w:rsidR="001B45B4" w:rsidRPr="00A433B9" w:rsidRDefault="001B45B4" w:rsidP="003F636F">
      <w:pPr>
        <w:spacing w:after="0" w:line="240" w:lineRule="auto"/>
        <w:jc w:val="both"/>
        <w:rPr>
          <w:bCs/>
          <w:sz w:val="18"/>
          <w:szCs w:val="18"/>
        </w:rPr>
      </w:pPr>
    </w:p>
    <w:p w:rsidR="003F636F" w:rsidRPr="00375A13" w:rsidRDefault="003F636F" w:rsidP="003F636F">
      <w:pPr>
        <w:spacing w:after="0" w:line="240" w:lineRule="auto"/>
        <w:jc w:val="both"/>
        <w:rPr>
          <w:bCs/>
        </w:rPr>
      </w:pPr>
      <w:r w:rsidRPr="00375A13">
        <w:rPr>
          <w:b/>
          <w:bCs/>
        </w:rPr>
        <w:t>Status la 31.12.2015</w:t>
      </w:r>
      <w:r w:rsidRPr="00375A13">
        <w:rPr>
          <w:bCs/>
        </w:rPr>
        <w:t>: S-a finalizat evaluarea tehnico-ştiinţifică. Se vor afişa rezultatele finale.</w:t>
      </w:r>
    </w:p>
    <w:p w:rsidR="003F636F" w:rsidRPr="00375A13" w:rsidRDefault="003F636F" w:rsidP="003F636F">
      <w:pPr>
        <w:spacing w:after="0" w:line="240" w:lineRule="auto"/>
        <w:jc w:val="both"/>
        <w:rPr>
          <w:bCs/>
          <w:u w:val="single"/>
        </w:rPr>
      </w:pPr>
      <w:r w:rsidRPr="00375A13">
        <w:rPr>
          <w:bCs/>
        </w:rPr>
        <w:t>Evaluarea tehnico-științifică s-a efectuat de către un panel compus din 3 evaluatori români (2 evaluatori științifici din domeniul de Specializare Inteligentă și de un evaluator tehnic), selectați și repartizați electronic din baza de date a evaluatorilor UEFISCDI.</w:t>
      </w:r>
    </w:p>
    <w:p w:rsidR="003F636F" w:rsidRDefault="003F636F" w:rsidP="003F636F">
      <w:pPr>
        <w:pStyle w:val="ListParagraph"/>
        <w:numPr>
          <w:ilvl w:val="0"/>
          <w:numId w:val="38"/>
        </w:numPr>
        <w:spacing w:after="0" w:line="240" w:lineRule="auto"/>
        <w:jc w:val="both"/>
        <w:rPr>
          <w:bCs/>
        </w:rPr>
      </w:pPr>
      <w:r>
        <w:rPr>
          <w:bCs/>
        </w:rPr>
        <w:t xml:space="preserve">44 proiecte depuse, </w:t>
      </w:r>
      <w:r w:rsidRPr="00375A13">
        <w:rPr>
          <w:bCs/>
        </w:rPr>
        <w:t>valoare AFN: 7.4 mil. Euro;</w:t>
      </w:r>
    </w:p>
    <w:p w:rsidR="001B45B4" w:rsidRPr="00375A13" w:rsidRDefault="001B45B4" w:rsidP="001B45B4">
      <w:pPr>
        <w:pStyle w:val="ListParagraph"/>
        <w:spacing w:after="0" w:line="240" w:lineRule="auto"/>
        <w:jc w:val="both"/>
        <w:rPr>
          <w:bCs/>
        </w:rPr>
      </w:pPr>
    </w:p>
    <w:p w:rsidR="003F636F" w:rsidRDefault="003F636F" w:rsidP="003F636F">
      <w:pPr>
        <w:pStyle w:val="ListParagraph"/>
        <w:numPr>
          <w:ilvl w:val="0"/>
          <w:numId w:val="38"/>
        </w:numPr>
        <w:spacing w:after="0" w:line="240" w:lineRule="auto"/>
        <w:jc w:val="both"/>
        <w:rPr>
          <w:bCs/>
        </w:rPr>
      </w:pPr>
      <w:r w:rsidRPr="00375A13">
        <w:rPr>
          <w:bCs/>
        </w:rPr>
        <w:t xml:space="preserve">25 proiecte selectate </w:t>
      </w:r>
      <w:r>
        <w:rPr>
          <w:bCs/>
        </w:rPr>
        <w:t xml:space="preserve">in aceasta etapă, valoare AFN: </w:t>
      </w:r>
      <w:r w:rsidRPr="00375A13">
        <w:rPr>
          <w:bCs/>
        </w:rPr>
        <w:t>3.4 mil. Euro;</w:t>
      </w:r>
    </w:p>
    <w:p w:rsidR="001B45B4" w:rsidRPr="001B45B4" w:rsidRDefault="001B45B4" w:rsidP="001B45B4">
      <w:pPr>
        <w:spacing w:after="0" w:line="240" w:lineRule="auto"/>
        <w:jc w:val="both"/>
        <w:rPr>
          <w:bCs/>
        </w:rPr>
      </w:pPr>
    </w:p>
    <w:p w:rsidR="003F636F" w:rsidRDefault="003F636F" w:rsidP="003F636F">
      <w:pPr>
        <w:pStyle w:val="ListParagraph"/>
        <w:numPr>
          <w:ilvl w:val="0"/>
          <w:numId w:val="38"/>
        </w:numPr>
        <w:spacing w:after="0" w:line="240" w:lineRule="auto"/>
        <w:jc w:val="both"/>
        <w:rPr>
          <w:bCs/>
        </w:rPr>
      </w:pPr>
      <w:r w:rsidRPr="00E15899">
        <w:rPr>
          <w:bCs/>
        </w:rPr>
        <w:t xml:space="preserve">16 (13 start-up </w:t>
      </w:r>
      <w:r w:rsidR="00357C20">
        <w:rPr>
          <w:bCs/>
        </w:rPr>
        <w:t>ş</w:t>
      </w:r>
      <w:r w:rsidRPr="00E15899">
        <w:rPr>
          <w:bCs/>
        </w:rPr>
        <w:t xml:space="preserve">i 3 spin-off) proiecte care </w:t>
      </w:r>
      <w:r w:rsidR="00357C20">
        <w:rPr>
          <w:bCs/>
        </w:rPr>
        <w:t>î</w:t>
      </w:r>
      <w:r w:rsidRPr="00E15899">
        <w:rPr>
          <w:bCs/>
        </w:rPr>
        <w:t>ndeplinesc criteriile de selec</w:t>
      </w:r>
      <w:r w:rsidR="00357C20">
        <w:rPr>
          <w:bCs/>
        </w:rPr>
        <w:t>ţ</w:t>
      </w:r>
      <w:r w:rsidRPr="00E15899">
        <w:rPr>
          <w:bCs/>
        </w:rPr>
        <w:t>ie, valoare AFN: 2.9 mil. Euro.</w:t>
      </w:r>
    </w:p>
    <w:p w:rsidR="001B45B4" w:rsidRDefault="001B45B4" w:rsidP="001B45B4">
      <w:pPr>
        <w:pStyle w:val="ListParagraph"/>
        <w:spacing w:after="0" w:line="240" w:lineRule="auto"/>
        <w:jc w:val="both"/>
        <w:rPr>
          <w:bCs/>
        </w:rPr>
      </w:pPr>
    </w:p>
    <w:p w:rsidR="001B45B4" w:rsidRDefault="001B45B4" w:rsidP="001B45B4">
      <w:pPr>
        <w:pStyle w:val="ListParagraph"/>
        <w:spacing w:after="0" w:line="240" w:lineRule="auto"/>
        <w:jc w:val="both"/>
        <w:rPr>
          <w:bCs/>
        </w:rPr>
      </w:pPr>
    </w:p>
    <w:p w:rsidR="001B45B4" w:rsidRDefault="001B45B4" w:rsidP="001B45B4">
      <w:pPr>
        <w:pStyle w:val="ListParagraph"/>
        <w:spacing w:after="0" w:line="240" w:lineRule="auto"/>
        <w:jc w:val="both"/>
        <w:rPr>
          <w:bCs/>
        </w:rPr>
      </w:pPr>
    </w:p>
    <w:p w:rsidR="001B45B4" w:rsidRDefault="001B45B4" w:rsidP="001B45B4">
      <w:pPr>
        <w:pStyle w:val="ListParagraph"/>
        <w:spacing w:after="0" w:line="240" w:lineRule="auto"/>
        <w:jc w:val="both"/>
        <w:rPr>
          <w:bCs/>
        </w:rPr>
      </w:pPr>
    </w:p>
    <w:p w:rsidR="001B45B4" w:rsidRDefault="001B45B4" w:rsidP="001B45B4">
      <w:pPr>
        <w:pStyle w:val="ListParagraph"/>
        <w:spacing w:after="0" w:line="240" w:lineRule="auto"/>
        <w:jc w:val="both"/>
        <w:rPr>
          <w:bCs/>
        </w:rPr>
      </w:pPr>
    </w:p>
    <w:p w:rsidR="001B45B4" w:rsidRDefault="001B45B4" w:rsidP="001B45B4">
      <w:pPr>
        <w:pStyle w:val="ListParagraph"/>
        <w:spacing w:after="0" w:line="240" w:lineRule="auto"/>
        <w:jc w:val="both"/>
        <w:rPr>
          <w:bCs/>
        </w:rPr>
      </w:pPr>
    </w:p>
    <w:tbl>
      <w:tblPr>
        <w:tblW w:w="6645" w:type="dxa"/>
        <w:jc w:val="center"/>
        <w:tblLayout w:type="fixed"/>
        <w:tblLook w:val="04A0" w:firstRow="1" w:lastRow="0" w:firstColumn="1" w:lastColumn="0" w:noHBand="0" w:noVBand="1"/>
      </w:tblPr>
      <w:tblGrid>
        <w:gridCol w:w="1273"/>
        <w:gridCol w:w="708"/>
        <w:gridCol w:w="707"/>
        <w:gridCol w:w="851"/>
        <w:gridCol w:w="850"/>
        <w:gridCol w:w="1993"/>
        <w:gridCol w:w="263"/>
      </w:tblGrid>
      <w:tr w:rsidR="003F636F" w:rsidRPr="00375A13" w:rsidTr="00970E00">
        <w:trPr>
          <w:gridAfter w:val="1"/>
          <w:wAfter w:w="263" w:type="dxa"/>
          <w:trHeight w:val="154"/>
          <w:jc w:val="center"/>
        </w:trPr>
        <w:tc>
          <w:tcPr>
            <w:tcW w:w="1273" w:type="dxa"/>
            <w:noWrap/>
            <w:vAlign w:val="bottom"/>
            <w:hideMark/>
          </w:tcPr>
          <w:p w:rsidR="003F636F" w:rsidRDefault="003F636F" w:rsidP="00970E00">
            <w:pPr>
              <w:spacing w:line="240" w:lineRule="auto"/>
              <w:rPr>
                <w:bCs/>
              </w:rPr>
            </w:pPr>
            <w:r>
              <w:rPr>
                <w:bCs/>
              </w:rPr>
              <w:br w:type="page"/>
            </w:r>
          </w:p>
          <w:p w:rsidR="002B4A5D" w:rsidRPr="00375A13" w:rsidRDefault="002B4A5D" w:rsidP="00970E00">
            <w:pPr>
              <w:spacing w:line="240" w:lineRule="auto"/>
              <w:rPr>
                <w:rFonts w:ascii="Calibri" w:eastAsia="Calibri" w:hAnsi="Calibri"/>
                <w:sz w:val="16"/>
                <w:szCs w:val="16"/>
              </w:rPr>
            </w:pPr>
          </w:p>
        </w:tc>
        <w:tc>
          <w:tcPr>
            <w:tcW w:w="5109" w:type="dxa"/>
            <w:gridSpan w:val="5"/>
            <w:tcBorders>
              <w:top w:val="single" w:sz="4" w:space="0" w:color="auto"/>
              <w:left w:val="single" w:sz="4" w:space="0" w:color="auto"/>
              <w:bottom w:val="nil"/>
              <w:right w:val="single" w:sz="4" w:space="0" w:color="000000"/>
            </w:tcBorders>
            <w:noWrap/>
            <w:vAlign w:val="bottom"/>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 xml:space="preserve">Secţiunea C – Etapa I </w:t>
            </w:r>
          </w:p>
        </w:tc>
      </w:tr>
      <w:tr w:rsidR="003F636F" w:rsidRPr="00375A13" w:rsidTr="001B45B4">
        <w:trPr>
          <w:gridAfter w:val="1"/>
          <w:wAfter w:w="263" w:type="dxa"/>
          <w:trHeight w:val="80"/>
          <w:jc w:val="center"/>
        </w:trPr>
        <w:tc>
          <w:tcPr>
            <w:tcW w:w="1273" w:type="dxa"/>
            <w:noWrap/>
            <w:vAlign w:val="bottom"/>
            <w:hideMark/>
          </w:tcPr>
          <w:p w:rsidR="003F636F" w:rsidRPr="00375A13" w:rsidRDefault="003F636F" w:rsidP="00970E00">
            <w:pPr>
              <w:spacing w:line="240" w:lineRule="auto"/>
              <w:rPr>
                <w:rFonts w:ascii="Calibri" w:eastAsia="Calibri" w:hAnsi="Calibri"/>
                <w:sz w:val="16"/>
                <w:szCs w:val="16"/>
              </w:rPr>
            </w:pPr>
          </w:p>
        </w:tc>
        <w:tc>
          <w:tcPr>
            <w:tcW w:w="5109" w:type="dxa"/>
            <w:gridSpan w:val="5"/>
            <w:tcBorders>
              <w:top w:val="nil"/>
              <w:left w:val="single" w:sz="4" w:space="0" w:color="auto"/>
              <w:bottom w:val="single" w:sz="4" w:space="0" w:color="auto"/>
              <w:right w:val="single" w:sz="4" w:space="0" w:color="000000"/>
            </w:tcBorders>
            <w:noWrap/>
            <w:vAlign w:val="bottom"/>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 xml:space="preserve">                                                                                                                              FEDR+BS (mil. Euro)</w:t>
            </w:r>
          </w:p>
        </w:tc>
      </w:tr>
      <w:tr w:rsidR="003F636F" w:rsidRPr="00375A13" w:rsidTr="00970E00">
        <w:trPr>
          <w:gridAfter w:val="1"/>
          <w:wAfter w:w="263" w:type="dxa"/>
          <w:trHeight w:val="747"/>
          <w:jc w:val="center"/>
        </w:trPr>
        <w:tc>
          <w:tcPr>
            <w:tcW w:w="1273" w:type="dxa"/>
            <w:vMerge w:val="restart"/>
            <w:tcBorders>
              <w:top w:val="single" w:sz="4" w:space="0" w:color="auto"/>
              <w:left w:val="single" w:sz="4" w:space="0" w:color="auto"/>
              <w:right w:val="single" w:sz="4" w:space="0" w:color="auto"/>
            </w:tcBorders>
            <w:vAlign w:val="center"/>
            <w:hideMark/>
          </w:tcPr>
          <w:p w:rsidR="003F636F" w:rsidRPr="00375A13" w:rsidRDefault="003F636F" w:rsidP="00970E00">
            <w:pPr>
              <w:spacing w:line="240" w:lineRule="auto"/>
              <w:rPr>
                <w:rFonts w:ascii="Calibri" w:hAnsi="Calibri"/>
                <w:b/>
                <w:color w:val="000000"/>
                <w:sz w:val="16"/>
                <w:szCs w:val="16"/>
                <w:lang w:eastAsia="ro-RO"/>
              </w:rPr>
            </w:pPr>
            <w:r w:rsidRPr="00375A13">
              <w:rPr>
                <w:rFonts w:ascii="Calibri" w:hAnsi="Calibri"/>
                <w:b/>
                <w:color w:val="000000"/>
                <w:sz w:val="16"/>
                <w:szCs w:val="16"/>
                <w:lang w:eastAsia="ro-RO"/>
              </w:rPr>
              <w:t>Beneficiar eligibil</w:t>
            </w:r>
          </w:p>
        </w:tc>
        <w:tc>
          <w:tcPr>
            <w:tcW w:w="1415"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Buget total alocat</w:t>
            </w:r>
          </w:p>
        </w:tc>
        <w:tc>
          <w:tcPr>
            <w:tcW w:w="851" w:type="dxa"/>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b/>
                <w:color w:val="000000"/>
                <w:sz w:val="16"/>
                <w:szCs w:val="16"/>
                <w:lang w:eastAsia="ro-RO"/>
              </w:rPr>
            </w:pPr>
            <w:r w:rsidRPr="00375A13">
              <w:rPr>
                <w:rFonts w:ascii="Calibri" w:hAnsi="Calibri"/>
                <w:b/>
                <w:color w:val="000000"/>
                <w:sz w:val="16"/>
                <w:szCs w:val="16"/>
                <w:lang w:eastAsia="ro-RO"/>
              </w:rPr>
              <w:t xml:space="preserve">Buget proiecte depuse </w:t>
            </w:r>
          </w:p>
        </w:tc>
        <w:tc>
          <w:tcPr>
            <w:tcW w:w="2843"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Valoare proiecte eligibile peste prag minim cf. ghid.</w:t>
            </w:r>
          </w:p>
        </w:tc>
      </w:tr>
      <w:tr w:rsidR="003F636F" w:rsidRPr="00375A13" w:rsidTr="00970E00">
        <w:trPr>
          <w:gridAfter w:val="1"/>
          <w:wAfter w:w="263" w:type="dxa"/>
          <w:trHeight w:val="240"/>
          <w:jc w:val="center"/>
        </w:trPr>
        <w:tc>
          <w:tcPr>
            <w:tcW w:w="1273" w:type="dxa"/>
            <w:vMerge/>
            <w:tcBorders>
              <w:left w:val="single" w:sz="4" w:space="0" w:color="auto"/>
              <w:bottom w:val="single" w:sz="4" w:space="0" w:color="auto"/>
              <w:right w:val="single" w:sz="4" w:space="0" w:color="auto"/>
            </w:tcBorders>
            <w:vAlign w:val="center"/>
          </w:tcPr>
          <w:p w:rsidR="003F636F" w:rsidRPr="00375A13" w:rsidRDefault="003F636F" w:rsidP="00970E00">
            <w:pPr>
              <w:spacing w:line="240" w:lineRule="auto"/>
              <w:rPr>
                <w:rFonts w:ascii="Calibri" w:hAnsi="Calibri"/>
                <w:color w:val="000000"/>
                <w:sz w:val="16"/>
                <w:szCs w:val="16"/>
                <w:lang w:eastAsia="ro-RO"/>
              </w:rPr>
            </w:pPr>
          </w:p>
        </w:tc>
        <w:tc>
          <w:tcPr>
            <w:tcW w:w="1415"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(a) = (a1)</w:t>
            </w:r>
          </w:p>
        </w:tc>
        <w:tc>
          <w:tcPr>
            <w:tcW w:w="851" w:type="dxa"/>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(b)</w:t>
            </w:r>
          </w:p>
        </w:tc>
        <w:tc>
          <w:tcPr>
            <w:tcW w:w="2843" w:type="dxa"/>
            <w:gridSpan w:val="2"/>
            <w:tcBorders>
              <w:top w:val="nil"/>
              <w:left w:val="nil"/>
              <w:bottom w:val="single" w:sz="4" w:space="0" w:color="auto"/>
              <w:right w:val="single" w:sz="4" w:space="0" w:color="auto"/>
            </w:tcBorders>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(c)</w:t>
            </w:r>
          </w:p>
        </w:tc>
      </w:tr>
      <w:tr w:rsidR="003F636F" w:rsidRPr="00375A13" w:rsidTr="00970E00">
        <w:trPr>
          <w:gridAfter w:val="1"/>
          <w:wAfter w:w="263" w:type="dxa"/>
          <w:trHeight w:val="287"/>
          <w:jc w:val="center"/>
        </w:trPr>
        <w:tc>
          <w:tcPr>
            <w:tcW w:w="1273" w:type="dxa"/>
            <w:vMerge w:val="restart"/>
            <w:tcBorders>
              <w:top w:val="nil"/>
              <w:left w:val="single" w:sz="4" w:space="0" w:color="auto"/>
              <w:bottom w:val="single" w:sz="4" w:space="0" w:color="auto"/>
              <w:right w:val="single" w:sz="4" w:space="0" w:color="auto"/>
            </w:tcBorders>
            <w:vAlign w:val="center"/>
            <w:hideMark/>
          </w:tcPr>
          <w:p w:rsidR="003F636F" w:rsidRPr="00375A13" w:rsidRDefault="003F636F" w:rsidP="00357C2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 xml:space="preserve"> </w:t>
            </w:r>
            <w:r w:rsidR="00357C20">
              <w:rPr>
                <w:rFonts w:ascii="Calibri" w:hAnsi="Calibri"/>
                <w:color w:val="000000"/>
                <w:sz w:val="16"/>
                <w:szCs w:val="16"/>
                <w:lang w:eastAsia="ro-RO"/>
              </w:rPr>
              <w:t>Î</w:t>
            </w:r>
            <w:r w:rsidRPr="00375A13">
              <w:rPr>
                <w:rFonts w:ascii="Calibri" w:hAnsi="Calibri"/>
                <w:color w:val="000000"/>
                <w:sz w:val="16"/>
                <w:szCs w:val="16"/>
                <w:lang w:eastAsia="ro-RO"/>
              </w:rPr>
              <w:t xml:space="preserve">ntreprinderi inovatoare de tip start-up </w:t>
            </w:r>
            <w:r w:rsidR="00357C20">
              <w:rPr>
                <w:rFonts w:ascii="Calibri" w:hAnsi="Calibri"/>
                <w:color w:val="000000"/>
                <w:sz w:val="16"/>
                <w:szCs w:val="16"/>
                <w:lang w:eastAsia="ro-RO"/>
              </w:rPr>
              <w:t>ş</w:t>
            </w:r>
            <w:r w:rsidRPr="00375A13">
              <w:rPr>
                <w:rFonts w:ascii="Calibri" w:hAnsi="Calibri"/>
                <w:color w:val="000000"/>
                <w:sz w:val="16"/>
                <w:szCs w:val="16"/>
                <w:lang w:eastAsia="ro-RO"/>
              </w:rPr>
              <w:t>i spin-off</w:t>
            </w:r>
          </w:p>
        </w:tc>
        <w:tc>
          <w:tcPr>
            <w:tcW w:w="1415" w:type="dxa"/>
            <w:gridSpan w:val="2"/>
            <w:tcBorders>
              <w:top w:val="single" w:sz="4" w:space="0" w:color="auto"/>
              <w:left w:val="nil"/>
              <w:bottom w:val="single" w:sz="4" w:space="0" w:color="000000"/>
              <w:right w:val="single" w:sz="4" w:space="0" w:color="000000"/>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17.9</w:t>
            </w:r>
          </w:p>
        </w:tc>
        <w:tc>
          <w:tcPr>
            <w:tcW w:w="851" w:type="dxa"/>
            <w:tcBorders>
              <w:top w:val="nil"/>
              <w:left w:val="single" w:sz="4" w:space="0" w:color="auto"/>
              <w:bottom w:val="single" w:sz="4" w:space="0" w:color="000000"/>
              <w:right w:val="single" w:sz="4" w:space="0" w:color="auto"/>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7.4</w:t>
            </w:r>
          </w:p>
        </w:tc>
        <w:tc>
          <w:tcPr>
            <w:tcW w:w="2843" w:type="dxa"/>
            <w:gridSpan w:val="2"/>
            <w:tcBorders>
              <w:top w:val="single" w:sz="4" w:space="0" w:color="auto"/>
              <w:left w:val="single" w:sz="4" w:space="0" w:color="auto"/>
              <w:bottom w:val="single" w:sz="4" w:space="0" w:color="000000"/>
              <w:right w:val="single" w:sz="4" w:space="0" w:color="000000"/>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2.9</w:t>
            </w:r>
          </w:p>
        </w:tc>
      </w:tr>
      <w:tr w:rsidR="003F636F" w:rsidRPr="00375A13" w:rsidTr="00970E00">
        <w:trPr>
          <w:gridAfter w:val="1"/>
          <w:wAfter w:w="263" w:type="dxa"/>
          <w:cantSplit/>
          <w:trHeight w:val="710"/>
          <w:jc w:val="center"/>
        </w:trPr>
        <w:tc>
          <w:tcPr>
            <w:tcW w:w="1273"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1415" w:type="dxa"/>
            <w:gridSpan w:val="2"/>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An 2015</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(a1)</w:t>
            </w:r>
          </w:p>
        </w:tc>
        <w:tc>
          <w:tcPr>
            <w:tcW w:w="851"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depuse</w:t>
            </w:r>
          </w:p>
        </w:tc>
        <w:tc>
          <w:tcPr>
            <w:tcW w:w="850"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Peste prag min</w:t>
            </w:r>
          </w:p>
        </w:tc>
        <w:tc>
          <w:tcPr>
            <w:tcW w:w="1993"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Prag min.</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(puncte)</w:t>
            </w:r>
          </w:p>
        </w:tc>
      </w:tr>
      <w:tr w:rsidR="003F636F" w:rsidRPr="00375A13" w:rsidTr="00970E00">
        <w:trPr>
          <w:gridAfter w:val="1"/>
          <w:wAfter w:w="263" w:type="dxa"/>
          <w:trHeight w:val="392"/>
          <w:jc w:val="center"/>
        </w:trPr>
        <w:tc>
          <w:tcPr>
            <w:tcW w:w="1273"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1415" w:type="dxa"/>
            <w:gridSpan w:val="2"/>
            <w:tcBorders>
              <w:top w:val="nil"/>
              <w:left w:val="nil"/>
              <w:bottom w:val="single" w:sz="4" w:space="0" w:color="auto"/>
              <w:right w:val="single" w:sz="4" w:space="0" w:color="auto"/>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17.9</w:t>
            </w:r>
          </w:p>
        </w:tc>
        <w:tc>
          <w:tcPr>
            <w:tcW w:w="851"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44</w:t>
            </w:r>
          </w:p>
        </w:tc>
        <w:tc>
          <w:tcPr>
            <w:tcW w:w="850"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16</w:t>
            </w:r>
          </w:p>
        </w:tc>
        <w:tc>
          <w:tcPr>
            <w:tcW w:w="1993" w:type="dxa"/>
            <w:tcBorders>
              <w:top w:val="nil"/>
              <w:left w:val="nil"/>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&gt;=60</w:t>
            </w:r>
          </w:p>
        </w:tc>
      </w:tr>
      <w:tr w:rsidR="003F636F" w:rsidRPr="00375A13" w:rsidTr="00970E00">
        <w:trPr>
          <w:gridAfter w:val="1"/>
          <w:wAfter w:w="263" w:type="dxa"/>
          <w:trHeight w:val="70"/>
          <w:jc w:val="center"/>
        </w:trPr>
        <w:tc>
          <w:tcPr>
            <w:tcW w:w="1273"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708" w:type="dxa"/>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rsidR="003F636F" w:rsidRPr="00375A13" w:rsidRDefault="003F636F" w:rsidP="00970E00">
            <w:pPr>
              <w:spacing w:line="240" w:lineRule="auto"/>
              <w:rPr>
                <w:rFonts w:ascii="Calibri" w:eastAsia="Calibri" w:hAnsi="Calibri"/>
                <w:sz w:val="16"/>
                <w:szCs w:val="16"/>
              </w:rPr>
            </w:pPr>
          </w:p>
        </w:tc>
        <w:tc>
          <w:tcPr>
            <w:tcW w:w="707" w:type="dxa"/>
            <w:tcBorders>
              <w:top w:val="single" w:sz="4" w:space="0" w:color="auto"/>
              <w:left w:val="nil"/>
              <w:bottom w:val="single" w:sz="4" w:space="0" w:color="auto"/>
              <w:right w:val="nil"/>
            </w:tcBorders>
            <w:shd w:val="clear" w:color="auto" w:fill="BDD6EE" w:themeFill="accent1" w:themeFillTint="66"/>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 </w:t>
            </w:r>
          </w:p>
        </w:tc>
        <w:tc>
          <w:tcPr>
            <w:tcW w:w="851" w:type="dxa"/>
            <w:tcBorders>
              <w:top w:val="single" w:sz="4" w:space="0" w:color="auto"/>
              <w:left w:val="nil"/>
              <w:bottom w:val="single" w:sz="4" w:space="0" w:color="auto"/>
              <w:right w:val="nil"/>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c>
          <w:tcPr>
            <w:tcW w:w="850" w:type="dxa"/>
            <w:tcBorders>
              <w:top w:val="single" w:sz="4" w:space="0" w:color="auto"/>
              <w:left w:val="nil"/>
              <w:bottom w:val="single" w:sz="4" w:space="0" w:color="auto"/>
              <w:right w:val="nil"/>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c>
          <w:tcPr>
            <w:tcW w:w="1993" w:type="dxa"/>
            <w:tcBorders>
              <w:top w:val="single" w:sz="4" w:space="0" w:color="auto"/>
              <w:left w:val="nil"/>
              <w:bottom w:val="single" w:sz="4" w:space="0" w:color="auto"/>
              <w:right w:val="nil"/>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r>
      <w:tr w:rsidR="003F636F" w:rsidRPr="00375A13" w:rsidTr="00970E00">
        <w:trPr>
          <w:trHeight w:val="539"/>
          <w:jc w:val="center"/>
        </w:trPr>
        <w:tc>
          <w:tcPr>
            <w:tcW w:w="1273"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1415" w:type="dxa"/>
            <w:gridSpan w:val="2"/>
            <w:tcBorders>
              <w:top w:val="single" w:sz="4" w:space="0" w:color="auto"/>
              <w:left w:val="nil"/>
              <w:bottom w:val="single" w:sz="4" w:space="0" w:color="auto"/>
              <w:right w:val="nil"/>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Procent din buget alocat 2015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41%</w:t>
            </w:r>
          </w:p>
        </w:tc>
        <w:tc>
          <w:tcPr>
            <w:tcW w:w="2843" w:type="dxa"/>
            <w:gridSpan w:val="2"/>
            <w:tcBorders>
              <w:top w:val="single" w:sz="4" w:space="0" w:color="auto"/>
              <w:left w:val="nil"/>
              <w:bottom w:val="single" w:sz="4" w:space="0" w:color="auto"/>
              <w:right w:val="single" w:sz="4" w:space="0" w:color="000000"/>
            </w:tcBorders>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16%</w:t>
            </w:r>
          </w:p>
        </w:tc>
        <w:tc>
          <w:tcPr>
            <w:tcW w:w="263" w:type="dxa"/>
            <w:tcBorders>
              <w:left w:val="single" w:sz="4" w:space="0" w:color="auto"/>
            </w:tcBorders>
            <w:shd w:val="clear" w:color="auto" w:fill="auto"/>
            <w:noWrap/>
            <w:vAlign w:val="bottom"/>
            <w:hideMark/>
          </w:tcPr>
          <w:p w:rsidR="003F636F" w:rsidRPr="00375A13" w:rsidRDefault="003F636F" w:rsidP="00970E00">
            <w:pPr>
              <w:spacing w:line="240" w:lineRule="auto"/>
              <w:jc w:val="right"/>
              <w:rPr>
                <w:rFonts w:ascii="Calibri" w:hAnsi="Calibri"/>
                <w:color w:val="000000"/>
                <w:sz w:val="16"/>
                <w:szCs w:val="16"/>
                <w:lang w:eastAsia="ro-RO"/>
              </w:rPr>
            </w:pPr>
          </w:p>
        </w:tc>
      </w:tr>
    </w:tbl>
    <w:p w:rsidR="002B4A5D" w:rsidRDefault="002B4A5D" w:rsidP="003F636F">
      <w:pPr>
        <w:spacing w:line="240" w:lineRule="auto"/>
        <w:ind w:left="360"/>
        <w:jc w:val="both"/>
        <w:rPr>
          <w:bCs/>
        </w:rPr>
      </w:pPr>
    </w:p>
    <w:p w:rsidR="002B4A5D" w:rsidRDefault="002B4A5D">
      <w:pPr>
        <w:rPr>
          <w:bCs/>
        </w:rPr>
      </w:pPr>
      <w:r>
        <w:rPr>
          <w:bCs/>
        </w:rPr>
        <w:br w:type="page"/>
      </w:r>
    </w:p>
    <w:p w:rsidR="003F636F" w:rsidRPr="00375A13" w:rsidRDefault="003F636F" w:rsidP="003F636F">
      <w:pPr>
        <w:spacing w:line="240" w:lineRule="auto"/>
        <w:jc w:val="both"/>
        <w:rPr>
          <w:b/>
          <w:bCs/>
          <w:i/>
          <w:u w:val="single"/>
        </w:rPr>
      </w:pPr>
      <w:r w:rsidRPr="00375A13">
        <w:rPr>
          <w:b/>
          <w:bCs/>
          <w:i/>
          <w:u w:val="single"/>
        </w:rPr>
        <w:lastRenderedPageBreak/>
        <w:t>Acțiunea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 – Tip proiect: Întreprinderi nou-înființate inovatoare care vizează inov</w:t>
      </w:r>
      <w:r>
        <w:rPr>
          <w:b/>
          <w:bCs/>
          <w:i/>
          <w:u w:val="single"/>
        </w:rPr>
        <w:t xml:space="preserve">are de produs sau de proces – </w:t>
      </w:r>
      <w:r w:rsidRPr="00375A13">
        <w:rPr>
          <w:b/>
          <w:bCs/>
          <w:i/>
          <w:u w:val="single"/>
        </w:rPr>
        <w:t>Secțiunea D</w:t>
      </w:r>
    </w:p>
    <w:p w:rsidR="003F636F" w:rsidRPr="00375A13" w:rsidRDefault="003F636F" w:rsidP="003F636F">
      <w:pPr>
        <w:spacing w:line="240" w:lineRule="auto"/>
        <w:jc w:val="both"/>
        <w:rPr>
          <w:b/>
          <w:bCs/>
        </w:rPr>
      </w:pPr>
      <w:r w:rsidRPr="00FA782E">
        <w:rPr>
          <w:b/>
          <w:bCs/>
        </w:rPr>
        <w:t>Obiectivul</w:t>
      </w:r>
      <w:r>
        <w:rPr>
          <w:bCs/>
        </w:rPr>
        <w:t xml:space="preserve">: </w:t>
      </w:r>
      <w:r w:rsidRPr="00E15899">
        <w:rPr>
          <w:bCs/>
          <w:i/>
        </w:rPr>
        <w:t>stimularea inovării în întreprinderi nou-înființate inovatoare, care dezvoltă</w:t>
      </w:r>
      <w:r w:rsidRPr="00E15899">
        <w:rPr>
          <w:b/>
          <w:bCs/>
          <w:i/>
        </w:rPr>
        <w:t xml:space="preserve"> </w:t>
      </w:r>
      <w:r w:rsidRPr="00E15899">
        <w:rPr>
          <w:bCs/>
          <w:i/>
        </w:rPr>
        <w:t>produse și/sau procese noi sau substanțial îmbunătățite în scopul producției și comercializării</w:t>
      </w:r>
      <w:r w:rsidRPr="00375A13">
        <w:rPr>
          <w:bCs/>
        </w:rPr>
        <w:t>. Specificul acestui tip de proiect constă în valorificarea unor rezulta</w:t>
      </w:r>
      <w:r>
        <w:rPr>
          <w:bCs/>
        </w:rPr>
        <w:t xml:space="preserve">te de cercetare-dezvoltare sau </w:t>
      </w:r>
      <w:r w:rsidRPr="00375A13">
        <w:rPr>
          <w:bCs/>
        </w:rPr>
        <w:t xml:space="preserve">idei brevetate, ca bază de pornire pentru dezvoltarea acelor produse (bunuri sau </w:t>
      </w:r>
      <w:r>
        <w:rPr>
          <w:bCs/>
        </w:rPr>
        <w:t xml:space="preserve">servicii), procese, tehnologii identificate de aplicant </w:t>
      </w:r>
      <w:r w:rsidRPr="00375A13">
        <w:rPr>
          <w:bCs/>
        </w:rPr>
        <w:t>ca fiind cerute de piață pe bază de pre-contracte ferme deținute de aplicant.</w:t>
      </w:r>
      <w:r w:rsidRPr="00375A13">
        <w:rPr>
          <w:b/>
          <w:bCs/>
        </w:rPr>
        <w:t xml:space="preserve">    </w:t>
      </w:r>
    </w:p>
    <w:p w:rsidR="003F636F" w:rsidRPr="00375A13" w:rsidRDefault="003F636F" w:rsidP="003F636F">
      <w:pPr>
        <w:numPr>
          <w:ilvl w:val="0"/>
          <w:numId w:val="39"/>
        </w:numPr>
        <w:spacing w:line="240" w:lineRule="auto"/>
        <w:jc w:val="both"/>
        <w:rPr>
          <w:bCs/>
        </w:rPr>
      </w:pPr>
      <w:r>
        <w:rPr>
          <w:bCs/>
          <w:iCs/>
        </w:rPr>
        <w:t>Asistenţ</w:t>
      </w:r>
      <w:r w:rsidRPr="00375A13">
        <w:rPr>
          <w:bCs/>
          <w:iCs/>
        </w:rPr>
        <w:t>a financiară nerambursabilă pe proiect: max. 4.500.000 lei (echivalentul în lei a 1 milion euro) pentru regiunea București-Ilfov şi max. 6.750.000 lei (echivalentul în lei a 1,5 milioane euro) pentru celelalte regiuni ale României.</w:t>
      </w:r>
    </w:p>
    <w:p w:rsidR="003F636F" w:rsidRDefault="003F636F" w:rsidP="003F636F">
      <w:pPr>
        <w:spacing w:line="240" w:lineRule="auto"/>
        <w:jc w:val="both"/>
        <w:rPr>
          <w:bCs/>
        </w:rPr>
      </w:pPr>
      <w:r w:rsidRPr="00375A13">
        <w:rPr>
          <w:bCs/>
        </w:rPr>
        <w:t>Solicitantul are personalitate juridică și este constituit conform legislației relevante în vigoare, înregistrat în România sa</w:t>
      </w:r>
      <w:r>
        <w:rPr>
          <w:bCs/>
        </w:rPr>
        <w:t>u într-un stat membru UE.</w:t>
      </w:r>
    </w:p>
    <w:p w:rsidR="003F636F" w:rsidRPr="00FA782E" w:rsidRDefault="003F636F" w:rsidP="003F636F">
      <w:pPr>
        <w:spacing w:line="240" w:lineRule="auto"/>
        <w:jc w:val="both"/>
        <w:rPr>
          <w:b/>
          <w:bCs/>
        </w:rPr>
      </w:pPr>
      <w:r w:rsidRPr="00375A13">
        <w:rPr>
          <w:b/>
          <w:bCs/>
        </w:rPr>
        <w:t>Categorii de solicitanţi eligibili:</w:t>
      </w:r>
    </w:p>
    <w:p w:rsidR="003F636F" w:rsidRPr="00375A13" w:rsidRDefault="003F636F" w:rsidP="003F636F">
      <w:pPr>
        <w:spacing w:after="0" w:line="240" w:lineRule="auto"/>
        <w:jc w:val="both"/>
        <w:rPr>
          <w:bCs/>
        </w:rPr>
      </w:pPr>
      <w:r w:rsidRPr="00375A13">
        <w:rPr>
          <w:bCs/>
        </w:rPr>
        <w:t>Întreprin</w:t>
      </w:r>
      <w:r>
        <w:rPr>
          <w:bCs/>
        </w:rPr>
        <w:t xml:space="preserve">derea nou-înființată inovatoare </w:t>
      </w:r>
      <w:r w:rsidRPr="00375A13">
        <w:rPr>
          <w:bCs/>
        </w:rPr>
        <w:t>respectă</w:t>
      </w:r>
      <w:r>
        <w:rPr>
          <w:bCs/>
        </w:rPr>
        <w:t xml:space="preserve"> prevederile Regulamentului Nr.651/2014. Întreprinderile eligibile </w:t>
      </w:r>
      <w:r w:rsidRPr="00375A13">
        <w:rPr>
          <w:bCs/>
        </w:rPr>
        <w:t>sunt întreprinderile mici necotate pe o perioadă de până la cinci ani de la înregistrarea lor, care nu au distribuit încă profituri și care nu s-au format printr-o fuziune. În cazul întrepri</w:t>
      </w:r>
      <w:r>
        <w:rPr>
          <w:bCs/>
        </w:rPr>
        <w:t xml:space="preserve">nderilor eligibile care nu fac </w:t>
      </w:r>
      <w:r w:rsidRPr="00375A13">
        <w:rPr>
          <w:bCs/>
        </w:rPr>
        <w:t xml:space="preserve">obiectul unei obligații de înregistrare se poate considera că perioada de eligibilitate de cinci ani începe din momentul în care întreprinderea respectivă fie își începe activitatea economică, fie devine plătitoare de impozite pentru activitatea sa economică. </w:t>
      </w:r>
    </w:p>
    <w:p w:rsidR="003F636F" w:rsidRDefault="003F636F" w:rsidP="003F636F">
      <w:pPr>
        <w:spacing w:after="0" w:line="240" w:lineRule="auto"/>
        <w:jc w:val="both"/>
        <w:rPr>
          <w:bCs/>
        </w:rPr>
      </w:pPr>
      <w:r w:rsidRPr="00375A13">
        <w:rPr>
          <w:bCs/>
        </w:rPr>
        <w:t>Apelul a fost lansat în 27 Iunie 2015. Depunerea proiectelor s-a închis la data de 18 August 2015.</w:t>
      </w:r>
    </w:p>
    <w:p w:rsidR="003F636F" w:rsidRPr="00FA782E" w:rsidRDefault="003F636F" w:rsidP="003F636F">
      <w:pPr>
        <w:spacing w:after="0" w:line="240" w:lineRule="auto"/>
        <w:jc w:val="both"/>
        <w:rPr>
          <w:bCs/>
          <w:sz w:val="18"/>
          <w:szCs w:val="18"/>
        </w:rPr>
      </w:pPr>
    </w:p>
    <w:p w:rsidR="003F636F" w:rsidRDefault="003F636F" w:rsidP="003F636F">
      <w:pPr>
        <w:spacing w:after="0" w:line="240" w:lineRule="auto"/>
        <w:jc w:val="both"/>
        <w:rPr>
          <w:bCs/>
        </w:rPr>
      </w:pPr>
      <w:r w:rsidRPr="00375A13">
        <w:rPr>
          <w:b/>
          <w:bCs/>
        </w:rPr>
        <w:t>Status la 31.12.2015</w:t>
      </w:r>
      <w:r w:rsidRPr="00375A13">
        <w:rPr>
          <w:bCs/>
        </w:rPr>
        <w:t>: S-a finalizat evaluarea tehnico-ştiinţifică. Aprobarea proiectelor selectate pentru finanţare d</w:t>
      </w:r>
      <w:r>
        <w:rPr>
          <w:bCs/>
        </w:rPr>
        <w:t>e către Comitetul de Selecţie v</w:t>
      </w:r>
      <w:r w:rsidRPr="00375A13">
        <w:rPr>
          <w:bCs/>
        </w:rPr>
        <w:t>a avea loc la începutul anului 2016.</w:t>
      </w:r>
    </w:p>
    <w:p w:rsidR="003F636F" w:rsidRPr="00375A13" w:rsidRDefault="003F636F" w:rsidP="003F636F">
      <w:pPr>
        <w:pStyle w:val="ListParagraph"/>
        <w:numPr>
          <w:ilvl w:val="0"/>
          <w:numId w:val="40"/>
        </w:numPr>
        <w:spacing w:line="240" w:lineRule="auto"/>
        <w:jc w:val="both"/>
        <w:rPr>
          <w:bCs/>
        </w:rPr>
      </w:pPr>
      <w:r>
        <w:rPr>
          <w:bCs/>
        </w:rPr>
        <w:t xml:space="preserve">65 proiecte depuse, </w:t>
      </w:r>
      <w:r w:rsidRPr="00375A13">
        <w:rPr>
          <w:bCs/>
        </w:rPr>
        <w:t>valoare AFN: 72.7 mil. Euro;</w:t>
      </w:r>
    </w:p>
    <w:p w:rsidR="003F636F" w:rsidRPr="00375A13" w:rsidRDefault="003F636F" w:rsidP="003F636F">
      <w:pPr>
        <w:pStyle w:val="ListParagraph"/>
        <w:numPr>
          <w:ilvl w:val="0"/>
          <w:numId w:val="40"/>
        </w:numPr>
        <w:spacing w:line="240" w:lineRule="auto"/>
        <w:jc w:val="both"/>
        <w:rPr>
          <w:bCs/>
        </w:rPr>
      </w:pPr>
      <w:r w:rsidRPr="00375A13">
        <w:rPr>
          <w:bCs/>
        </w:rPr>
        <w:t>36 proiecte selectate în această etapă, valoare AFN: 43 mil. euro;</w:t>
      </w:r>
    </w:p>
    <w:p w:rsidR="003F636F" w:rsidRPr="002B4A5D" w:rsidRDefault="003F636F" w:rsidP="00707FA1">
      <w:pPr>
        <w:pStyle w:val="ListParagraph"/>
        <w:numPr>
          <w:ilvl w:val="0"/>
          <w:numId w:val="40"/>
        </w:numPr>
        <w:spacing w:line="240" w:lineRule="auto"/>
        <w:jc w:val="both"/>
        <w:rPr>
          <w:bCs/>
        </w:rPr>
      </w:pPr>
      <w:r w:rsidRPr="002B4A5D">
        <w:rPr>
          <w:bCs/>
        </w:rPr>
        <w:t>22 proiecte care îndeplinesc criteriile de selecţie şi au buget total egal cu bugetul competiţiei 2015.</w:t>
      </w:r>
    </w:p>
    <w:tbl>
      <w:tblPr>
        <w:tblW w:w="6947" w:type="dxa"/>
        <w:jc w:val="center"/>
        <w:tblLayout w:type="fixed"/>
        <w:tblLook w:val="04A0" w:firstRow="1" w:lastRow="0" w:firstColumn="1" w:lastColumn="0" w:noHBand="0" w:noVBand="1"/>
      </w:tblPr>
      <w:tblGrid>
        <w:gridCol w:w="1277"/>
        <w:gridCol w:w="709"/>
        <w:gridCol w:w="708"/>
        <w:gridCol w:w="851"/>
        <w:gridCol w:w="850"/>
        <w:gridCol w:w="851"/>
        <w:gridCol w:w="850"/>
        <w:gridCol w:w="851"/>
      </w:tblGrid>
      <w:tr w:rsidR="003F636F" w:rsidRPr="00375A13" w:rsidTr="003F636F">
        <w:trPr>
          <w:trHeight w:val="154"/>
          <w:jc w:val="center"/>
        </w:trPr>
        <w:tc>
          <w:tcPr>
            <w:tcW w:w="1277" w:type="dxa"/>
            <w:tcBorders>
              <w:top w:val="nil"/>
              <w:left w:val="nil"/>
              <w:bottom w:val="nil"/>
              <w:right w:val="nil"/>
            </w:tcBorders>
            <w:shd w:val="clear" w:color="auto" w:fill="auto"/>
            <w:noWrap/>
            <w:vAlign w:val="bottom"/>
            <w:hideMark/>
          </w:tcPr>
          <w:p w:rsidR="003F636F" w:rsidRPr="00375A13" w:rsidRDefault="003F636F" w:rsidP="00970E00">
            <w:pPr>
              <w:spacing w:line="240" w:lineRule="auto"/>
              <w:rPr>
                <w:sz w:val="16"/>
                <w:szCs w:val="16"/>
                <w:lang w:eastAsia="ro-RO"/>
              </w:rPr>
            </w:pPr>
          </w:p>
        </w:tc>
        <w:tc>
          <w:tcPr>
            <w:tcW w:w="5670" w:type="dxa"/>
            <w:gridSpan w:val="7"/>
            <w:tcBorders>
              <w:top w:val="single" w:sz="4" w:space="0" w:color="auto"/>
              <w:left w:val="single" w:sz="4" w:space="0" w:color="auto"/>
              <w:bottom w:val="nil"/>
              <w:right w:val="single" w:sz="4" w:space="0" w:color="000000"/>
            </w:tcBorders>
            <w:shd w:val="clear" w:color="auto" w:fill="auto"/>
            <w:noWrap/>
            <w:vAlign w:val="bottom"/>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Secţiunea D</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 xml:space="preserve">                          FEDR+BS    (mil. EUR)</w:t>
            </w:r>
          </w:p>
        </w:tc>
      </w:tr>
      <w:tr w:rsidR="003F636F" w:rsidRPr="00375A13" w:rsidTr="002B4A5D">
        <w:trPr>
          <w:trHeight w:val="80"/>
          <w:jc w:val="center"/>
        </w:trPr>
        <w:tc>
          <w:tcPr>
            <w:tcW w:w="1277" w:type="dxa"/>
            <w:tcBorders>
              <w:top w:val="nil"/>
              <w:left w:val="nil"/>
              <w:bottom w:val="nil"/>
              <w:right w:val="nil"/>
            </w:tcBorders>
            <w:shd w:val="clear" w:color="auto" w:fill="auto"/>
            <w:noWrap/>
            <w:vAlign w:val="bottom"/>
            <w:hideMark/>
          </w:tcPr>
          <w:p w:rsidR="003F636F" w:rsidRPr="00375A13" w:rsidRDefault="003F636F" w:rsidP="00970E00">
            <w:pPr>
              <w:spacing w:line="240" w:lineRule="auto"/>
              <w:jc w:val="center"/>
              <w:rPr>
                <w:rFonts w:ascii="Calibri" w:hAnsi="Calibri"/>
                <w:color w:val="000000"/>
                <w:sz w:val="16"/>
                <w:szCs w:val="16"/>
                <w:lang w:eastAsia="ro-RO"/>
              </w:rPr>
            </w:pPr>
          </w:p>
        </w:tc>
        <w:tc>
          <w:tcPr>
            <w:tcW w:w="5670" w:type="dxa"/>
            <w:gridSpan w:val="7"/>
            <w:tcBorders>
              <w:top w:val="nil"/>
              <w:left w:val="single" w:sz="4" w:space="0" w:color="auto"/>
              <w:bottom w:val="single" w:sz="4" w:space="0" w:color="auto"/>
              <w:right w:val="single" w:sz="4" w:space="0" w:color="000000"/>
            </w:tcBorders>
            <w:shd w:val="clear" w:color="auto" w:fill="auto"/>
            <w:noWrap/>
            <w:vAlign w:val="bottom"/>
            <w:hideMark/>
          </w:tcPr>
          <w:p w:rsidR="003F636F" w:rsidRPr="00375A13" w:rsidRDefault="003F636F" w:rsidP="00970E00">
            <w:pPr>
              <w:spacing w:line="240" w:lineRule="auto"/>
              <w:rPr>
                <w:rFonts w:ascii="Calibri" w:hAnsi="Calibri"/>
                <w:b/>
                <w:color w:val="000000"/>
                <w:sz w:val="16"/>
                <w:szCs w:val="16"/>
                <w:lang w:eastAsia="ro-RO"/>
              </w:rPr>
            </w:pPr>
          </w:p>
        </w:tc>
      </w:tr>
      <w:tr w:rsidR="003F636F" w:rsidRPr="00375A13" w:rsidTr="00970E00">
        <w:trPr>
          <w:trHeight w:val="747"/>
          <w:jc w:val="center"/>
        </w:trPr>
        <w:tc>
          <w:tcPr>
            <w:tcW w:w="1277" w:type="dxa"/>
            <w:vMerge w:val="restart"/>
            <w:tcBorders>
              <w:top w:val="single" w:sz="4" w:space="0" w:color="auto"/>
              <w:left w:val="single" w:sz="4" w:space="0" w:color="auto"/>
              <w:right w:val="single" w:sz="4" w:space="0" w:color="auto"/>
            </w:tcBorders>
            <w:shd w:val="clear" w:color="auto" w:fill="auto"/>
            <w:vAlign w:val="center"/>
            <w:hideMark/>
          </w:tcPr>
          <w:p w:rsidR="003F636F" w:rsidRPr="00375A13" w:rsidRDefault="003F636F" w:rsidP="00970E00">
            <w:pPr>
              <w:spacing w:line="240" w:lineRule="auto"/>
              <w:rPr>
                <w:rFonts w:ascii="Calibri" w:hAnsi="Calibri"/>
                <w:b/>
                <w:color w:val="000000"/>
                <w:sz w:val="16"/>
                <w:szCs w:val="16"/>
                <w:lang w:eastAsia="ro-RO"/>
              </w:rPr>
            </w:pPr>
            <w:r w:rsidRPr="00375A13">
              <w:rPr>
                <w:rFonts w:ascii="Calibri" w:hAnsi="Calibri"/>
                <w:b/>
                <w:color w:val="000000"/>
                <w:sz w:val="16"/>
                <w:szCs w:val="16"/>
                <w:lang w:eastAsia="ro-RO"/>
              </w:rPr>
              <w:t>Beneficiar eligibil</w:t>
            </w:r>
          </w:p>
        </w:tc>
        <w:tc>
          <w:tcPr>
            <w:tcW w:w="1417" w:type="dxa"/>
            <w:gridSpan w:val="2"/>
            <w:tcBorders>
              <w:top w:val="nil"/>
              <w:left w:val="nil"/>
              <w:bottom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Buget total alocat</w:t>
            </w:r>
          </w:p>
          <w:p w:rsidR="003F636F" w:rsidRPr="00375A13" w:rsidRDefault="003F636F" w:rsidP="00970E00">
            <w:pPr>
              <w:spacing w:line="240" w:lineRule="auto"/>
              <w:jc w:val="center"/>
              <w:rPr>
                <w:rFonts w:ascii="Calibri" w:hAnsi="Calibri"/>
                <w:b/>
                <w:color w:val="000000"/>
                <w:sz w:val="16"/>
                <w:szCs w:val="16"/>
                <w:lang w:eastAsia="ro-RO"/>
              </w:rPr>
            </w:pPr>
          </w:p>
        </w:tc>
        <w:tc>
          <w:tcPr>
            <w:tcW w:w="851" w:type="dxa"/>
            <w:tcBorders>
              <w:top w:val="nil"/>
              <w:left w:val="nil"/>
              <w:bottom w:val="single" w:sz="4" w:space="0" w:color="auto"/>
              <w:right w:val="single" w:sz="4" w:space="0" w:color="auto"/>
            </w:tcBorders>
            <w:shd w:val="clear" w:color="auto" w:fill="auto"/>
            <w:vAlign w:val="center"/>
            <w:hideMark/>
          </w:tcPr>
          <w:p w:rsidR="003F636F" w:rsidRPr="00375A13" w:rsidRDefault="003F636F" w:rsidP="00970E00">
            <w:pPr>
              <w:spacing w:line="240" w:lineRule="auto"/>
              <w:rPr>
                <w:rFonts w:ascii="Calibri" w:hAnsi="Calibri"/>
                <w:b/>
                <w:color w:val="000000"/>
                <w:sz w:val="16"/>
                <w:szCs w:val="16"/>
                <w:lang w:eastAsia="ro-RO"/>
              </w:rPr>
            </w:pPr>
            <w:r w:rsidRPr="00375A13">
              <w:rPr>
                <w:rFonts w:ascii="Calibri" w:hAnsi="Calibri"/>
                <w:b/>
                <w:color w:val="000000"/>
                <w:sz w:val="16"/>
                <w:szCs w:val="16"/>
                <w:lang w:eastAsia="ro-RO"/>
              </w:rPr>
              <w:t xml:space="preserve">Buget proiecte depuse </w:t>
            </w:r>
          </w:p>
        </w:tc>
        <w:tc>
          <w:tcPr>
            <w:tcW w:w="1701" w:type="dxa"/>
            <w:gridSpan w:val="2"/>
            <w:tcBorders>
              <w:top w:val="nil"/>
              <w:left w:val="nil"/>
              <w:bottom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Valoare proiecte eligibile peste prag minim cf. ghid.</w:t>
            </w:r>
          </w:p>
        </w:tc>
        <w:tc>
          <w:tcPr>
            <w:tcW w:w="1701" w:type="dxa"/>
            <w:gridSpan w:val="2"/>
            <w:tcBorders>
              <w:top w:val="nil"/>
              <w:left w:val="nil"/>
              <w:bottom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Valoare proiecte  în limita bugetului alocat 2015</w:t>
            </w:r>
          </w:p>
        </w:tc>
      </w:tr>
      <w:tr w:rsidR="003F636F" w:rsidRPr="00375A13" w:rsidTr="00970E00">
        <w:trPr>
          <w:trHeight w:val="72"/>
          <w:jc w:val="center"/>
        </w:trPr>
        <w:tc>
          <w:tcPr>
            <w:tcW w:w="1277" w:type="dxa"/>
            <w:vMerge/>
            <w:tcBorders>
              <w:left w:val="single" w:sz="4" w:space="0" w:color="auto"/>
              <w:bottom w:val="single" w:sz="4" w:space="0" w:color="auto"/>
              <w:right w:val="single" w:sz="4" w:space="0" w:color="auto"/>
            </w:tcBorders>
            <w:shd w:val="clear" w:color="auto" w:fill="auto"/>
            <w:vAlign w:val="center"/>
          </w:tcPr>
          <w:p w:rsidR="003F636F" w:rsidRPr="00375A13" w:rsidRDefault="003F636F" w:rsidP="00970E00">
            <w:pPr>
              <w:spacing w:line="240" w:lineRule="auto"/>
              <w:rPr>
                <w:rFonts w:ascii="Calibri" w:hAnsi="Calibri"/>
                <w:color w:val="000000"/>
                <w:sz w:val="16"/>
                <w:szCs w:val="16"/>
                <w:lang w:eastAsia="ro-RO"/>
              </w:rPr>
            </w:pPr>
          </w:p>
        </w:tc>
        <w:tc>
          <w:tcPr>
            <w:tcW w:w="1417" w:type="dxa"/>
            <w:gridSpan w:val="2"/>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 xml:space="preserve">(a) </w:t>
            </w:r>
          </w:p>
        </w:tc>
        <w:tc>
          <w:tcPr>
            <w:tcW w:w="851" w:type="dxa"/>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(b)</w:t>
            </w:r>
          </w:p>
        </w:tc>
        <w:tc>
          <w:tcPr>
            <w:tcW w:w="1701" w:type="dxa"/>
            <w:gridSpan w:val="2"/>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(c)</w:t>
            </w:r>
          </w:p>
        </w:tc>
        <w:tc>
          <w:tcPr>
            <w:tcW w:w="1701" w:type="dxa"/>
            <w:gridSpan w:val="2"/>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(d)</w:t>
            </w:r>
          </w:p>
        </w:tc>
      </w:tr>
      <w:tr w:rsidR="003F636F" w:rsidRPr="00375A13" w:rsidTr="00970E00">
        <w:trPr>
          <w:trHeight w:val="425"/>
          <w:jc w:val="center"/>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Întreprinderi nou-infiintate inovatoare</w:t>
            </w:r>
          </w:p>
        </w:tc>
        <w:tc>
          <w:tcPr>
            <w:tcW w:w="1417" w:type="dxa"/>
            <w:gridSpan w:val="2"/>
            <w:tcBorders>
              <w:top w:val="single" w:sz="4" w:space="0" w:color="auto"/>
              <w:left w:val="nil"/>
              <w:bottom w:val="single" w:sz="4" w:space="0" w:color="000000"/>
              <w:right w:val="single" w:sz="4" w:space="0" w:color="000000"/>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23.8</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72.7</w:t>
            </w:r>
          </w:p>
        </w:tc>
        <w:tc>
          <w:tcPr>
            <w:tcW w:w="170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43</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23.8</w:t>
            </w:r>
          </w:p>
        </w:tc>
      </w:tr>
      <w:tr w:rsidR="003F636F" w:rsidRPr="00375A13" w:rsidTr="00970E00">
        <w:trPr>
          <w:cantSplit/>
          <w:trHeight w:val="1134"/>
          <w:jc w:val="center"/>
        </w:trPr>
        <w:tc>
          <w:tcPr>
            <w:tcW w:w="1277"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An 2015</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(a1)</w:t>
            </w:r>
          </w:p>
          <w:p w:rsidR="003F636F" w:rsidRPr="00375A13" w:rsidRDefault="003F636F" w:rsidP="00970E00">
            <w:pPr>
              <w:spacing w:line="240" w:lineRule="auto"/>
              <w:rPr>
                <w:rFonts w:ascii="Calibri" w:hAnsi="Calibri"/>
                <w:b/>
                <w:color w:val="000000"/>
                <w:sz w:val="16"/>
                <w:szCs w:val="16"/>
                <w:lang w:eastAsia="ro-RO"/>
              </w:rPr>
            </w:pP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depuse</w:t>
            </w:r>
          </w:p>
        </w:tc>
        <w:tc>
          <w:tcPr>
            <w:tcW w:w="850"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Peste prag min</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Prag min.</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(puncte)</w:t>
            </w:r>
          </w:p>
        </w:tc>
        <w:tc>
          <w:tcPr>
            <w:tcW w:w="850"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 în limita buget alocat</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Prag (puncte)</w:t>
            </w:r>
          </w:p>
        </w:tc>
      </w:tr>
      <w:tr w:rsidR="003F636F" w:rsidRPr="00375A13" w:rsidTr="00970E00">
        <w:trPr>
          <w:trHeight w:val="154"/>
          <w:jc w:val="center"/>
        </w:trPr>
        <w:tc>
          <w:tcPr>
            <w:tcW w:w="1277"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1417" w:type="dxa"/>
            <w:gridSpan w:val="2"/>
            <w:tcBorders>
              <w:top w:val="nil"/>
              <w:left w:val="nil"/>
              <w:bottom w:val="single" w:sz="4" w:space="0" w:color="auto"/>
              <w:right w:val="single" w:sz="4" w:space="0" w:color="auto"/>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23.8</w:t>
            </w:r>
          </w:p>
        </w:tc>
        <w:tc>
          <w:tcPr>
            <w:tcW w:w="851"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65</w:t>
            </w:r>
          </w:p>
        </w:tc>
        <w:tc>
          <w:tcPr>
            <w:tcW w:w="850"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36</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&gt;=60</w:t>
            </w:r>
          </w:p>
        </w:tc>
        <w:tc>
          <w:tcPr>
            <w:tcW w:w="850"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22</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&gt;=82</w:t>
            </w:r>
          </w:p>
        </w:tc>
      </w:tr>
      <w:tr w:rsidR="003F636F" w:rsidRPr="00375A13" w:rsidTr="00970E00">
        <w:trPr>
          <w:trHeight w:val="116"/>
          <w:jc w:val="center"/>
        </w:trPr>
        <w:tc>
          <w:tcPr>
            <w:tcW w:w="1277"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709" w:type="dxa"/>
            <w:tcBorders>
              <w:top w:val="single" w:sz="4" w:space="0" w:color="auto"/>
              <w:left w:val="single" w:sz="4" w:space="0" w:color="auto"/>
              <w:bottom w:val="single" w:sz="4" w:space="0" w:color="auto"/>
            </w:tcBorders>
            <w:shd w:val="clear" w:color="auto" w:fill="BDD6EE" w:themeFill="accent1" w:themeFillTint="66"/>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p>
        </w:tc>
        <w:tc>
          <w:tcPr>
            <w:tcW w:w="708" w:type="dxa"/>
            <w:tcBorders>
              <w:top w:val="single" w:sz="4" w:space="0" w:color="auto"/>
              <w:bottom w:val="single" w:sz="4" w:space="0" w:color="auto"/>
            </w:tcBorders>
            <w:shd w:val="clear" w:color="auto" w:fill="BDD6EE" w:themeFill="accent1" w:themeFillTint="66"/>
            <w:noWrap/>
            <w:vAlign w:val="center"/>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 </w:t>
            </w:r>
          </w:p>
        </w:tc>
        <w:tc>
          <w:tcPr>
            <w:tcW w:w="851" w:type="dxa"/>
            <w:tcBorders>
              <w:top w:val="single" w:sz="4" w:space="0" w:color="auto"/>
              <w:left w:val="nil"/>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c>
          <w:tcPr>
            <w:tcW w:w="850"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c>
          <w:tcPr>
            <w:tcW w:w="851"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c>
          <w:tcPr>
            <w:tcW w:w="850"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c>
          <w:tcPr>
            <w:tcW w:w="851"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6"/>
                <w:szCs w:val="16"/>
                <w:lang w:eastAsia="ro-RO"/>
              </w:rPr>
            </w:pPr>
            <w:r w:rsidRPr="00375A13">
              <w:rPr>
                <w:rFonts w:ascii="Calibri" w:hAnsi="Calibri"/>
                <w:color w:val="000000"/>
                <w:sz w:val="16"/>
                <w:szCs w:val="16"/>
                <w:lang w:eastAsia="ro-RO"/>
              </w:rPr>
              <w:t> </w:t>
            </w:r>
          </w:p>
        </w:tc>
      </w:tr>
      <w:tr w:rsidR="003F636F" w:rsidRPr="00375A13" w:rsidTr="00970E00">
        <w:trPr>
          <w:trHeight w:val="486"/>
          <w:jc w:val="center"/>
        </w:trPr>
        <w:tc>
          <w:tcPr>
            <w:tcW w:w="1277"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6"/>
                <w:szCs w:val="16"/>
                <w:lang w:eastAsia="ro-RO"/>
              </w:rPr>
            </w:pPr>
          </w:p>
        </w:tc>
        <w:tc>
          <w:tcPr>
            <w:tcW w:w="1417" w:type="dxa"/>
            <w:gridSpan w:val="2"/>
            <w:tcBorders>
              <w:top w:val="single" w:sz="4" w:space="0" w:color="auto"/>
              <w:left w:val="nil"/>
              <w:bottom w:val="single" w:sz="4" w:space="0" w:color="auto"/>
              <w:right w:val="nil"/>
            </w:tcBorders>
            <w:shd w:val="clear" w:color="auto" w:fill="auto"/>
            <w:noWrap/>
            <w:vAlign w:val="bottom"/>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Procent din buget alocat 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6F" w:rsidRPr="00375A13" w:rsidRDefault="003F636F" w:rsidP="00970E00">
            <w:pPr>
              <w:spacing w:line="240" w:lineRule="auto"/>
              <w:jc w:val="right"/>
              <w:rPr>
                <w:rFonts w:ascii="Calibri" w:hAnsi="Calibri"/>
                <w:color w:val="000000"/>
                <w:sz w:val="16"/>
                <w:szCs w:val="16"/>
                <w:lang w:eastAsia="ro-RO"/>
              </w:rPr>
            </w:pPr>
            <w:r w:rsidRPr="00375A13">
              <w:rPr>
                <w:rFonts w:ascii="Calibri" w:hAnsi="Calibri"/>
                <w:color w:val="000000"/>
                <w:sz w:val="16"/>
                <w:szCs w:val="16"/>
                <w:lang w:eastAsia="ro-RO"/>
              </w:rPr>
              <w:t>301%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180%</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636F" w:rsidRPr="00375A13" w:rsidRDefault="003F636F" w:rsidP="00970E00">
            <w:pPr>
              <w:spacing w:line="240" w:lineRule="auto"/>
              <w:jc w:val="center"/>
              <w:rPr>
                <w:rFonts w:ascii="Calibri" w:hAnsi="Calibri"/>
                <w:color w:val="000000"/>
                <w:sz w:val="16"/>
                <w:szCs w:val="16"/>
                <w:lang w:eastAsia="ro-RO"/>
              </w:rPr>
            </w:pPr>
            <w:r w:rsidRPr="00375A13">
              <w:rPr>
                <w:rFonts w:ascii="Calibri" w:hAnsi="Calibri"/>
                <w:color w:val="000000"/>
                <w:sz w:val="16"/>
                <w:szCs w:val="16"/>
                <w:lang w:eastAsia="ro-RO"/>
              </w:rPr>
              <w:t>100%</w:t>
            </w:r>
          </w:p>
        </w:tc>
      </w:tr>
    </w:tbl>
    <w:p w:rsidR="003F636F" w:rsidRPr="00375A13" w:rsidRDefault="003F636F" w:rsidP="003F636F">
      <w:pPr>
        <w:spacing w:line="240" w:lineRule="auto"/>
        <w:ind w:left="360"/>
        <w:jc w:val="both"/>
        <w:rPr>
          <w:bCs/>
        </w:rPr>
      </w:pPr>
    </w:p>
    <w:p w:rsidR="003F636F" w:rsidRPr="00375A13" w:rsidRDefault="003F636F" w:rsidP="003F636F">
      <w:pPr>
        <w:spacing w:line="240" w:lineRule="auto"/>
        <w:jc w:val="both"/>
        <w:rPr>
          <w:b/>
          <w:bCs/>
          <w:i/>
          <w:u w:val="single"/>
        </w:rPr>
      </w:pPr>
      <w:r w:rsidRPr="00375A13">
        <w:rPr>
          <w:b/>
          <w:bCs/>
          <w:i/>
          <w:u w:val="single"/>
        </w:rPr>
        <w:t>Acțiunea 1.2.3 Parteneriate pentru transfer de cunoștințe – Tip proiect: Parteneriate pentru transfer de cunoștințe – Secțiunea G</w:t>
      </w:r>
    </w:p>
    <w:p w:rsidR="003F636F" w:rsidRPr="00375A13" w:rsidRDefault="003F636F" w:rsidP="003F636F">
      <w:pPr>
        <w:spacing w:after="0" w:line="240" w:lineRule="auto"/>
        <w:jc w:val="both"/>
        <w:rPr>
          <w:b/>
          <w:bCs/>
        </w:rPr>
      </w:pPr>
      <w:r w:rsidRPr="00375A13">
        <w:rPr>
          <w:b/>
          <w:bCs/>
        </w:rPr>
        <w:t xml:space="preserve">Obiectiv: </w:t>
      </w:r>
    </w:p>
    <w:p w:rsidR="003F636F" w:rsidRPr="00375A13" w:rsidRDefault="003F636F" w:rsidP="003F636F">
      <w:pPr>
        <w:numPr>
          <w:ilvl w:val="0"/>
          <w:numId w:val="41"/>
        </w:numPr>
        <w:spacing w:after="0" w:line="240" w:lineRule="auto"/>
        <w:ind w:left="648"/>
        <w:jc w:val="both"/>
        <w:rPr>
          <w:bCs/>
        </w:rPr>
      </w:pPr>
      <w:r>
        <w:rPr>
          <w:bCs/>
        </w:rPr>
        <w:t xml:space="preserve">încurajarea </w:t>
      </w:r>
      <w:r w:rsidRPr="00375A13">
        <w:rPr>
          <w:bCs/>
        </w:rPr>
        <w:t>interacțiunii instituţiilor de învăţământ superior şi instituțiilor de CD cu mediul de afaceri;</w:t>
      </w:r>
    </w:p>
    <w:p w:rsidR="003F636F" w:rsidRPr="00375A13" w:rsidRDefault="003F636F" w:rsidP="003F636F">
      <w:pPr>
        <w:numPr>
          <w:ilvl w:val="0"/>
          <w:numId w:val="41"/>
        </w:numPr>
        <w:spacing w:after="0" w:line="240" w:lineRule="auto"/>
        <w:ind w:left="648"/>
        <w:jc w:val="both"/>
        <w:rPr>
          <w:bCs/>
        </w:rPr>
      </w:pPr>
      <w:r w:rsidRPr="00375A13">
        <w:rPr>
          <w:bCs/>
        </w:rPr>
        <w:t>consti</w:t>
      </w:r>
      <w:r>
        <w:rPr>
          <w:bCs/>
        </w:rPr>
        <w:t xml:space="preserve">tuirea de </w:t>
      </w:r>
      <w:r w:rsidRPr="00375A13">
        <w:rPr>
          <w:bCs/>
        </w:rPr>
        <w:t>parteneriate între organizațiile de cercetare și întreprinderi/grupu</w:t>
      </w:r>
      <w:r>
        <w:rPr>
          <w:bCs/>
        </w:rPr>
        <w:t xml:space="preserve">ri de întreprinderi interesate </w:t>
      </w:r>
      <w:r w:rsidRPr="00375A13">
        <w:rPr>
          <w:bCs/>
        </w:rPr>
        <w:t xml:space="preserve">să obțină  cunoștințe, inclusiv abilități și competențe care vor răspunde nevoilor strategice de dezvoltare a întreprinderilor și vor oferi soluții inovative pentru obținerea de </w:t>
      </w:r>
      <w:r>
        <w:rPr>
          <w:bCs/>
        </w:rPr>
        <w:t xml:space="preserve">produse şi procese, tehnologii </w:t>
      </w:r>
      <w:r w:rsidRPr="00375A13">
        <w:rPr>
          <w:bCs/>
        </w:rPr>
        <w:t>noi/ îmbunătăţite id</w:t>
      </w:r>
      <w:r>
        <w:rPr>
          <w:bCs/>
        </w:rPr>
        <w:t xml:space="preserve">entificate de întreprinderi ca </w:t>
      </w:r>
      <w:r w:rsidRPr="00375A13">
        <w:rPr>
          <w:bCs/>
        </w:rPr>
        <w:t xml:space="preserve">fiind cerute de piață; </w:t>
      </w:r>
    </w:p>
    <w:p w:rsidR="003F636F" w:rsidRPr="00375A13" w:rsidRDefault="003F636F" w:rsidP="003F636F">
      <w:pPr>
        <w:numPr>
          <w:ilvl w:val="0"/>
          <w:numId w:val="41"/>
        </w:numPr>
        <w:spacing w:after="0" w:line="240" w:lineRule="auto"/>
        <w:ind w:left="648"/>
        <w:jc w:val="both"/>
        <w:rPr>
          <w:bCs/>
        </w:rPr>
      </w:pPr>
      <w:r>
        <w:rPr>
          <w:bCs/>
        </w:rPr>
        <w:t xml:space="preserve">acordarea de </w:t>
      </w:r>
      <w:r w:rsidRPr="00375A13">
        <w:rPr>
          <w:bCs/>
        </w:rPr>
        <w:t>sprijin specializat întreprinderilor, conceput să răspundă nevoilor identificate la nivel individual sau de grup, în diverse stadii de dezvoltare a unei no</w:t>
      </w:r>
      <w:r>
        <w:rPr>
          <w:bCs/>
        </w:rPr>
        <w:t>i afaceri promovate de acestea;</w:t>
      </w:r>
    </w:p>
    <w:p w:rsidR="003F636F" w:rsidRPr="00375A13" w:rsidRDefault="003F636F" w:rsidP="003F636F">
      <w:pPr>
        <w:numPr>
          <w:ilvl w:val="0"/>
          <w:numId w:val="41"/>
        </w:numPr>
        <w:spacing w:after="0" w:line="240" w:lineRule="auto"/>
        <w:ind w:left="648"/>
        <w:jc w:val="both"/>
        <w:rPr>
          <w:bCs/>
        </w:rPr>
      </w:pPr>
      <w:r w:rsidRPr="00375A13">
        <w:rPr>
          <w:bCs/>
        </w:rPr>
        <w:t xml:space="preserve">valorificarea potenţialului infrastructurilor </w:t>
      </w:r>
      <w:r>
        <w:rPr>
          <w:bCs/>
        </w:rPr>
        <w:t xml:space="preserve">de CD dobândite sau modernizate </w:t>
      </w:r>
      <w:r w:rsidRPr="00375A13">
        <w:rPr>
          <w:bCs/>
        </w:rPr>
        <w:t>începând cu anul 2007, și a celorlalte resurse de cercetare obținute concomitent cu acest</w:t>
      </w:r>
      <w:r>
        <w:rPr>
          <w:bCs/>
        </w:rPr>
        <w:t xml:space="preserve">ea, prin acordarea accesului </w:t>
      </w:r>
      <w:r w:rsidRPr="00375A13">
        <w:rPr>
          <w:bCs/>
        </w:rPr>
        <w:t>întreprinderilor la aceste facilități‚ în scopul creșterii valorii adăugate a unor produse/procese tehnologii cerute de piață.</w:t>
      </w:r>
    </w:p>
    <w:p w:rsidR="00EE4D21" w:rsidRDefault="00EE4D21" w:rsidP="003F636F">
      <w:pPr>
        <w:spacing w:line="240" w:lineRule="auto"/>
        <w:jc w:val="both"/>
        <w:rPr>
          <w:bCs/>
        </w:rPr>
      </w:pPr>
    </w:p>
    <w:p w:rsidR="003F636F" w:rsidRPr="00375A13" w:rsidRDefault="003F636F" w:rsidP="003F636F">
      <w:pPr>
        <w:spacing w:line="240" w:lineRule="auto"/>
        <w:jc w:val="both"/>
        <w:rPr>
          <w:bCs/>
        </w:rPr>
      </w:pPr>
      <w:r w:rsidRPr="00375A13">
        <w:rPr>
          <w:bCs/>
        </w:rPr>
        <w:t>Apelul a fost lansat în data de 27 Iunie 2015. Depunerea proiectelor s-a încheiat la 11 August 2015.</w:t>
      </w:r>
    </w:p>
    <w:p w:rsidR="003F636F" w:rsidRPr="00375A13" w:rsidRDefault="003F636F" w:rsidP="003F636F">
      <w:pPr>
        <w:spacing w:line="240" w:lineRule="auto"/>
        <w:jc w:val="both"/>
        <w:rPr>
          <w:bCs/>
        </w:rPr>
      </w:pPr>
      <w:r w:rsidRPr="006B3C91">
        <w:rPr>
          <w:b/>
          <w:bCs/>
        </w:rPr>
        <w:t>Status la 31.12.2015</w:t>
      </w:r>
      <w:r w:rsidRPr="00375A13">
        <w:rPr>
          <w:bCs/>
        </w:rPr>
        <w:t xml:space="preserve">: S-a finalizat evaluarea tehnico-stiintifica. Afişare rezultate finale. </w:t>
      </w:r>
    </w:p>
    <w:p w:rsidR="003F636F" w:rsidRPr="00375A13" w:rsidRDefault="003F636F" w:rsidP="003F636F">
      <w:pPr>
        <w:numPr>
          <w:ilvl w:val="0"/>
          <w:numId w:val="30"/>
        </w:numPr>
        <w:spacing w:after="0" w:line="240" w:lineRule="auto"/>
        <w:jc w:val="both"/>
        <w:rPr>
          <w:bCs/>
        </w:rPr>
      </w:pPr>
      <w:r>
        <w:rPr>
          <w:bCs/>
        </w:rPr>
        <w:t>75 proiecte depuse, valoare AFN: 162.5 mil. Euro;</w:t>
      </w:r>
    </w:p>
    <w:p w:rsidR="003F636F" w:rsidRPr="00375A13" w:rsidRDefault="003F636F" w:rsidP="003F636F">
      <w:pPr>
        <w:numPr>
          <w:ilvl w:val="0"/>
          <w:numId w:val="30"/>
        </w:numPr>
        <w:spacing w:after="0" w:line="240" w:lineRule="auto"/>
        <w:jc w:val="both"/>
        <w:rPr>
          <w:bCs/>
        </w:rPr>
      </w:pPr>
      <w:r w:rsidRPr="00375A13">
        <w:rPr>
          <w:bCs/>
        </w:rPr>
        <w:t xml:space="preserve">74 proiecte selectate </w:t>
      </w:r>
      <w:r>
        <w:rPr>
          <w:bCs/>
        </w:rPr>
        <w:t>în această etapă, valoare AFN: 161.4 mil. Euro;</w:t>
      </w:r>
    </w:p>
    <w:p w:rsidR="003F636F" w:rsidRPr="00375A13" w:rsidRDefault="003F636F" w:rsidP="003F636F">
      <w:pPr>
        <w:numPr>
          <w:ilvl w:val="0"/>
          <w:numId w:val="30"/>
        </w:numPr>
        <w:spacing w:after="0" w:line="240" w:lineRule="auto"/>
        <w:jc w:val="both"/>
        <w:rPr>
          <w:bCs/>
        </w:rPr>
      </w:pPr>
      <w:r w:rsidRPr="00375A13">
        <w:rPr>
          <w:bCs/>
        </w:rPr>
        <w:t>47 proiecte care indeplinesc criteriile de selecţie şi au buget total e</w:t>
      </w:r>
      <w:r>
        <w:rPr>
          <w:bCs/>
        </w:rPr>
        <w:t>gal cu bugetul competiţiei 2015;</w:t>
      </w:r>
    </w:p>
    <w:p w:rsidR="003F636F" w:rsidRPr="006B3C91" w:rsidRDefault="003F636F" w:rsidP="003F636F">
      <w:pPr>
        <w:numPr>
          <w:ilvl w:val="0"/>
          <w:numId w:val="30"/>
        </w:numPr>
        <w:spacing w:after="0" w:line="240" w:lineRule="auto"/>
        <w:jc w:val="both"/>
        <w:rPr>
          <w:b/>
          <w:bCs/>
        </w:rPr>
      </w:pPr>
      <w:r w:rsidRPr="00375A13">
        <w:rPr>
          <w:bCs/>
        </w:rPr>
        <w:t>56 (26 universitati, 30 institute de cercetare) proiecte care indeplinesc criteriile de selectie, valoare AFN: 124.7 mil. Euro.</w:t>
      </w:r>
    </w:p>
    <w:p w:rsidR="003F636F" w:rsidRPr="00375A13" w:rsidRDefault="003F636F" w:rsidP="003F636F">
      <w:pPr>
        <w:spacing w:line="240" w:lineRule="auto"/>
        <w:jc w:val="both"/>
        <w:rPr>
          <w:b/>
          <w:bCs/>
        </w:rPr>
      </w:pPr>
      <w:r w:rsidRPr="00375A13">
        <w:rPr>
          <w:b/>
          <w:bCs/>
        </w:rPr>
        <w:t xml:space="preserve">S-a solicitat suplimentarea bugetului competiției 2015 cu suma de 20.1 mil. Euro pentru finanțarea tuturor proiectelor care îndeplinesc criteriile de selecție. </w:t>
      </w:r>
    </w:p>
    <w:p w:rsidR="003F636F" w:rsidRPr="006B3C91" w:rsidRDefault="003F636F" w:rsidP="003F636F">
      <w:pPr>
        <w:spacing w:after="0" w:line="240" w:lineRule="auto"/>
        <w:jc w:val="both"/>
        <w:rPr>
          <w:b/>
          <w:bCs/>
        </w:rPr>
      </w:pPr>
      <w:r w:rsidRPr="006B3C91">
        <w:rPr>
          <w:b/>
          <w:bCs/>
        </w:rPr>
        <w:t xml:space="preserve">Categorii de aplicați eligibili: </w:t>
      </w:r>
    </w:p>
    <w:p w:rsidR="003F636F" w:rsidRPr="00375A13" w:rsidRDefault="003F636F" w:rsidP="003F636F">
      <w:pPr>
        <w:spacing w:after="0" w:line="240" w:lineRule="auto"/>
        <w:jc w:val="both"/>
        <w:rPr>
          <w:bCs/>
        </w:rPr>
      </w:pPr>
      <w:r w:rsidRPr="00375A13">
        <w:rPr>
          <w:bCs/>
        </w:rPr>
        <w:t>S</w:t>
      </w:r>
      <w:r>
        <w:rPr>
          <w:bCs/>
        </w:rPr>
        <w:t xml:space="preserve">olicitantul este organizația de </w:t>
      </w:r>
      <w:r w:rsidRPr="00375A13">
        <w:rPr>
          <w:bCs/>
        </w:rPr>
        <w:t>cercetare, c</w:t>
      </w:r>
      <w:r>
        <w:rPr>
          <w:bCs/>
        </w:rPr>
        <w:t xml:space="preserve">are este o instituție de drept </w:t>
      </w:r>
      <w:r w:rsidRPr="00375A13">
        <w:rPr>
          <w:bCs/>
        </w:rPr>
        <w:t>public, cu obiect de activitate cercetarea-dezvoltarea</w:t>
      </w:r>
      <w:r w:rsidR="00EE4D21">
        <w:rPr>
          <w:bCs/>
        </w:rPr>
        <w:t xml:space="preserve"> </w:t>
      </w:r>
      <w:r w:rsidRPr="00375A13">
        <w:rPr>
          <w:bCs/>
        </w:rPr>
        <w:t>(CD), organizată în conformitate cu art. 7 din OG nr. 57/2002 privind cercetarea științifică și dezvoltarea tehnologică, aprobată prin Legea nr. 324/2003 cu modificările şi completările ulterioare și care respectă definiția organizației de cercetare conform Regul</w:t>
      </w:r>
      <w:r>
        <w:rPr>
          <w:bCs/>
        </w:rPr>
        <w:t xml:space="preserve">amentului (UE) nr. 651/2014 al </w:t>
      </w:r>
      <w:r w:rsidRPr="00375A13">
        <w:rPr>
          <w:bCs/>
        </w:rPr>
        <w:t>Comisiei (Regulament general de exceptare pe categorii de ajutoare).</w:t>
      </w:r>
    </w:p>
    <w:p w:rsidR="00D86788" w:rsidRDefault="00D86788"/>
    <w:tbl>
      <w:tblPr>
        <w:tblW w:w="6947" w:type="dxa"/>
        <w:jc w:val="center"/>
        <w:tblLayout w:type="fixed"/>
        <w:tblLook w:val="04A0" w:firstRow="1" w:lastRow="0" w:firstColumn="1" w:lastColumn="0" w:noHBand="0" w:noVBand="1"/>
      </w:tblPr>
      <w:tblGrid>
        <w:gridCol w:w="1277"/>
        <w:gridCol w:w="709"/>
        <w:gridCol w:w="708"/>
        <w:gridCol w:w="851"/>
        <w:gridCol w:w="850"/>
        <w:gridCol w:w="851"/>
        <w:gridCol w:w="850"/>
        <w:gridCol w:w="851"/>
      </w:tblGrid>
      <w:tr w:rsidR="003F636F" w:rsidRPr="00375A13" w:rsidTr="003F636F">
        <w:trPr>
          <w:trHeight w:val="154"/>
          <w:jc w:val="center"/>
        </w:trPr>
        <w:tc>
          <w:tcPr>
            <w:tcW w:w="1277" w:type="dxa"/>
            <w:tcBorders>
              <w:top w:val="nil"/>
              <w:left w:val="nil"/>
              <w:bottom w:val="nil"/>
              <w:right w:val="nil"/>
            </w:tcBorders>
            <w:shd w:val="clear" w:color="auto" w:fill="auto"/>
            <w:noWrap/>
            <w:vAlign w:val="bottom"/>
            <w:hideMark/>
          </w:tcPr>
          <w:p w:rsidR="003F636F" w:rsidRPr="00375A13" w:rsidRDefault="003F636F" w:rsidP="00970E00">
            <w:pPr>
              <w:spacing w:line="240" w:lineRule="auto"/>
              <w:rPr>
                <w:sz w:val="18"/>
                <w:szCs w:val="18"/>
                <w:lang w:eastAsia="ro-RO"/>
              </w:rPr>
            </w:pPr>
            <w:r w:rsidRPr="00375A13">
              <w:rPr>
                <w:bCs/>
              </w:rPr>
              <w:br w:type="page"/>
            </w:r>
          </w:p>
        </w:tc>
        <w:tc>
          <w:tcPr>
            <w:tcW w:w="5670" w:type="dxa"/>
            <w:gridSpan w:val="7"/>
            <w:tcBorders>
              <w:top w:val="single" w:sz="4" w:space="0" w:color="auto"/>
              <w:left w:val="single" w:sz="4" w:space="0" w:color="auto"/>
              <w:bottom w:val="nil"/>
              <w:right w:val="single" w:sz="4" w:space="0" w:color="000000"/>
            </w:tcBorders>
            <w:shd w:val="clear" w:color="auto" w:fill="auto"/>
            <w:noWrap/>
            <w:vAlign w:val="bottom"/>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Secţiunea G</w:t>
            </w:r>
          </w:p>
        </w:tc>
      </w:tr>
      <w:tr w:rsidR="003F636F" w:rsidRPr="00375A13" w:rsidTr="003F636F">
        <w:trPr>
          <w:trHeight w:val="154"/>
          <w:jc w:val="center"/>
        </w:trPr>
        <w:tc>
          <w:tcPr>
            <w:tcW w:w="1277" w:type="dxa"/>
            <w:tcBorders>
              <w:top w:val="nil"/>
              <w:left w:val="nil"/>
              <w:bottom w:val="nil"/>
              <w:right w:val="nil"/>
            </w:tcBorders>
            <w:shd w:val="clear" w:color="auto" w:fill="auto"/>
            <w:noWrap/>
            <w:vAlign w:val="bottom"/>
            <w:hideMark/>
          </w:tcPr>
          <w:p w:rsidR="003F636F" w:rsidRPr="00375A13" w:rsidRDefault="003F636F" w:rsidP="00970E00">
            <w:pPr>
              <w:spacing w:line="240" w:lineRule="auto"/>
              <w:jc w:val="center"/>
              <w:rPr>
                <w:rFonts w:ascii="Calibri" w:hAnsi="Calibri"/>
                <w:color w:val="000000"/>
                <w:sz w:val="18"/>
                <w:szCs w:val="18"/>
                <w:lang w:eastAsia="ro-RO"/>
              </w:rPr>
            </w:pPr>
          </w:p>
        </w:tc>
        <w:tc>
          <w:tcPr>
            <w:tcW w:w="5670" w:type="dxa"/>
            <w:gridSpan w:val="7"/>
            <w:tcBorders>
              <w:top w:val="nil"/>
              <w:left w:val="single" w:sz="4" w:space="0" w:color="auto"/>
              <w:bottom w:val="single" w:sz="4" w:space="0" w:color="auto"/>
              <w:right w:val="single" w:sz="4" w:space="0" w:color="000000"/>
            </w:tcBorders>
            <w:shd w:val="clear" w:color="auto" w:fill="auto"/>
            <w:noWrap/>
            <w:vAlign w:val="bottom"/>
            <w:hideMark/>
          </w:tcPr>
          <w:p w:rsidR="003F636F" w:rsidRPr="00375A13" w:rsidRDefault="00EE4D21" w:rsidP="00EE4D21">
            <w:pPr>
              <w:spacing w:line="240" w:lineRule="auto"/>
              <w:jc w:val="center"/>
              <w:rPr>
                <w:rFonts w:ascii="Calibri" w:hAnsi="Calibri"/>
                <w:b/>
                <w:color w:val="000000"/>
                <w:sz w:val="18"/>
                <w:szCs w:val="18"/>
                <w:lang w:eastAsia="ro-RO"/>
              </w:rPr>
            </w:pPr>
            <w:r>
              <w:rPr>
                <w:rFonts w:ascii="Calibri" w:hAnsi="Calibri"/>
                <w:b/>
                <w:color w:val="000000"/>
                <w:sz w:val="18"/>
                <w:szCs w:val="18"/>
                <w:lang w:eastAsia="ro-RO"/>
              </w:rPr>
              <w:t xml:space="preserve">         </w:t>
            </w:r>
            <w:r w:rsidR="003F636F" w:rsidRPr="00375A13">
              <w:rPr>
                <w:rFonts w:ascii="Calibri" w:hAnsi="Calibri"/>
                <w:b/>
                <w:color w:val="000000"/>
                <w:sz w:val="18"/>
                <w:szCs w:val="18"/>
                <w:lang w:eastAsia="ro-RO"/>
              </w:rPr>
              <w:t xml:space="preserve">   FEDR+BS                                                  (mil. EUR)</w:t>
            </w:r>
          </w:p>
        </w:tc>
      </w:tr>
      <w:tr w:rsidR="003F636F" w:rsidRPr="00375A13" w:rsidTr="00970E00">
        <w:trPr>
          <w:trHeight w:val="747"/>
          <w:jc w:val="center"/>
        </w:trPr>
        <w:tc>
          <w:tcPr>
            <w:tcW w:w="1277" w:type="dxa"/>
            <w:vMerge w:val="restart"/>
            <w:tcBorders>
              <w:top w:val="single" w:sz="4" w:space="0" w:color="auto"/>
              <w:left w:val="single" w:sz="4" w:space="0" w:color="auto"/>
              <w:right w:val="single" w:sz="4" w:space="0" w:color="auto"/>
            </w:tcBorders>
            <w:shd w:val="clear" w:color="auto" w:fill="auto"/>
            <w:vAlign w:val="center"/>
            <w:hideMark/>
          </w:tcPr>
          <w:p w:rsidR="003F636F" w:rsidRPr="00375A13" w:rsidRDefault="003F636F" w:rsidP="00970E00">
            <w:pPr>
              <w:spacing w:line="240" w:lineRule="auto"/>
              <w:rPr>
                <w:rFonts w:ascii="Calibri" w:hAnsi="Calibri"/>
                <w:b/>
                <w:color w:val="000000"/>
                <w:sz w:val="18"/>
                <w:szCs w:val="18"/>
                <w:lang w:eastAsia="ro-RO"/>
              </w:rPr>
            </w:pPr>
            <w:r w:rsidRPr="00375A13">
              <w:rPr>
                <w:rFonts w:ascii="Calibri" w:hAnsi="Calibri"/>
                <w:b/>
                <w:color w:val="000000"/>
                <w:sz w:val="18"/>
                <w:szCs w:val="18"/>
                <w:lang w:eastAsia="ro-RO"/>
              </w:rPr>
              <w:t>Beneficiar eligibil</w:t>
            </w:r>
          </w:p>
        </w:tc>
        <w:tc>
          <w:tcPr>
            <w:tcW w:w="1417" w:type="dxa"/>
            <w:gridSpan w:val="2"/>
            <w:tcBorders>
              <w:top w:val="nil"/>
              <w:left w:val="nil"/>
              <w:bottom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Buget total alocat</w:t>
            </w:r>
          </w:p>
          <w:p w:rsidR="003F636F" w:rsidRPr="00375A13" w:rsidRDefault="003F636F" w:rsidP="00970E00">
            <w:pPr>
              <w:spacing w:line="240" w:lineRule="auto"/>
              <w:jc w:val="center"/>
              <w:rPr>
                <w:rFonts w:ascii="Calibri" w:hAnsi="Calibri"/>
                <w:b/>
                <w:color w:val="000000"/>
                <w:sz w:val="18"/>
                <w:szCs w:val="18"/>
                <w:lang w:eastAsia="ro-RO"/>
              </w:rPr>
            </w:pPr>
          </w:p>
        </w:tc>
        <w:tc>
          <w:tcPr>
            <w:tcW w:w="851" w:type="dxa"/>
            <w:tcBorders>
              <w:top w:val="nil"/>
              <w:left w:val="nil"/>
              <w:bottom w:val="single" w:sz="4" w:space="0" w:color="auto"/>
              <w:right w:val="single" w:sz="4" w:space="0" w:color="auto"/>
            </w:tcBorders>
            <w:shd w:val="clear" w:color="auto" w:fill="auto"/>
            <w:vAlign w:val="center"/>
            <w:hideMark/>
          </w:tcPr>
          <w:p w:rsidR="003F636F" w:rsidRPr="00375A13" w:rsidRDefault="003F636F" w:rsidP="00970E00">
            <w:pPr>
              <w:spacing w:line="240" w:lineRule="auto"/>
              <w:rPr>
                <w:rFonts w:ascii="Calibri" w:hAnsi="Calibri"/>
                <w:b/>
                <w:color w:val="000000"/>
                <w:sz w:val="18"/>
                <w:szCs w:val="18"/>
                <w:lang w:eastAsia="ro-RO"/>
              </w:rPr>
            </w:pPr>
            <w:r w:rsidRPr="00375A13">
              <w:rPr>
                <w:rFonts w:ascii="Calibri" w:hAnsi="Calibri"/>
                <w:b/>
                <w:color w:val="000000"/>
                <w:sz w:val="18"/>
                <w:szCs w:val="18"/>
                <w:lang w:eastAsia="ro-RO"/>
              </w:rPr>
              <w:t xml:space="preserve">Buget proiecte depuse </w:t>
            </w:r>
          </w:p>
        </w:tc>
        <w:tc>
          <w:tcPr>
            <w:tcW w:w="1701" w:type="dxa"/>
            <w:gridSpan w:val="2"/>
            <w:tcBorders>
              <w:top w:val="nil"/>
              <w:left w:val="nil"/>
              <w:bottom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Valoare proiecte eligibile peste prag minim cf. ghid.</w:t>
            </w:r>
          </w:p>
        </w:tc>
        <w:tc>
          <w:tcPr>
            <w:tcW w:w="1701" w:type="dxa"/>
            <w:gridSpan w:val="2"/>
            <w:tcBorders>
              <w:top w:val="nil"/>
              <w:left w:val="nil"/>
              <w:bottom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b/>
                <w:color w:val="000000"/>
                <w:sz w:val="18"/>
                <w:szCs w:val="18"/>
                <w:lang w:eastAsia="ro-RO"/>
              </w:rPr>
            </w:pPr>
            <w:r w:rsidRPr="00375A13">
              <w:rPr>
                <w:rFonts w:ascii="Calibri" w:hAnsi="Calibri"/>
                <w:b/>
                <w:color w:val="000000"/>
                <w:sz w:val="18"/>
                <w:szCs w:val="18"/>
                <w:lang w:eastAsia="ro-RO"/>
              </w:rPr>
              <w:t>Valoare proiecte selectate în limita bugetului alocat 2015</w:t>
            </w:r>
          </w:p>
        </w:tc>
      </w:tr>
      <w:tr w:rsidR="003F636F" w:rsidRPr="00375A13" w:rsidTr="00970E00">
        <w:trPr>
          <w:trHeight w:val="72"/>
          <w:jc w:val="center"/>
        </w:trPr>
        <w:tc>
          <w:tcPr>
            <w:tcW w:w="1277" w:type="dxa"/>
            <w:vMerge/>
            <w:tcBorders>
              <w:left w:val="single" w:sz="4" w:space="0" w:color="auto"/>
              <w:bottom w:val="single" w:sz="4" w:space="0" w:color="auto"/>
              <w:right w:val="single" w:sz="4" w:space="0" w:color="auto"/>
            </w:tcBorders>
            <w:shd w:val="clear" w:color="auto" w:fill="auto"/>
            <w:vAlign w:val="center"/>
          </w:tcPr>
          <w:p w:rsidR="003F636F" w:rsidRPr="00375A13" w:rsidRDefault="003F636F" w:rsidP="00970E00">
            <w:pPr>
              <w:spacing w:line="240" w:lineRule="auto"/>
              <w:rPr>
                <w:rFonts w:ascii="Calibri" w:hAnsi="Calibri"/>
                <w:color w:val="000000"/>
                <w:sz w:val="18"/>
                <w:szCs w:val="18"/>
                <w:lang w:eastAsia="ro-RO"/>
              </w:rPr>
            </w:pPr>
          </w:p>
        </w:tc>
        <w:tc>
          <w:tcPr>
            <w:tcW w:w="1417" w:type="dxa"/>
            <w:gridSpan w:val="2"/>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(a) = (a1)+(a2)</w:t>
            </w:r>
          </w:p>
        </w:tc>
        <w:tc>
          <w:tcPr>
            <w:tcW w:w="851" w:type="dxa"/>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(b)</w:t>
            </w:r>
          </w:p>
        </w:tc>
        <w:tc>
          <w:tcPr>
            <w:tcW w:w="1701" w:type="dxa"/>
            <w:gridSpan w:val="2"/>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(c)</w:t>
            </w:r>
          </w:p>
        </w:tc>
        <w:tc>
          <w:tcPr>
            <w:tcW w:w="1701" w:type="dxa"/>
            <w:gridSpan w:val="2"/>
            <w:tcBorders>
              <w:top w:val="nil"/>
              <w:left w:val="nil"/>
              <w:bottom w:val="single" w:sz="4" w:space="0" w:color="auto"/>
              <w:right w:val="single" w:sz="4" w:space="0" w:color="auto"/>
            </w:tcBorders>
            <w:shd w:val="clear" w:color="auto" w:fill="auto"/>
            <w:vAlign w:val="center"/>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(d)</w:t>
            </w:r>
          </w:p>
        </w:tc>
      </w:tr>
      <w:tr w:rsidR="003F636F" w:rsidRPr="00375A13" w:rsidTr="00970E00">
        <w:trPr>
          <w:trHeight w:val="397"/>
          <w:jc w:val="center"/>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Întreprinderi din sectorul CDI</w:t>
            </w:r>
          </w:p>
        </w:tc>
        <w:tc>
          <w:tcPr>
            <w:tcW w:w="1417" w:type="dxa"/>
            <w:gridSpan w:val="2"/>
            <w:vMerge w:val="restart"/>
            <w:tcBorders>
              <w:top w:val="single" w:sz="4" w:space="0" w:color="auto"/>
              <w:left w:val="nil"/>
              <w:bottom w:val="single" w:sz="4" w:space="0" w:color="000000"/>
              <w:right w:val="single" w:sz="4" w:space="0" w:color="000000"/>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179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162.5</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124.7</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107.4</w:t>
            </w:r>
          </w:p>
        </w:tc>
      </w:tr>
      <w:tr w:rsidR="003F636F" w:rsidRPr="00375A13" w:rsidTr="00970E00">
        <w:trPr>
          <w:trHeight w:val="397"/>
          <w:jc w:val="center"/>
        </w:trPr>
        <w:tc>
          <w:tcPr>
            <w:tcW w:w="1277"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1417" w:type="dxa"/>
            <w:gridSpan w:val="2"/>
            <w:vMerge/>
            <w:tcBorders>
              <w:top w:val="single" w:sz="4" w:space="0" w:color="auto"/>
              <w:left w:val="nil"/>
              <w:bottom w:val="single" w:sz="4" w:space="0" w:color="000000"/>
              <w:right w:val="single" w:sz="4" w:space="0" w:color="000000"/>
            </w:tcBorders>
            <w:shd w:val="clear" w:color="auto" w:fill="FFFF00"/>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851" w:type="dxa"/>
            <w:vMerge/>
            <w:tcBorders>
              <w:top w:val="nil"/>
              <w:left w:val="single" w:sz="4" w:space="0" w:color="auto"/>
              <w:bottom w:val="single" w:sz="4" w:space="0" w:color="000000"/>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3F636F" w:rsidRPr="00375A13" w:rsidRDefault="003F636F" w:rsidP="00970E00">
            <w:pPr>
              <w:spacing w:line="240" w:lineRule="auto"/>
              <w:rPr>
                <w:rFonts w:ascii="Calibri" w:hAnsi="Calibri"/>
                <w:color w:val="000000"/>
                <w:sz w:val="18"/>
                <w:szCs w:val="18"/>
                <w:lang w:eastAsia="ro-RO"/>
              </w:rPr>
            </w:pPr>
          </w:p>
        </w:tc>
      </w:tr>
      <w:tr w:rsidR="003F636F" w:rsidRPr="00375A13" w:rsidTr="00970E00">
        <w:trPr>
          <w:cantSplit/>
          <w:trHeight w:val="1134"/>
          <w:jc w:val="center"/>
        </w:trPr>
        <w:tc>
          <w:tcPr>
            <w:tcW w:w="1277"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709"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An 2015</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(a1)</w:t>
            </w:r>
          </w:p>
        </w:tc>
        <w:tc>
          <w:tcPr>
            <w:tcW w:w="708"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An 2016</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(a2)</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 depuse</w:t>
            </w:r>
          </w:p>
        </w:tc>
        <w:tc>
          <w:tcPr>
            <w:tcW w:w="850"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 peste prag min</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Prag min.</w:t>
            </w:r>
          </w:p>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(puncte)</w:t>
            </w:r>
          </w:p>
        </w:tc>
        <w:tc>
          <w:tcPr>
            <w:tcW w:w="850"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Nr. Proiecte în limita buget alocat</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b/>
                <w:color w:val="000000"/>
                <w:sz w:val="16"/>
                <w:szCs w:val="16"/>
                <w:lang w:eastAsia="ro-RO"/>
              </w:rPr>
            </w:pPr>
            <w:r w:rsidRPr="00375A13">
              <w:rPr>
                <w:rFonts w:ascii="Calibri" w:hAnsi="Calibri"/>
                <w:b/>
                <w:color w:val="000000"/>
                <w:sz w:val="16"/>
                <w:szCs w:val="16"/>
                <w:lang w:eastAsia="ro-RO"/>
              </w:rPr>
              <w:t>Prag (puncte)</w:t>
            </w:r>
          </w:p>
        </w:tc>
      </w:tr>
      <w:tr w:rsidR="003F636F" w:rsidRPr="00375A13" w:rsidTr="00970E00">
        <w:trPr>
          <w:trHeight w:val="154"/>
          <w:jc w:val="center"/>
        </w:trPr>
        <w:tc>
          <w:tcPr>
            <w:tcW w:w="1277"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709" w:type="dxa"/>
            <w:tcBorders>
              <w:top w:val="nil"/>
              <w:left w:val="nil"/>
              <w:bottom w:val="single" w:sz="4" w:space="0" w:color="auto"/>
              <w:right w:val="single" w:sz="4" w:space="0" w:color="auto"/>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107.4</w:t>
            </w:r>
          </w:p>
        </w:tc>
        <w:tc>
          <w:tcPr>
            <w:tcW w:w="708" w:type="dxa"/>
            <w:tcBorders>
              <w:top w:val="nil"/>
              <w:left w:val="nil"/>
              <w:bottom w:val="single" w:sz="4" w:space="0" w:color="auto"/>
              <w:right w:val="single" w:sz="4" w:space="0" w:color="auto"/>
            </w:tcBorders>
            <w:shd w:val="clear" w:color="auto" w:fill="FFFF00"/>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71.6</w:t>
            </w:r>
          </w:p>
        </w:tc>
        <w:tc>
          <w:tcPr>
            <w:tcW w:w="851"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75</w:t>
            </w:r>
          </w:p>
        </w:tc>
        <w:tc>
          <w:tcPr>
            <w:tcW w:w="850"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56</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&gt;=60</w:t>
            </w:r>
          </w:p>
        </w:tc>
        <w:tc>
          <w:tcPr>
            <w:tcW w:w="850" w:type="dxa"/>
            <w:tcBorders>
              <w:top w:val="nil"/>
              <w:left w:val="nil"/>
              <w:bottom w:val="single" w:sz="4" w:space="0" w:color="auto"/>
              <w:right w:val="single" w:sz="4" w:space="0" w:color="auto"/>
            </w:tcBorders>
            <w:shd w:val="clear" w:color="auto" w:fill="FFD966" w:themeFill="accent4" w:themeFillTint="99"/>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47</w:t>
            </w:r>
          </w:p>
        </w:tc>
        <w:tc>
          <w:tcPr>
            <w:tcW w:w="851" w:type="dxa"/>
            <w:tcBorders>
              <w:top w:val="nil"/>
              <w:left w:val="nil"/>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&gt;=60</w:t>
            </w:r>
          </w:p>
        </w:tc>
      </w:tr>
      <w:tr w:rsidR="003F636F" w:rsidRPr="00375A13" w:rsidTr="00970E00">
        <w:trPr>
          <w:trHeight w:val="116"/>
          <w:jc w:val="center"/>
        </w:trPr>
        <w:tc>
          <w:tcPr>
            <w:tcW w:w="1277"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709" w:type="dxa"/>
            <w:tcBorders>
              <w:top w:val="single" w:sz="4" w:space="0" w:color="auto"/>
              <w:left w:val="single" w:sz="4" w:space="0" w:color="auto"/>
              <w:bottom w:val="single" w:sz="4" w:space="0" w:color="auto"/>
            </w:tcBorders>
            <w:shd w:val="clear" w:color="auto" w:fill="BDD6EE" w:themeFill="accent1" w:themeFillTint="66"/>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p>
        </w:tc>
        <w:tc>
          <w:tcPr>
            <w:tcW w:w="708" w:type="dxa"/>
            <w:tcBorders>
              <w:top w:val="single" w:sz="4" w:space="0" w:color="auto"/>
              <w:bottom w:val="single" w:sz="4" w:space="0" w:color="auto"/>
            </w:tcBorders>
            <w:shd w:val="clear" w:color="auto" w:fill="BDD6EE" w:themeFill="accent1" w:themeFillTint="66"/>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 </w:t>
            </w:r>
          </w:p>
        </w:tc>
        <w:tc>
          <w:tcPr>
            <w:tcW w:w="851" w:type="dxa"/>
            <w:tcBorders>
              <w:top w:val="single" w:sz="4" w:space="0" w:color="auto"/>
              <w:left w:val="nil"/>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850"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851"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850"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c>
          <w:tcPr>
            <w:tcW w:w="851" w:type="dxa"/>
            <w:tcBorders>
              <w:top w:val="single" w:sz="4" w:space="0" w:color="auto"/>
              <w:bottom w:val="single" w:sz="4" w:space="0" w:color="auto"/>
            </w:tcBorders>
            <w:shd w:val="clear" w:color="auto" w:fill="BDD6EE" w:themeFill="accent1" w:themeFillTint="66"/>
            <w:noWrap/>
            <w:vAlign w:val="bottom"/>
            <w:hideMark/>
          </w:tcPr>
          <w:p w:rsidR="003F636F" w:rsidRPr="00375A13" w:rsidRDefault="003F636F" w:rsidP="00970E00">
            <w:pPr>
              <w:spacing w:line="240" w:lineRule="auto"/>
              <w:rPr>
                <w:rFonts w:ascii="Calibri" w:hAnsi="Calibri"/>
                <w:color w:val="000000"/>
                <w:sz w:val="18"/>
                <w:szCs w:val="18"/>
                <w:lang w:eastAsia="ro-RO"/>
              </w:rPr>
            </w:pPr>
            <w:r w:rsidRPr="00375A13">
              <w:rPr>
                <w:rFonts w:ascii="Calibri" w:hAnsi="Calibri"/>
                <w:color w:val="000000"/>
                <w:sz w:val="18"/>
                <w:szCs w:val="18"/>
                <w:lang w:eastAsia="ro-RO"/>
              </w:rPr>
              <w:t> </w:t>
            </w:r>
          </w:p>
        </w:tc>
      </w:tr>
      <w:tr w:rsidR="003F636F" w:rsidRPr="00375A13" w:rsidTr="00970E00">
        <w:trPr>
          <w:trHeight w:val="486"/>
          <w:jc w:val="center"/>
        </w:trPr>
        <w:tc>
          <w:tcPr>
            <w:tcW w:w="1277" w:type="dxa"/>
            <w:vMerge/>
            <w:tcBorders>
              <w:top w:val="nil"/>
              <w:left w:val="single" w:sz="4" w:space="0" w:color="auto"/>
              <w:bottom w:val="single" w:sz="4" w:space="0" w:color="auto"/>
              <w:right w:val="single" w:sz="4" w:space="0" w:color="auto"/>
            </w:tcBorders>
            <w:vAlign w:val="center"/>
            <w:hideMark/>
          </w:tcPr>
          <w:p w:rsidR="003F636F" w:rsidRPr="00375A13" w:rsidRDefault="003F636F" w:rsidP="00970E00">
            <w:pPr>
              <w:spacing w:line="240" w:lineRule="auto"/>
              <w:rPr>
                <w:rFonts w:ascii="Calibri" w:hAnsi="Calibri"/>
                <w:color w:val="000000"/>
                <w:sz w:val="18"/>
                <w:szCs w:val="18"/>
                <w:lang w:eastAsia="ro-RO"/>
              </w:rPr>
            </w:pPr>
          </w:p>
        </w:tc>
        <w:tc>
          <w:tcPr>
            <w:tcW w:w="1417" w:type="dxa"/>
            <w:gridSpan w:val="2"/>
            <w:tcBorders>
              <w:top w:val="single" w:sz="4" w:space="0" w:color="auto"/>
              <w:left w:val="nil"/>
              <w:bottom w:val="single" w:sz="4" w:space="0" w:color="auto"/>
              <w:right w:val="nil"/>
            </w:tcBorders>
            <w:shd w:val="clear" w:color="auto" w:fill="auto"/>
            <w:noWrap/>
            <w:vAlign w:val="bottom"/>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Procent din buget alocat 2015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151%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116%</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636F" w:rsidRPr="00375A13" w:rsidRDefault="003F636F" w:rsidP="00970E00">
            <w:pPr>
              <w:spacing w:line="240" w:lineRule="auto"/>
              <w:jc w:val="center"/>
              <w:rPr>
                <w:rFonts w:ascii="Calibri" w:hAnsi="Calibri"/>
                <w:color w:val="000000"/>
                <w:sz w:val="18"/>
                <w:szCs w:val="18"/>
                <w:lang w:eastAsia="ro-RO"/>
              </w:rPr>
            </w:pPr>
            <w:r w:rsidRPr="00375A13">
              <w:rPr>
                <w:rFonts w:ascii="Calibri" w:hAnsi="Calibri"/>
                <w:color w:val="000000"/>
                <w:sz w:val="18"/>
                <w:szCs w:val="18"/>
                <w:lang w:eastAsia="ro-RO"/>
              </w:rPr>
              <w:t>100%</w:t>
            </w:r>
          </w:p>
        </w:tc>
      </w:tr>
    </w:tbl>
    <w:p w:rsidR="003F636F" w:rsidRDefault="003F636F" w:rsidP="003F636F">
      <w:pPr>
        <w:jc w:val="both"/>
        <w:rPr>
          <w:b/>
        </w:rPr>
      </w:pPr>
    </w:p>
    <w:p w:rsidR="003F636F" w:rsidRPr="003F636F" w:rsidRDefault="003F636F" w:rsidP="003F636F">
      <w:pPr>
        <w:jc w:val="both"/>
        <w:rPr>
          <w:rFonts w:eastAsia="Arial Unicode MS" w:cs="Times New Roman"/>
          <w:b/>
          <w:color w:val="00B0F0"/>
        </w:rPr>
      </w:pPr>
      <w:r w:rsidRPr="003F636F">
        <w:rPr>
          <w:rFonts w:eastAsia="Arial Unicode MS" w:cs="Times New Roman"/>
          <w:b/>
          <w:color w:val="00B0F0"/>
        </w:rPr>
        <w:t>AP2 - Tehnologia informaţiei şi comunicaţiilor (TIC)</w:t>
      </w:r>
    </w:p>
    <w:p w:rsidR="003F636F" w:rsidRPr="00375A13" w:rsidRDefault="003F636F" w:rsidP="003F636F">
      <w:pPr>
        <w:spacing w:line="240" w:lineRule="auto"/>
        <w:jc w:val="both"/>
      </w:pPr>
      <w:r w:rsidRPr="00375A13">
        <w:t>De la data aprobării Programului Operaţional Competitivitate, abordarea implementării Axei 2 s-a axat pe doua teme principale, respectiv pregătirea separată a apelurilor pentru beneficiarii privaţi şi pentru beneficiarii publici.</w:t>
      </w:r>
    </w:p>
    <w:p w:rsidR="003F636F" w:rsidRPr="00375A13" w:rsidRDefault="003F636F" w:rsidP="003F636F">
      <w:pPr>
        <w:spacing w:line="240" w:lineRule="auto"/>
        <w:jc w:val="both"/>
      </w:pPr>
      <w:r w:rsidRPr="00375A13">
        <w:rPr>
          <w:u w:val="single"/>
        </w:rPr>
        <w:t>Beneficiari privaţi:</w:t>
      </w:r>
    </w:p>
    <w:p w:rsidR="003F636F" w:rsidRPr="00375A13" w:rsidRDefault="003F636F" w:rsidP="003F636F">
      <w:pPr>
        <w:spacing w:line="240" w:lineRule="auto"/>
        <w:jc w:val="both"/>
      </w:pPr>
      <w:r w:rsidRPr="00375A13">
        <w:t>Au fost aprobate de către Consiliul Concurenţei cele două scheme de ajutor aferente acţiunii din POC care are ca scop sprijinirea creşterii valorii adăugate generate de sectorul TIC şi a inovarii în domeniu prin dezvoltarea de clustere. Cele două scheme sunt: schema de ajutor de stat (aprobată prin ordi</w:t>
      </w:r>
      <w:r>
        <w:t xml:space="preserve">n MCSI 436/20.08.2015 şi ordin </w:t>
      </w:r>
      <w:r w:rsidRPr="00375A13">
        <w:t>MCSI 517/19.10.2015</w:t>
      </w:r>
      <w:r>
        <w:t>) şi schema de minimis (aprobată</w:t>
      </w:r>
      <w:r w:rsidRPr="00375A13">
        <w:t xml:space="preserve"> prin ordin MCSI 435/20.08.2015 şi ordin MCSI 518/19.10.2015). Ghidul solicitantului a fost deschis în data de 02.11.2015, iar depunerea proiectelor s-a prelungit până la data de 29 Februarie 2016. Este primul apel deschis de OIPSI cu depunerea integrala a proiectelor in format electronic.</w:t>
      </w:r>
    </w:p>
    <w:p w:rsidR="003F636F" w:rsidRPr="00375A13" w:rsidRDefault="003F636F" w:rsidP="003F636F">
      <w:pPr>
        <w:spacing w:line="240" w:lineRule="auto"/>
        <w:jc w:val="both"/>
        <w:rPr>
          <w:u w:val="single"/>
        </w:rPr>
      </w:pPr>
      <w:r w:rsidRPr="00375A13">
        <w:rPr>
          <w:u w:val="single"/>
        </w:rPr>
        <w:t>Beneficiari publici:</w:t>
      </w:r>
    </w:p>
    <w:p w:rsidR="003F636F" w:rsidRPr="00375A13" w:rsidRDefault="003F636F" w:rsidP="003F636F">
      <w:pPr>
        <w:spacing w:line="240" w:lineRule="auto"/>
        <w:jc w:val="both"/>
      </w:pPr>
      <w:r w:rsidRPr="00375A13">
        <w:t>Ghidul general pentru toţi beneficiarii publici a f</w:t>
      </w:r>
      <w:r>
        <w:t>ost postat în consultare publică</w:t>
      </w:r>
      <w:r w:rsidRPr="00375A13">
        <w:t xml:space="preserve"> în perioada 01-15.10.2015.</w:t>
      </w:r>
    </w:p>
    <w:p w:rsidR="003F636F" w:rsidRPr="00375A13" w:rsidRDefault="003F636F" w:rsidP="003F636F">
      <w:pPr>
        <w:spacing w:line="240" w:lineRule="auto"/>
        <w:jc w:val="both"/>
        <w:rPr>
          <w:b/>
          <w:i/>
          <w:u w:val="single"/>
        </w:rPr>
      </w:pPr>
      <w:r w:rsidRPr="00375A13">
        <w:rPr>
          <w:b/>
          <w:i/>
          <w:u w:val="single"/>
        </w:rPr>
        <w:t>Acțiunea 2.1.1: Îmbunătățirea infrastructurii în bandă largă și a accesului la internet. Buget: 117.6 mil. Euro.</w:t>
      </w:r>
    </w:p>
    <w:p w:rsidR="003F636F" w:rsidRPr="007B11FB" w:rsidRDefault="003F636F" w:rsidP="003F636F">
      <w:pPr>
        <w:spacing w:line="240" w:lineRule="auto"/>
        <w:jc w:val="both"/>
      </w:pPr>
      <w:r w:rsidRPr="00375A13">
        <w:rPr>
          <w:b/>
        </w:rPr>
        <w:t>Obiective:</w:t>
      </w:r>
      <w:r>
        <w:t xml:space="preserve"> </w:t>
      </w:r>
      <w:r w:rsidRPr="00DC2E82">
        <w:rPr>
          <w:i/>
        </w:rPr>
        <w:t>Obiectivul general de aplicare a acestor măsuri este de a asigura dezvoltarea infrastructurii şi accesul la aceasta, pentru a permite utilizarea serviciilor TIC.</w:t>
      </w:r>
      <w:r w:rsidRPr="007B11FB">
        <w:t xml:space="preserve"> Introducerea conexiunii de tip NGA va oferi acces la internet pentru echipamente moderne TIC, precum şi utilizarea de servicii publice online sofisticate într-un mod uniform din punct de vedere geografic. În afara accesului tip NGA, este importantă dezvoltarea reţelelor de generaţie viitoare (NGN) la nivel naţional;</w:t>
      </w:r>
    </w:p>
    <w:p w:rsidR="003F636F" w:rsidRPr="00375A13" w:rsidRDefault="003F636F" w:rsidP="003F636F">
      <w:pPr>
        <w:numPr>
          <w:ilvl w:val="0"/>
          <w:numId w:val="48"/>
        </w:numPr>
        <w:spacing w:line="240" w:lineRule="auto"/>
        <w:jc w:val="both"/>
      </w:pPr>
      <w:r w:rsidRPr="00375A13">
        <w:t>În vederea lansării apelului de proiecte trebuie finalizate urmatoarele etape: 1. Finalizare proiect RONET</w:t>
      </w:r>
      <w:r>
        <w:t xml:space="preserve"> (Faza 2- </w:t>
      </w:r>
      <w:r w:rsidRPr="00375A13">
        <w:t xml:space="preserve">va fi finanţată prin POC 2014-2020: 53,8 Mil. Euro); 2. Primire rezultate studiu; 3. </w:t>
      </w:r>
      <w:r w:rsidR="00357C20">
        <w:t>Î</w:t>
      </w:r>
      <w:r w:rsidRPr="00375A13">
        <w:t>nchidere sondaj operatori privaţi de bandă largă corelat cu harta NGN.</w:t>
      </w:r>
    </w:p>
    <w:p w:rsidR="003F636F" w:rsidRPr="00375A13" w:rsidRDefault="003F636F" w:rsidP="003F636F">
      <w:pPr>
        <w:spacing w:line="240" w:lineRule="auto"/>
        <w:jc w:val="both"/>
        <w:rPr>
          <w:b/>
          <w:i/>
          <w:u w:val="single"/>
        </w:rPr>
      </w:pPr>
      <w:r w:rsidRPr="00375A13">
        <w:rPr>
          <w:b/>
          <w:i/>
          <w:u w:val="single"/>
        </w:rPr>
        <w:t>Acțiunea 2.2.1: Sprijinirea creșterii valorii adăugate generate de sectorul TIC și a inovării în domeniu prin dezvoltarea de clustere. Buget: 59.7 mil. Euro.</w:t>
      </w:r>
    </w:p>
    <w:p w:rsidR="003F636F" w:rsidRDefault="003F636F" w:rsidP="003F636F">
      <w:pPr>
        <w:spacing w:after="0" w:line="240" w:lineRule="auto"/>
        <w:jc w:val="both"/>
      </w:pPr>
      <w:r w:rsidRPr="00375A13">
        <w:rPr>
          <w:b/>
        </w:rPr>
        <w:t>Obiectiv</w:t>
      </w:r>
      <w:r w:rsidRPr="00375A13">
        <w:t>: Creşterea contribuţiei sectorului TIC pentru competitivitatea economică</w:t>
      </w:r>
    </w:p>
    <w:p w:rsidR="003F636F" w:rsidRPr="00375A13" w:rsidRDefault="003F636F" w:rsidP="003F636F">
      <w:pPr>
        <w:spacing w:after="0" w:line="240" w:lineRule="auto"/>
        <w:jc w:val="both"/>
      </w:pPr>
    </w:p>
    <w:p w:rsidR="003F636F" w:rsidRPr="00375A13" w:rsidRDefault="003F636F" w:rsidP="003F636F">
      <w:pPr>
        <w:numPr>
          <w:ilvl w:val="0"/>
          <w:numId w:val="45"/>
        </w:numPr>
        <w:spacing w:after="0" w:line="240" w:lineRule="auto"/>
        <w:jc w:val="both"/>
      </w:pPr>
      <w:r w:rsidRPr="00375A13">
        <w:rPr>
          <w:bCs/>
        </w:rPr>
        <w:t>Ghidul pentru Acţiunea 2.2.1. – inovare în domeniul TIC prin dezvoltare de clustere a fost</w:t>
      </w:r>
      <w:r w:rsidRPr="00375A13">
        <w:t xml:space="preserve"> supus consultării publice în două sesiuni. </w:t>
      </w:r>
      <w:r w:rsidRPr="00375A13">
        <w:rPr>
          <w:bCs/>
        </w:rPr>
        <w:t xml:space="preserve">Astfel, </w:t>
      </w:r>
      <w:r w:rsidRPr="00375A13">
        <w:t xml:space="preserve">în data de 02 noiembrie 2015 a fost lansat ghidul solicitantului, cu termen limită de depunere 29 februarie 2016. </w:t>
      </w:r>
    </w:p>
    <w:p w:rsidR="003F636F" w:rsidRPr="00375A13" w:rsidRDefault="003F636F" w:rsidP="003F636F">
      <w:pPr>
        <w:numPr>
          <w:ilvl w:val="0"/>
          <w:numId w:val="45"/>
        </w:numPr>
        <w:spacing w:after="0" w:line="240" w:lineRule="auto"/>
        <w:jc w:val="both"/>
      </w:pPr>
      <w:r w:rsidRPr="00375A13">
        <w:lastRenderedPageBreak/>
        <w:t>În anul 2015 pentru Axa Prioritara 2 au fost lansate apeluri în valoare de 59.7 mil. Euro (FEDR+BS) reprezentând 3.7% din totalul alocat pentru Programului Operaţional Competitivitate.</w:t>
      </w:r>
    </w:p>
    <w:p w:rsidR="003F636F" w:rsidRDefault="003F636F" w:rsidP="003F636F">
      <w:pPr>
        <w:numPr>
          <w:ilvl w:val="0"/>
          <w:numId w:val="45"/>
        </w:numPr>
        <w:spacing w:after="0" w:line="240" w:lineRule="auto"/>
        <w:jc w:val="both"/>
      </w:pPr>
      <w:r w:rsidRPr="00375A13">
        <w:t>Până la data de 31.12.2015 au fost depuse un număr de 102 proiecte, cu un buget AFN de aproximativ 59.6 mil. Euro.</w:t>
      </w:r>
    </w:p>
    <w:p w:rsidR="003F636F" w:rsidRDefault="003F636F" w:rsidP="003F636F">
      <w:pPr>
        <w:spacing w:after="0" w:line="240" w:lineRule="auto"/>
        <w:ind w:left="720"/>
        <w:jc w:val="both"/>
      </w:pPr>
    </w:p>
    <w:p w:rsidR="003F636F" w:rsidRDefault="003F636F" w:rsidP="003F636F">
      <w:pPr>
        <w:spacing w:after="0" w:line="240" w:lineRule="auto"/>
        <w:ind w:left="720"/>
        <w:jc w:val="both"/>
      </w:pPr>
    </w:p>
    <w:p w:rsidR="003F636F" w:rsidRDefault="003F636F" w:rsidP="003F636F">
      <w:pPr>
        <w:spacing w:after="0" w:line="240" w:lineRule="auto"/>
        <w:jc w:val="both"/>
        <w:rPr>
          <w:b/>
          <w:i/>
          <w:u w:val="single"/>
        </w:rPr>
      </w:pPr>
      <w:r w:rsidRPr="00375A13">
        <w:rPr>
          <w:b/>
          <w:i/>
          <w:u w:val="single"/>
        </w:rPr>
        <w:t>Acțiunea 2.2.2: Sprijinirea utilizării TIC pentru dezvoltarea afacerilor, în special a cadrului de derulare a comerțului electronic. Buget: 4.7 mil. Euro.</w:t>
      </w:r>
    </w:p>
    <w:p w:rsidR="003F636F" w:rsidRPr="00375A13" w:rsidRDefault="003F636F" w:rsidP="003F636F">
      <w:pPr>
        <w:spacing w:after="0" w:line="240" w:lineRule="auto"/>
        <w:jc w:val="both"/>
        <w:rPr>
          <w:b/>
          <w:i/>
          <w:u w:val="single"/>
        </w:rPr>
      </w:pPr>
    </w:p>
    <w:p w:rsidR="003F636F" w:rsidRPr="00375A13" w:rsidRDefault="003F636F" w:rsidP="003F636F">
      <w:pPr>
        <w:spacing w:line="240" w:lineRule="auto"/>
        <w:jc w:val="both"/>
      </w:pPr>
      <w:r w:rsidRPr="00375A13">
        <w:rPr>
          <w:b/>
        </w:rPr>
        <w:t>Obiective</w:t>
      </w:r>
      <w:r>
        <w:t xml:space="preserve">: </w:t>
      </w:r>
      <w:r w:rsidRPr="00375A13">
        <w:t>Acest set de acţiuni are ca scop principal sprijinirea comerţului electronic pentru o creştere economică accelerată şi dezvoltarea pieței unice digitale europene. Comerţul electronic prezintă anumite probleme specifice pentru consumatori (ex: securitatea tranzacţiilor, protejarea informaţiilor cu caracter personal, lipsa de familiaritate cu serviciile furnizate, nivelul de credibilitate a informaţiei) şi există o predilecţie dovedită de a efectua tranzacţii cu furnizorii naţionali de servicii comerciale on-line (EC-JRC 2013). Astfel, acţiunile de monitorizare şi susţinere de către autorităţile naţionale a activității de e-comerţ din teritoriul unui stat membru sunt centrale pentru asigurarea efectelor de multiplicare economică aferente acestui tip de activitate;</w:t>
      </w:r>
    </w:p>
    <w:p w:rsidR="003F636F" w:rsidRPr="00375A13" w:rsidRDefault="003F636F" w:rsidP="003F636F">
      <w:pPr>
        <w:numPr>
          <w:ilvl w:val="0"/>
          <w:numId w:val="46"/>
        </w:numPr>
        <w:spacing w:line="240" w:lineRule="auto"/>
        <w:jc w:val="both"/>
      </w:pPr>
      <w:r w:rsidRPr="00375A13">
        <w:t xml:space="preserve">Pregătirea ghidului de către OIPSI depinde de anumite clarificarea cadrului de reglementare cu privire la comerțul electronic. MCSI si-a asumat în cadrul POC să elaboreze documentele de politică publică necesare prin proiecte POCA: </w:t>
      </w:r>
    </w:p>
    <w:p w:rsidR="003F636F" w:rsidRPr="00375A13" w:rsidRDefault="003F636F" w:rsidP="003F636F">
      <w:pPr>
        <w:spacing w:line="240" w:lineRule="auto"/>
        <w:jc w:val="both"/>
      </w:pPr>
      <w:r w:rsidRPr="00375A13">
        <w:t>„Pentru a asigura acest cadru de încredere, în strânsă complementaritate, în cadrul POCA, MSI va dezvolta două intervenții importante:</w:t>
      </w:r>
    </w:p>
    <w:p w:rsidR="003F636F" w:rsidRPr="00375A13" w:rsidRDefault="003F636F" w:rsidP="003F636F">
      <w:pPr>
        <w:numPr>
          <w:ilvl w:val="1"/>
          <w:numId w:val="47"/>
        </w:numPr>
        <w:spacing w:after="0" w:line="240" w:lineRule="auto"/>
        <w:jc w:val="both"/>
      </w:pPr>
      <w:r w:rsidRPr="00375A13">
        <w:t>Dezvoltarea unui cadru de reglementare cu privire la comerțul electronic şi oferta transfrontalieră, incluzând și creșterea nivelului de informare a operatorilor de servicii on-line și a utilizatorilor de comerț electronic, precum și promovarea utilizării de e-comerț în comerțul cu amânuntul românesc și asigurarea secu</w:t>
      </w:r>
      <w:r>
        <w:t>rității informațiilor transmise;</w:t>
      </w:r>
    </w:p>
    <w:p w:rsidR="003F636F" w:rsidRDefault="003F636F" w:rsidP="003F636F">
      <w:pPr>
        <w:numPr>
          <w:ilvl w:val="1"/>
          <w:numId w:val="47"/>
        </w:numPr>
        <w:spacing w:after="0" w:line="240" w:lineRule="auto"/>
        <w:jc w:val="both"/>
      </w:pPr>
      <w:r w:rsidRPr="00375A13">
        <w:t>Dezvoltarea capacității administrative de rezolvare facilă a abuzurilor și litigiilor specifice pentru comerț electronic (MSI în parteneriat cu ANPC și ANCOM)”</w:t>
      </w:r>
      <w:r>
        <w:t>.</w:t>
      </w:r>
    </w:p>
    <w:p w:rsidR="003F636F" w:rsidRPr="00375A13" w:rsidRDefault="003F636F" w:rsidP="003F636F">
      <w:pPr>
        <w:spacing w:after="0" w:line="240" w:lineRule="auto"/>
        <w:ind w:left="1440"/>
        <w:jc w:val="both"/>
      </w:pPr>
    </w:p>
    <w:p w:rsidR="003F636F" w:rsidRPr="00375A13" w:rsidRDefault="003F636F" w:rsidP="003F636F">
      <w:pPr>
        <w:spacing w:line="240" w:lineRule="auto"/>
        <w:jc w:val="both"/>
        <w:rPr>
          <w:b/>
          <w:i/>
          <w:u w:val="single"/>
        </w:rPr>
      </w:pPr>
      <w:r w:rsidRPr="00375A13">
        <w:rPr>
          <w:b/>
          <w:i/>
          <w:u w:val="single"/>
        </w:rPr>
        <w:t>Acțiunea 2.3.1: Consolidarea și asigurarea interoperabilității sistemelor informatice dedicate serviciilor de e-guvernare tip 2.0 centrate pe evenimente din viața cetățenilor și întreprinderilor, dezvoltarea cloud computing guvernamental și a comunicării media sociale, a Open Data şi Big Data. Buget: 216.8 mil.Euro.</w:t>
      </w:r>
    </w:p>
    <w:p w:rsidR="003F636F" w:rsidRPr="00375A13" w:rsidRDefault="003F636F" w:rsidP="003F636F">
      <w:pPr>
        <w:spacing w:line="240" w:lineRule="auto"/>
        <w:jc w:val="both"/>
      </w:pPr>
      <w:r w:rsidRPr="00375A13">
        <w:rPr>
          <w:b/>
        </w:rPr>
        <w:t>Obiective:</w:t>
      </w:r>
      <w:r>
        <w:t xml:space="preserve"> </w:t>
      </w:r>
      <w:r w:rsidRPr="00375A13">
        <w:t>E-gu</w:t>
      </w:r>
      <w:r>
        <w:t>vernare - evenimente de viaţă, c</w:t>
      </w:r>
      <w:r w:rsidRPr="00375A13">
        <w:t>loud computing guvernamental şi reţelele sociale în instituţiile publice, Open data şi Big data;</w:t>
      </w:r>
    </w:p>
    <w:p w:rsidR="003F636F" w:rsidRPr="00375A13" w:rsidRDefault="003F636F" w:rsidP="003F636F">
      <w:pPr>
        <w:pStyle w:val="ListParagraph"/>
        <w:numPr>
          <w:ilvl w:val="0"/>
          <w:numId w:val="48"/>
        </w:numPr>
        <w:spacing w:line="240" w:lineRule="auto"/>
        <w:jc w:val="both"/>
      </w:pPr>
      <w:r w:rsidRPr="00375A13">
        <w:rPr>
          <w:b/>
        </w:rPr>
        <w:t>Tipuri de proiecte</w:t>
      </w:r>
      <w:r w:rsidRPr="00375A13">
        <w:t>: E-guvernare se implementează conform obiectivelor Strategiei pentru Consolidarea Administraţiei Publice (SCAP) şi în baza conceptului oferit de Agenda Digitală pentru România, Cloud computing guvernamental şi reţelele sociale în instituţiile publice, Open data şi Big data;</w:t>
      </w:r>
    </w:p>
    <w:p w:rsidR="003F636F" w:rsidRPr="00375A13" w:rsidRDefault="003F636F" w:rsidP="003F636F">
      <w:pPr>
        <w:pStyle w:val="ListParagraph"/>
        <w:numPr>
          <w:ilvl w:val="0"/>
          <w:numId w:val="48"/>
        </w:numPr>
        <w:spacing w:line="240" w:lineRule="auto"/>
        <w:jc w:val="both"/>
      </w:pPr>
      <w:r w:rsidRPr="00375A13">
        <w:rPr>
          <w:b/>
        </w:rPr>
        <w:t>Categoriile de solicitanți eligibili</w:t>
      </w:r>
      <w:r w:rsidRPr="00375A13">
        <w:t>: Autorităţi ale administraţiei publice centrale care gestionează/coordonează servicii publice ce vizează cele 36 de evenimente de viaţă predefinite, inclusiv parteneriate între aceste instituţii publice;</w:t>
      </w:r>
    </w:p>
    <w:p w:rsidR="003F636F" w:rsidRPr="00375A13" w:rsidRDefault="003F636F" w:rsidP="003F636F">
      <w:pPr>
        <w:pStyle w:val="ListParagraph"/>
        <w:numPr>
          <w:ilvl w:val="0"/>
          <w:numId w:val="48"/>
        </w:numPr>
        <w:spacing w:line="240" w:lineRule="auto"/>
      </w:pPr>
      <w:r w:rsidRPr="00375A13">
        <w:t>O prima varianta a ghidul pentru beneficiari publici a fost supus consultării publice în perioada 01.10-15.10.2015</w:t>
      </w:r>
      <w:r>
        <w:t>.</w:t>
      </w:r>
    </w:p>
    <w:p w:rsidR="003F636F" w:rsidRPr="00375A13" w:rsidRDefault="003F636F" w:rsidP="003F636F">
      <w:pPr>
        <w:pStyle w:val="ListParagraph"/>
        <w:spacing w:line="240" w:lineRule="auto"/>
        <w:ind w:left="502"/>
        <w:jc w:val="both"/>
      </w:pPr>
    </w:p>
    <w:p w:rsidR="003F636F" w:rsidRPr="00375A13" w:rsidRDefault="003F636F" w:rsidP="003F636F">
      <w:pPr>
        <w:spacing w:line="240" w:lineRule="auto"/>
        <w:jc w:val="both"/>
        <w:rPr>
          <w:b/>
          <w:i/>
          <w:u w:val="single"/>
        </w:rPr>
      </w:pPr>
      <w:r w:rsidRPr="00375A13">
        <w:rPr>
          <w:b/>
          <w:i/>
          <w:u w:val="single"/>
        </w:rPr>
        <w:lastRenderedPageBreak/>
        <w:t>Acțiune 2.3.2: Asigurarea securității cibernetice a sistemelor TIC și a rețelelor informatice. Buget: 35.5 mil. Euro</w:t>
      </w:r>
    </w:p>
    <w:p w:rsidR="003F636F" w:rsidRPr="00375A13" w:rsidRDefault="003F636F" w:rsidP="003F636F">
      <w:pPr>
        <w:spacing w:line="240" w:lineRule="auto"/>
        <w:jc w:val="both"/>
      </w:pPr>
      <w:r w:rsidRPr="00375A13">
        <w:rPr>
          <w:b/>
        </w:rPr>
        <w:t>Obiective:</w:t>
      </w:r>
      <w:r w:rsidRPr="00375A13">
        <w:t xml:space="preserve"> Acţiunea presupune sporirea rezistenţei infrastructurii cibernetice, constând în sisteme i</w:t>
      </w:r>
      <w:r>
        <w:t xml:space="preserve">nformatice, aplicaţii aferente, </w:t>
      </w:r>
      <w:r w:rsidRPr="00375A13">
        <w:t>reţele şi servicii de comunicaţii electronice, prin implementarea de soluţii tehnice de protejare acestora şi constituirea şi operaţionalizarea sistemului de securitate cibernetică naţională. În mod complementar, dezvoltarea capacităţii de management al riscului în privinţa securităţii cibernetice şi de reacţie la incidente cibernetice implică consolidarea la nivelul autorităţilor competente, a potenţialului pentru cunoaştere, prevenirea şi contracararea ameninţărilor şi minimizarea riscurilor legate de utilizarea spaţiului cibernetic, asigurarea cooperării dintre sectorul public şi cel privat, inclusiv prin încurajarea schimbului de informaţii privind ameninţările, vulnerabilităţile, riscurile şi cele referitoare la incidentele şi atacurile cibernetice, dezvoltarea entităţilor CERT;</w:t>
      </w:r>
    </w:p>
    <w:p w:rsidR="003F636F" w:rsidRPr="00375A13" w:rsidRDefault="003F636F" w:rsidP="003F636F">
      <w:pPr>
        <w:numPr>
          <w:ilvl w:val="0"/>
          <w:numId w:val="46"/>
        </w:numPr>
        <w:spacing w:line="240" w:lineRule="auto"/>
        <w:jc w:val="both"/>
        <w:rPr>
          <w:b/>
          <w:i/>
          <w:u w:val="single"/>
        </w:rPr>
      </w:pPr>
      <w:r w:rsidRPr="00375A13">
        <w:t>O prima varianta a ghidul pentru beneficiari publici a fost supus consultării publice în perioada 01.10-15.10.2015</w:t>
      </w:r>
    </w:p>
    <w:p w:rsidR="003F636F" w:rsidRPr="00375A13" w:rsidRDefault="003F636F" w:rsidP="003F636F">
      <w:pPr>
        <w:spacing w:line="240" w:lineRule="auto"/>
        <w:jc w:val="both"/>
        <w:rPr>
          <w:b/>
          <w:i/>
          <w:u w:val="single"/>
        </w:rPr>
      </w:pPr>
      <w:r w:rsidRPr="00375A13">
        <w:rPr>
          <w:b/>
          <w:i/>
          <w:u w:val="single"/>
        </w:rPr>
        <w:t>Acțiunea 2.3.3: Îmbunătățirea conținutului digital și a infrastructurii TIC sistemice în domeniul e-educație, e- incluziune, e-sănătate și e-cultură. Buget: 195.6 mil. Euro.</w:t>
      </w:r>
    </w:p>
    <w:p w:rsidR="003F636F" w:rsidRPr="00375A13" w:rsidRDefault="003F636F" w:rsidP="003F636F">
      <w:pPr>
        <w:numPr>
          <w:ilvl w:val="0"/>
          <w:numId w:val="48"/>
        </w:numPr>
        <w:spacing w:line="240" w:lineRule="auto"/>
        <w:jc w:val="both"/>
        <w:rPr>
          <w:b/>
        </w:rPr>
      </w:pPr>
      <w:r w:rsidRPr="00375A13">
        <w:rPr>
          <w:b/>
        </w:rPr>
        <w:t xml:space="preserve">Obiective: </w:t>
      </w:r>
    </w:p>
    <w:p w:rsidR="003F636F" w:rsidRPr="00375A13" w:rsidRDefault="003F636F" w:rsidP="003F636F">
      <w:pPr>
        <w:numPr>
          <w:ilvl w:val="0"/>
          <w:numId w:val="50"/>
        </w:numPr>
        <w:spacing w:after="0" w:line="240" w:lineRule="auto"/>
        <w:jc w:val="both"/>
      </w:pPr>
      <w:r>
        <w:rPr>
          <w:b/>
        </w:rPr>
        <w:t>E-educaţie -</w:t>
      </w:r>
      <w:r w:rsidRPr="00375A13">
        <w:rPr>
          <w:b/>
        </w:rPr>
        <w:t xml:space="preserve"> </w:t>
      </w:r>
      <w:r w:rsidRPr="00375A13">
        <w:t>Intervenţiile legate de TIC în educaţie vor viza activitatea curriculară din mediul preuniversitar.</w:t>
      </w:r>
    </w:p>
    <w:p w:rsidR="003F636F" w:rsidRPr="00375A13" w:rsidRDefault="003F636F" w:rsidP="003F636F">
      <w:pPr>
        <w:numPr>
          <w:ilvl w:val="0"/>
          <w:numId w:val="50"/>
        </w:numPr>
        <w:spacing w:after="0" w:line="240" w:lineRule="auto"/>
        <w:jc w:val="both"/>
      </w:pPr>
      <w:r>
        <w:rPr>
          <w:b/>
        </w:rPr>
        <w:t>E-incluziune -</w:t>
      </w:r>
      <w:r w:rsidRPr="00375A13">
        <w:rPr>
          <w:b/>
        </w:rPr>
        <w:t xml:space="preserve"> </w:t>
      </w:r>
      <w:r w:rsidRPr="00375A13">
        <w:t>Urmăreşte implementarea de Puncte de Acces Public la Internet (PAPI) în comunităţile dezavantajate, selectate după criterii care vor viza dezavantajul dat de aşezarea geografică, de condiţiile economice precare, de inexistenţa sau existenţa limitată a resurselor de comunicaţii şi acces la internet, precum de competenţa digitală a locuitorilor.</w:t>
      </w:r>
    </w:p>
    <w:p w:rsidR="003F636F" w:rsidRPr="00375A13" w:rsidRDefault="003F636F" w:rsidP="003F636F">
      <w:pPr>
        <w:numPr>
          <w:ilvl w:val="0"/>
          <w:numId w:val="50"/>
        </w:numPr>
        <w:spacing w:after="0" w:line="240" w:lineRule="auto"/>
        <w:jc w:val="both"/>
      </w:pPr>
      <w:r w:rsidRPr="00375A13">
        <w:rPr>
          <w:b/>
        </w:rPr>
        <w:t xml:space="preserve">E-sănătate - </w:t>
      </w:r>
      <w:r w:rsidRPr="00375A13">
        <w:t>Vizeaz</w:t>
      </w:r>
      <w:r>
        <w:t>ă</w:t>
      </w:r>
      <w:r w:rsidRPr="00375A13">
        <w:t xml:space="preserve"> asigurarea infrastructurii necesare pentru implementarea sistemului informatic al sănătăţii şi telemedicinei, precum şi dezvoltarea unui sistem informatic integrat de e-sănătate pentru dezvoltarea/consolidarea sistemelor informaţionale existente şi creşterea gradului de interoperabilitate a acestora.</w:t>
      </w:r>
    </w:p>
    <w:p w:rsidR="003F636F" w:rsidRPr="00375A13" w:rsidRDefault="003F636F" w:rsidP="003F636F">
      <w:pPr>
        <w:numPr>
          <w:ilvl w:val="0"/>
          <w:numId w:val="50"/>
        </w:numPr>
        <w:spacing w:after="0" w:line="240" w:lineRule="auto"/>
        <w:jc w:val="both"/>
      </w:pPr>
      <w:r w:rsidRPr="00375A13">
        <w:rPr>
          <w:b/>
        </w:rPr>
        <w:t xml:space="preserve">E-cultură – </w:t>
      </w:r>
      <w:r w:rsidRPr="00375A13">
        <w:t>Se urm</w:t>
      </w:r>
      <w:r>
        <w:t>ă</w:t>
      </w:r>
      <w:r w:rsidRPr="00375A13">
        <w:t>re</w:t>
      </w:r>
      <w:r>
        <w:t>ş</w:t>
      </w:r>
      <w:r w:rsidRPr="00375A13">
        <w:t>te asigurarea infrastructurii necesare pentru:</w:t>
      </w:r>
    </w:p>
    <w:p w:rsidR="003F636F" w:rsidRPr="00375A13" w:rsidRDefault="003F636F" w:rsidP="003F636F">
      <w:pPr>
        <w:numPr>
          <w:ilvl w:val="0"/>
          <w:numId w:val="49"/>
        </w:numPr>
        <w:spacing w:after="0" w:line="240" w:lineRule="auto"/>
        <w:jc w:val="both"/>
      </w:pPr>
      <w:r w:rsidRPr="00375A13">
        <w:t>implementarea de instrumente de digitizare avansate şi uşor utilizabile (platforma ”culturalia.ro”, vocabulare controlate, aplicaţii specifice de expunere pe dispozitive mobile)</w:t>
      </w:r>
    </w:p>
    <w:p w:rsidR="003F636F" w:rsidRPr="00375A13" w:rsidRDefault="003F636F" w:rsidP="003F636F">
      <w:pPr>
        <w:numPr>
          <w:ilvl w:val="0"/>
          <w:numId w:val="49"/>
        </w:numPr>
        <w:spacing w:after="0" w:line="240" w:lineRule="auto"/>
        <w:jc w:val="both"/>
      </w:pPr>
      <w:r w:rsidRPr="00375A13">
        <w:t>digitizarea şi expunerea on-line de produse culturale analogice</w:t>
      </w:r>
    </w:p>
    <w:p w:rsidR="003F636F" w:rsidRDefault="003F636F" w:rsidP="003F636F">
      <w:pPr>
        <w:numPr>
          <w:ilvl w:val="0"/>
          <w:numId w:val="49"/>
        </w:numPr>
        <w:spacing w:after="0" w:line="240" w:lineRule="auto"/>
        <w:jc w:val="both"/>
      </w:pPr>
      <w:r w:rsidRPr="00375A13">
        <w:t>maximizarea volumului materialului cultural digitizat pentru contribuţia la Uniunea Europeană</w:t>
      </w:r>
    </w:p>
    <w:p w:rsidR="003F636F" w:rsidRPr="00375A13" w:rsidRDefault="003F636F" w:rsidP="003F636F">
      <w:pPr>
        <w:spacing w:after="0" w:line="240" w:lineRule="auto"/>
        <w:ind w:left="1080"/>
        <w:jc w:val="both"/>
      </w:pPr>
    </w:p>
    <w:p w:rsidR="003F636F" w:rsidRPr="00375A13" w:rsidRDefault="003F636F" w:rsidP="003F636F">
      <w:pPr>
        <w:numPr>
          <w:ilvl w:val="0"/>
          <w:numId w:val="46"/>
        </w:numPr>
        <w:spacing w:after="0" w:line="240" w:lineRule="auto"/>
        <w:jc w:val="both"/>
      </w:pPr>
      <w:r>
        <w:t xml:space="preserve">Atât AM cât şi OIPSI/ </w:t>
      </w:r>
      <w:r w:rsidRPr="00375A13">
        <w:t>MCSI au venit în sprijinul beneficiarilor prin organizarea de întâlniri pentru pregătirea proiectelor strategice.</w:t>
      </w:r>
    </w:p>
    <w:p w:rsidR="003F636F" w:rsidRPr="003F636F" w:rsidRDefault="003F636F" w:rsidP="003F636F">
      <w:pPr>
        <w:jc w:val="both"/>
        <w:rPr>
          <w:b/>
        </w:rPr>
      </w:pPr>
    </w:p>
    <w:sectPr w:rsidR="003F636F" w:rsidRPr="003F6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8B8"/>
    <w:multiLevelType w:val="hybridMultilevel"/>
    <w:tmpl w:val="15C21E78"/>
    <w:lvl w:ilvl="0" w:tplc="1728D8E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9561A"/>
    <w:multiLevelType w:val="hybridMultilevel"/>
    <w:tmpl w:val="C96CDD7A"/>
    <w:lvl w:ilvl="0" w:tplc="AED6F47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1E5587B"/>
    <w:multiLevelType w:val="hybridMultilevel"/>
    <w:tmpl w:val="4C6C1D4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5B0696E"/>
    <w:multiLevelType w:val="hybridMultilevel"/>
    <w:tmpl w:val="B246D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6981D8A"/>
    <w:multiLevelType w:val="hybridMultilevel"/>
    <w:tmpl w:val="D5EA0124"/>
    <w:lvl w:ilvl="0" w:tplc="0418000B">
      <w:start w:val="1"/>
      <w:numFmt w:val="bullet"/>
      <w:lvlText w:val=""/>
      <w:lvlJc w:val="left"/>
      <w:pPr>
        <w:ind w:left="1920" w:hanging="360"/>
      </w:pPr>
      <w:rPr>
        <w:rFonts w:ascii="Wingdings" w:hAnsi="Wingdings" w:hint="default"/>
      </w:rPr>
    </w:lvl>
    <w:lvl w:ilvl="1" w:tplc="04180003" w:tentative="1">
      <w:start w:val="1"/>
      <w:numFmt w:val="bullet"/>
      <w:lvlText w:val="o"/>
      <w:lvlJc w:val="left"/>
      <w:pPr>
        <w:ind w:left="3796" w:hanging="360"/>
      </w:pPr>
      <w:rPr>
        <w:rFonts w:ascii="Courier New" w:hAnsi="Courier New" w:cs="Courier New" w:hint="default"/>
      </w:rPr>
    </w:lvl>
    <w:lvl w:ilvl="2" w:tplc="04180005" w:tentative="1">
      <w:start w:val="1"/>
      <w:numFmt w:val="bullet"/>
      <w:lvlText w:val=""/>
      <w:lvlJc w:val="left"/>
      <w:pPr>
        <w:ind w:left="4516" w:hanging="360"/>
      </w:pPr>
      <w:rPr>
        <w:rFonts w:ascii="Wingdings" w:hAnsi="Wingdings" w:hint="default"/>
      </w:rPr>
    </w:lvl>
    <w:lvl w:ilvl="3" w:tplc="04180001" w:tentative="1">
      <w:start w:val="1"/>
      <w:numFmt w:val="bullet"/>
      <w:lvlText w:val=""/>
      <w:lvlJc w:val="left"/>
      <w:pPr>
        <w:ind w:left="5236" w:hanging="360"/>
      </w:pPr>
      <w:rPr>
        <w:rFonts w:ascii="Symbol" w:hAnsi="Symbol" w:hint="default"/>
      </w:rPr>
    </w:lvl>
    <w:lvl w:ilvl="4" w:tplc="04180003" w:tentative="1">
      <w:start w:val="1"/>
      <w:numFmt w:val="bullet"/>
      <w:lvlText w:val="o"/>
      <w:lvlJc w:val="left"/>
      <w:pPr>
        <w:ind w:left="5956" w:hanging="360"/>
      </w:pPr>
      <w:rPr>
        <w:rFonts w:ascii="Courier New" w:hAnsi="Courier New" w:cs="Courier New" w:hint="default"/>
      </w:rPr>
    </w:lvl>
    <w:lvl w:ilvl="5" w:tplc="04180005" w:tentative="1">
      <w:start w:val="1"/>
      <w:numFmt w:val="bullet"/>
      <w:lvlText w:val=""/>
      <w:lvlJc w:val="left"/>
      <w:pPr>
        <w:ind w:left="6676" w:hanging="360"/>
      </w:pPr>
      <w:rPr>
        <w:rFonts w:ascii="Wingdings" w:hAnsi="Wingdings" w:hint="default"/>
      </w:rPr>
    </w:lvl>
    <w:lvl w:ilvl="6" w:tplc="04180001" w:tentative="1">
      <w:start w:val="1"/>
      <w:numFmt w:val="bullet"/>
      <w:lvlText w:val=""/>
      <w:lvlJc w:val="left"/>
      <w:pPr>
        <w:ind w:left="7396" w:hanging="360"/>
      </w:pPr>
      <w:rPr>
        <w:rFonts w:ascii="Symbol" w:hAnsi="Symbol" w:hint="default"/>
      </w:rPr>
    </w:lvl>
    <w:lvl w:ilvl="7" w:tplc="04180003" w:tentative="1">
      <w:start w:val="1"/>
      <w:numFmt w:val="bullet"/>
      <w:lvlText w:val="o"/>
      <w:lvlJc w:val="left"/>
      <w:pPr>
        <w:ind w:left="8116" w:hanging="360"/>
      </w:pPr>
      <w:rPr>
        <w:rFonts w:ascii="Courier New" w:hAnsi="Courier New" w:cs="Courier New" w:hint="default"/>
      </w:rPr>
    </w:lvl>
    <w:lvl w:ilvl="8" w:tplc="04180005" w:tentative="1">
      <w:start w:val="1"/>
      <w:numFmt w:val="bullet"/>
      <w:lvlText w:val=""/>
      <w:lvlJc w:val="left"/>
      <w:pPr>
        <w:ind w:left="8836" w:hanging="360"/>
      </w:pPr>
      <w:rPr>
        <w:rFonts w:ascii="Wingdings" w:hAnsi="Wingdings" w:hint="default"/>
      </w:rPr>
    </w:lvl>
  </w:abstractNum>
  <w:abstractNum w:abstractNumId="5" w15:restartNumberingAfterBreak="0">
    <w:nsid w:val="08BF475E"/>
    <w:multiLevelType w:val="hybridMultilevel"/>
    <w:tmpl w:val="32288214"/>
    <w:lvl w:ilvl="0" w:tplc="0418000B">
      <w:start w:val="1"/>
      <w:numFmt w:val="bullet"/>
      <w:lvlText w:val=""/>
      <w:lvlJc w:val="left"/>
      <w:pPr>
        <w:ind w:left="1495" w:hanging="360"/>
      </w:pPr>
      <w:rPr>
        <w:rFonts w:ascii="Wingdings" w:hAnsi="Wingdings"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6" w15:restartNumberingAfterBreak="0">
    <w:nsid w:val="0AEB117B"/>
    <w:multiLevelType w:val="hybridMultilevel"/>
    <w:tmpl w:val="A55EB4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BD2196C"/>
    <w:multiLevelType w:val="hybridMultilevel"/>
    <w:tmpl w:val="F1EA2D8A"/>
    <w:lvl w:ilvl="0" w:tplc="0418000B">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15:restartNumberingAfterBreak="0">
    <w:nsid w:val="0DC5689B"/>
    <w:multiLevelType w:val="hybridMultilevel"/>
    <w:tmpl w:val="1E38D598"/>
    <w:lvl w:ilvl="0" w:tplc="0418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0F044E79"/>
    <w:multiLevelType w:val="hybridMultilevel"/>
    <w:tmpl w:val="078CC6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F2414DF"/>
    <w:multiLevelType w:val="hybridMultilevel"/>
    <w:tmpl w:val="B936E3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0CF779F"/>
    <w:multiLevelType w:val="hybridMultilevel"/>
    <w:tmpl w:val="251AD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23413A4"/>
    <w:multiLevelType w:val="hybridMultilevel"/>
    <w:tmpl w:val="47F4D2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3776B3F"/>
    <w:multiLevelType w:val="hybridMultilevel"/>
    <w:tmpl w:val="589E0A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6880CBE"/>
    <w:multiLevelType w:val="hybridMultilevel"/>
    <w:tmpl w:val="9EE41D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7B94509"/>
    <w:multiLevelType w:val="hybridMultilevel"/>
    <w:tmpl w:val="4072AC08"/>
    <w:lvl w:ilvl="0" w:tplc="0418000B">
      <w:start w:val="1"/>
      <w:numFmt w:val="bullet"/>
      <w:lvlText w:val=""/>
      <w:lvlJc w:val="left"/>
      <w:pPr>
        <w:ind w:left="1211" w:hanging="360"/>
      </w:pPr>
      <w:rPr>
        <w:rFonts w:ascii="Wingdings" w:hAnsi="Wingdings" w:hint="default"/>
      </w:rPr>
    </w:lvl>
    <w:lvl w:ilvl="1" w:tplc="131A47B2">
      <w:start w:val="1"/>
      <w:numFmt w:val="decimal"/>
      <w:lvlText w:val="%2."/>
      <w:lvlJc w:val="left"/>
      <w:pPr>
        <w:ind w:left="1931" w:hanging="360"/>
      </w:pPr>
      <w:rPr>
        <w:rFonts w:hint="default"/>
      </w:rPr>
    </w:lvl>
    <w:lvl w:ilvl="2" w:tplc="61B4C020">
      <w:start w:val="1"/>
      <w:numFmt w:val="lowerLetter"/>
      <w:lvlText w:val="%3)"/>
      <w:lvlJc w:val="left"/>
      <w:pPr>
        <w:ind w:left="2831" w:hanging="360"/>
      </w:pPr>
      <w:rPr>
        <w:rFonts w:hint="default"/>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abstractNum w:abstractNumId="16" w15:restartNumberingAfterBreak="0">
    <w:nsid w:val="17BC4FC8"/>
    <w:multiLevelType w:val="hybridMultilevel"/>
    <w:tmpl w:val="06B46D70"/>
    <w:lvl w:ilvl="0" w:tplc="CBB6799E">
      <w:start w:val="1"/>
      <w:numFmt w:val="bullet"/>
      <w:lvlText w:val=""/>
      <w:lvlJc w:val="left"/>
      <w:pPr>
        <w:tabs>
          <w:tab w:val="num" w:pos="1920"/>
        </w:tabs>
        <w:ind w:left="1920" w:hanging="360"/>
      </w:pPr>
      <w:rPr>
        <w:rFonts w:ascii="Wingdings" w:hAnsi="Wingdings" w:hint="default"/>
      </w:rPr>
    </w:lvl>
    <w:lvl w:ilvl="1" w:tplc="FE6AB3C8" w:tentative="1">
      <w:start w:val="1"/>
      <w:numFmt w:val="bullet"/>
      <w:lvlText w:val=""/>
      <w:lvlJc w:val="left"/>
      <w:pPr>
        <w:tabs>
          <w:tab w:val="num" w:pos="2640"/>
        </w:tabs>
        <w:ind w:left="2640" w:hanging="360"/>
      </w:pPr>
      <w:rPr>
        <w:rFonts w:ascii="Wingdings" w:hAnsi="Wingdings" w:hint="default"/>
      </w:rPr>
    </w:lvl>
    <w:lvl w:ilvl="2" w:tplc="A45842EE" w:tentative="1">
      <w:start w:val="1"/>
      <w:numFmt w:val="bullet"/>
      <w:lvlText w:val=""/>
      <w:lvlJc w:val="left"/>
      <w:pPr>
        <w:tabs>
          <w:tab w:val="num" w:pos="3360"/>
        </w:tabs>
        <w:ind w:left="3360" w:hanging="360"/>
      </w:pPr>
      <w:rPr>
        <w:rFonts w:ascii="Wingdings" w:hAnsi="Wingdings" w:hint="default"/>
      </w:rPr>
    </w:lvl>
    <w:lvl w:ilvl="3" w:tplc="280EF2FA" w:tentative="1">
      <w:start w:val="1"/>
      <w:numFmt w:val="bullet"/>
      <w:lvlText w:val=""/>
      <w:lvlJc w:val="left"/>
      <w:pPr>
        <w:tabs>
          <w:tab w:val="num" w:pos="4080"/>
        </w:tabs>
        <w:ind w:left="4080" w:hanging="360"/>
      </w:pPr>
      <w:rPr>
        <w:rFonts w:ascii="Wingdings" w:hAnsi="Wingdings" w:hint="default"/>
      </w:rPr>
    </w:lvl>
    <w:lvl w:ilvl="4" w:tplc="EA8C922E" w:tentative="1">
      <w:start w:val="1"/>
      <w:numFmt w:val="bullet"/>
      <w:lvlText w:val=""/>
      <w:lvlJc w:val="left"/>
      <w:pPr>
        <w:tabs>
          <w:tab w:val="num" w:pos="4800"/>
        </w:tabs>
        <w:ind w:left="4800" w:hanging="360"/>
      </w:pPr>
      <w:rPr>
        <w:rFonts w:ascii="Wingdings" w:hAnsi="Wingdings" w:hint="default"/>
      </w:rPr>
    </w:lvl>
    <w:lvl w:ilvl="5" w:tplc="9188A35C" w:tentative="1">
      <w:start w:val="1"/>
      <w:numFmt w:val="bullet"/>
      <w:lvlText w:val=""/>
      <w:lvlJc w:val="left"/>
      <w:pPr>
        <w:tabs>
          <w:tab w:val="num" w:pos="5520"/>
        </w:tabs>
        <w:ind w:left="5520" w:hanging="360"/>
      </w:pPr>
      <w:rPr>
        <w:rFonts w:ascii="Wingdings" w:hAnsi="Wingdings" w:hint="default"/>
      </w:rPr>
    </w:lvl>
    <w:lvl w:ilvl="6" w:tplc="ABC2CAA6" w:tentative="1">
      <w:start w:val="1"/>
      <w:numFmt w:val="bullet"/>
      <w:lvlText w:val=""/>
      <w:lvlJc w:val="left"/>
      <w:pPr>
        <w:tabs>
          <w:tab w:val="num" w:pos="6240"/>
        </w:tabs>
        <w:ind w:left="6240" w:hanging="360"/>
      </w:pPr>
      <w:rPr>
        <w:rFonts w:ascii="Wingdings" w:hAnsi="Wingdings" w:hint="default"/>
      </w:rPr>
    </w:lvl>
    <w:lvl w:ilvl="7" w:tplc="B97EA72C" w:tentative="1">
      <w:start w:val="1"/>
      <w:numFmt w:val="bullet"/>
      <w:lvlText w:val=""/>
      <w:lvlJc w:val="left"/>
      <w:pPr>
        <w:tabs>
          <w:tab w:val="num" w:pos="6960"/>
        </w:tabs>
        <w:ind w:left="6960" w:hanging="360"/>
      </w:pPr>
      <w:rPr>
        <w:rFonts w:ascii="Wingdings" w:hAnsi="Wingdings" w:hint="default"/>
      </w:rPr>
    </w:lvl>
    <w:lvl w:ilvl="8" w:tplc="B792F434" w:tentative="1">
      <w:start w:val="1"/>
      <w:numFmt w:val="bullet"/>
      <w:lvlText w:val=""/>
      <w:lvlJc w:val="left"/>
      <w:pPr>
        <w:tabs>
          <w:tab w:val="num" w:pos="7680"/>
        </w:tabs>
        <w:ind w:left="7680" w:hanging="360"/>
      </w:pPr>
      <w:rPr>
        <w:rFonts w:ascii="Wingdings" w:hAnsi="Wingdings" w:hint="default"/>
      </w:rPr>
    </w:lvl>
  </w:abstractNum>
  <w:abstractNum w:abstractNumId="17" w15:restartNumberingAfterBreak="0">
    <w:nsid w:val="17D21AA0"/>
    <w:multiLevelType w:val="hybridMultilevel"/>
    <w:tmpl w:val="58C85338"/>
    <w:lvl w:ilvl="0" w:tplc="0418000B">
      <w:start w:val="1"/>
      <w:numFmt w:val="bullet"/>
      <w:lvlText w:val=""/>
      <w:lvlJc w:val="left"/>
      <w:pPr>
        <w:ind w:left="1495" w:hanging="360"/>
      </w:pPr>
      <w:rPr>
        <w:rFonts w:ascii="Wingdings" w:hAnsi="Wingdings"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18" w15:restartNumberingAfterBreak="0">
    <w:nsid w:val="18036C3F"/>
    <w:multiLevelType w:val="hybridMultilevel"/>
    <w:tmpl w:val="D63A1DAE"/>
    <w:lvl w:ilvl="0" w:tplc="23F84146">
      <w:start w:val="1"/>
      <w:numFmt w:val="bullet"/>
      <w:lvlText w:val=""/>
      <w:lvlJc w:val="left"/>
      <w:pPr>
        <w:tabs>
          <w:tab w:val="num" w:pos="1495"/>
        </w:tabs>
        <w:ind w:left="1495" w:hanging="360"/>
      </w:pPr>
      <w:rPr>
        <w:rFonts w:ascii="Wingdings" w:hAnsi="Wingdings" w:hint="default"/>
      </w:rPr>
    </w:lvl>
    <w:lvl w:ilvl="1" w:tplc="688EA48C" w:tentative="1">
      <w:start w:val="1"/>
      <w:numFmt w:val="bullet"/>
      <w:lvlText w:val=""/>
      <w:lvlJc w:val="left"/>
      <w:pPr>
        <w:tabs>
          <w:tab w:val="num" w:pos="2215"/>
        </w:tabs>
        <w:ind w:left="2215" w:hanging="360"/>
      </w:pPr>
      <w:rPr>
        <w:rFonts w:ascii="Wingdings" w:hAnsi="Wingdings" w:hint="default"/>
      </w:rPr>
    </w:lvl>
    <w:lvl w:ilvl="2" w:tplc="3B5A7188" w:tentative="1">
      <w:start w:val="1"/>
      <w:numFmt w:val="bullet"/>
      <w:lvlText w:val=""/>
      <w:lvlJc w:val="left"/>
      <w:pPr>
        <w:tabs>
          <w:tab w:val="num" w:pos="2935"/>
        </w:tabs>
        <w:ind w:left="2935" w:hanging="360"/>
      </w:pPr>
      <w:rPr>
        <w:rFonts w:ascii="Wingdings" w:hAnsi="Wingdings" w:hint="default"/>
      </w:rPr>
    </w:lvl>
    <w:lvl w:ilvl="3" w:tplc="0B02B584" w:tentative="1">
      <w:start w:val="1"/>
      <w:numFmt w:val="bullet"/>
      <w:lvlText w:val=""/>
      <w:lvlJc w:val="left"/>
      <w:pPr>
        <w:tabs>
          <w:tab w:val="num" w:pos="3655"/>
        </w:tabs>
        <w:ind w:left="3655" w:hanging="360"/>
      </w:pPr>
      <w:rPr>
        <w:rFonts w:ascii="Wingdings" w:hAnsi="Wingdings" w:hint="default"/>
      </w:rPr>
    </w:lvl>
    <w:lvl w:ilvl="4" w:tplc="29CE2BEA" w:tentative="1">
      <w:start w:val="1"/>
      <w:numFmt w:val="bullet"/>
      <w:lvlText w:val=""/>
      <w:lvlJc w:val="left"/>
      <w:pPr>
        <w:tabs>
          <w:tab w:val="num" w:pos="4375"/>
        </w:tabs>
        <w:ind w:left="4375" w:hanging="360"/>
      </w:pPr>
      <w:rPr>
        <w:rFonts w:ascii="Wingdings" w:hAnsi="Wingdings" w:hint="default"/>
      </w:rPr>
    </w:lvl>
    <w:lvl w:ilvl="5" w:tplc="F8684E12" w:tentative="1">
      <w:start w:val="1"/>
      <w:numFmt w:val="bullet"/>
      <w:lvlText w:val=""/>
      <w:lvlJc w:val="left"/>
      <w:pPr>
        <w:tabs>
          <w:tab w:val="num" w:pos="5095"/>
        </w:tabs>
        <w:ind w:left="5095" w:hanging="360"/>
      </w:pPr>
      <w:rPr>
        <w:rFonts w:ascii="Wingdings" w:hAnsi="Wingdings" w:hint="default"/>
      </w:rPr>
    </w:lvl>
    <w:lvl w:ilvl="6" w:tplc="60A06FC6" w:tentative="1">
      <w:start w:val="1"/>
      <w:numFmt w:val="bullet"/>
      <w:lvlText w:val=""/>
      <w:lvlJc w:val="left"/>
      <w:pPr>
        <w:tabs>
          <w:tab w:val="num" w:pos="5815"/>
        </w:tabs>
        <w:ind w:left="5815" w:hanging="360"/>
      </w:pPr>
      <w:rPr>
        <w:rFonts w:ascii="Wingdings" w:hAnsi="Wingdings" w:hint="default"/>
      </w:rPr>
    </w:lvl>
    <w:lvl w:ilvl="7" w:tplc="9F3071A8" w:tentative="1">
      <w:start w:val="1"/>
      <w:numFmt w:val="bullet"/>
      <w:lvlText w:val=""/>
      <w:lvlJc w:val="left"/>
      <w:pPr>
        <w:tabs>
          <w:tab w:val="num" w:pos="6535"/>
        </w:tabs>
        <w:ind w:left="6535" w:hanging="360"/>
      </w:pPr>
      <w:rPr>
        <w:rFonts w:ascii="Wingdings" w:hAnsi="Wingdings" w:hint="default"/>
      </w:rPr>
    </w:lvl>
    <w:lvl w:ilvl="8" w:tplc="B822A3B4" w:tentative="1">
      <w:start w:val="1"/>
      <w:numFmt w:val="bullet"/>
      <w:lvlText w:val=""/>
      <w:lvlJc w:val="left"/>
      <w:pPr>
        <w:tabs>
          <w:tab w:val="num" w:pos="7255"/>
        </w:tabs>
        <w:ind w:left="7255" w:hanging="360"/>
      </w:pPr>
      <w:rPr>
        <w:rFonts w:ascii="Wingdings" w:hAnsi="Wingdings" w:hint="default"/>
      </w:rPr>
    </w:lvl>
  </w:abstractNum>
  <w:abstractNum w:abstractNumId="19" w15:restartNumberingAfterBreak="0">
    <w:nsid w:val="1F652DEA"/>
    <w:multiLevelType w:val="hybridMultilevel"/>
    <w:tmpl w:val="63C4C0F4"/>
    <w:lvl w:ilvl="0" w:tplc="0418000B">
      <w:start w:val="1"/>
      <w:numFmt w:val="bullet"/>
      <w:lvlText w:val=""/>
      <w:lvlJc w:val="left"/>
      <w:pPr>
        <w:ind w:left="1428" w:hanging="360"/>
      </w:pPr>
      <w:rPr>
        <w:rFonts w:ascii="Wingdings" w:hAnsi="Wingdings" w:hint="default"/>
      </w:rPr>
    </w:lvl>
    <w:lvl w:ilvl="1" w:tplc="0418000B">
      <w:start w:val="1"/>
      <w:numFmt w:val="bullet"/>
      <w:lvlText w:val=""/>
      <w:lvlJc w:val="left"/>
      <w:pPr>
        <w:ind w:left="1070" w:hanging="360"/>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15:restartNumberingAfterBreak="0">
    <w:nsid w:val="212A1344"/>
    <w:multiLevelType w:val="hybridMultilevel"/>
    <w:tmpl w:val="AC721BB6"/>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1" w15:restartNumberingAfterBreak="0">
    <w:nsid w:val="21B6003D"/>
    <w:multiLevelType w:val="hybridMultilevel"/>
    <w:tmpl w:val="F85EB4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4A055A3"/>
    <w:multiLevelType w:val="hybridMultilevel"/>
    <w:tmpl w:val="2A1E42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7AE0B62"/>
    <w:multiLevelType w:val="hybridMultilevel"/>
    <w:tmpl w:val="96781A26"/>
    <w:lvl w:ilvl="0" w:tplc="6CBABEDC">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28601749"/>
    <w:multiLevelType w:val="hybridMultilevel"/>
    <w:tmpl w:val="A7145D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8F44C62"/>
    <w:multiLevelType w:val="hybridMultilevel"/>
    <w:tmpl w:val="34E4761E"/>
    <w:lvl w:ilvl="0" w:tplc="0418000B">
      <w:start w:val="1"/>
      <w:numFmt w:val="bullet"/>
      <w:lvlText w:val=""/>
      <w:lvlJc w:val="left"/>
      <w:pPr>
        <w:ind w:left="1070" w:hanging="360"/>
      </w:pPr>
      <w:rPr>
        <w:rFonts w:ascii="Wingdings" w:hAnsi="Wingdings" w:hint="default"/>
      </w:rPr>
    </w:lvl>
    <w:lvl w:ilvl="1" w:tplc="04180003" w:tentative="1">
      <w:start w:val="1"/>
      <w:numFmt w:val="bullet"/>
      <w:lvlText w:val="o"/>
      <w:lvlJc w:val="left"/>
      <w:pPr>
        <w:ind w:left="1790" w:hanging="360"/>
      </w:pPr>
      <w:rPr>
        <w:rFonts w:ascii="Courier New" w:hAnsi="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26" w15:restartNumberingAfterBreak="0">
    <w:nsid w:val="2C0B5E3C"/>
    <w:multiLevelType w:val="hybridMultilevel"/>
    <w:tmpl w:val="B84EF7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C114531"/>
    <w:multiLevelType w:val="hybridMultilevel"/>
    <w:tmpl w:val="33F6D010"/>
    <w:lvl w:ilvl="0" w:tplc="04180001">
      <w:start w:val="1"/>
      <w:numFmt w:val="bullet"/>
      <w:lvlText w:val=""/>
      <w:lvlJc w:val="left"/>
      <w:pPr>
        <w:ind w:left="785" w:hanging="360"/>
      </w:pPr>
      <w:rPr>
        <w:rFonts w:ascii="Symbol" w:hAnsi="Symbol" w:hint="default"/>
      </w:rPr>
    </w:lvl>
    <w:lvl w:ilvl="1" w:tplc="04180003">
      <w:start w:val="1"/>
      <w:numFmt w:val="bullet"/>
      <w:lvlText w:val="o"/>
      <w:lvlJc w:val="left"/>
      <w:pPr>
        <w:ind w:left="1505" w:hanging="360"/>
      </w:pPr>
      <w:rPr>
        <w:rFonts w:ascii="Courier New" w:hAnsi="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28" w15:restartNumberingAfterBreak="0">
    <w:nsid w:val="305B50B4"/>
    <w:multiLevelType w:val="hybridMultilevel"/>
    <w:tmpl w:val="C33EA9C4"/>
    <w:lvl w:ilvl="0" w:tplc="0418000B">
      <w:start w:val="1"/>
      <w:numFmt w:val="bullet"/>
      <w:lvlText w:val=""/>
      <w:lvlJc w:val="left"/>
      <w:pPr>
        <w:ind w:left="1428" w:hanging="360"/>
      </w:pPr>
      <w:rPr>
        <w:rFonts w:ascii="Wingdings" w:hAnsi="Wingdings" w:hint="default"/>
      </w:rPr>
    </w:lvl>
    <w:lvl w:ilvl="1" w:tplc="0418000B">
      <w:start w:val="1"/>
      <w:numFmt w:val="bullet"/>
      <w:lvlText w:val=""/>
      <w:lvlJc w:val="left"/>
      <w:pPr>
        <w:ind w:left="1070" w:hanging="360"/>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 w15:restartNumberingAfterBreak="0">
    <w:nsid w:val="30A269F5"/>
    <w:multiLevelType w:val="hybridMultilevel"/>
    <w:tmpl w:val="A35C6FF2"/>
    <w:lvl w:ilvl="0" w:tplc="07025652">
      <w:start w:val="1"/>
      <w:numFmt w:val="decimal"/>
      <w:lvlText w:val="%1."/>
      <w:lvlJc w:val="left"/>
      <w:pPr>
        <w:tabs>
          <w:tab w:val="num" w:pos="720"/>
        </w:tabs>
        <w:ind w:left="720" w:hanging="360"/>
      </w:pPr>
      <w:rPr>
        <w:rFonts w:cs="Times New Roman" w:hint="default"/>
        <w:b w:val="0"/>
        <w:bCs w:val="0"/>
        <w:i w:val="0"/>
        <w:i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34E15550"/>
    <w:multiLevelType w:val="hybridMultilevel"/>
    <w:tmpl w:val="88B035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7AD190A"/>
    <w:multiLevelType w:val="hybridMultilevel"/>
    <w:tmpl w:val="90E05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8345757"/>
    <w:multiLevelType w:val="hybridMultilevel"/>
    <w:tmpl w:val="68DAE298"/>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3" w15:restartNumberingAfterBreak="0">
    <w:nsid w:val="390A064D"/>
    <w:multiLevelType w:val="hybridMultilevel"/>
    <w:tmpl w:val="C5E6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124FC8"/>
    <w:multiLevelType w:val="hybridMultilevel"/>
    <w:tmpl w:val="6E3EB13A"/>
    <w:lvl w:ilvl="0" w:tplc="B148ADFA">
      <w:start w:val="1"/>
      <w:numFmt w:val="bullet"/>
      <w:lvlText w:val="•"/>
      <w:lvlJc w:val="left"/>
      <w:pPr>
        <w:tabs>
          <w:tab w:val="num" w:pos="720"/>
        </w:tabs>
        <w:ind w:left="720" w:hanging="360"/>
      </w:pPr>
      <w:rPr>
        <w:rFonts w:ascii="Arial" w:hAnsi="Arial" w:hint="default"/>
      </w:rPr>
    </w:lvl>
    <w:lvl w:ilvl="1" w:tplc="D17C3BCA" w:tentative="1">
      <w:start w:val="1"/>
      <w:numFmt w:val="bullet"/>
      <w:lvlText w:val="•"/>
      <w:lvlJc w:val="left"/>
      <w:pPr>
        <w:tabs>
          <w:tab w:val="num" w:pos="1440"/>
        </w:tabs>
        <w:ind w:left="1440" w:hanging="360"/>
      </w:pPr>
      <w:rPr>
        <w:rFonts w:ascii="Arial" w:hAnsi="Arial" w:hint="default"/>
      </w:rPr>
    </w:lvl>
    <w:lvl w:ilvl="2" w:tplc="1694ACA6" w:tentative="1">
      <w:start w:val="1"/>
      <w:numFmt w:val="bullet"/>
      <w:lvlText w:val="•"/>
      <w:lvlJc w:val="left"/>
      <w:pPr>
        <w:tabs>
          <w:tab w:val="num" w:pos="2160"/>
        </w:tabs>
        <w:ind w:left="2160" w:hanging="360"/>
      </w:pPr>
      <w:rPr>
        <w:rFonts w:ascii="Arial" w:hAnsi="Arial" w:hint="default"/>
      </w:rPr>
    </w:lvl>
    <w:lvl w:ilvl="3" w:tplc="D8720B40" w:tentative="1">
      <w:start w:val="1"/>
      <w:numFmt w:val="bullet"/>
      <w:lvlText w:val="•"/>
      <w:lvlJc w:val="left"/>
      <w:pPr>
        <w:tabs>
          <w:tab w:val="num" w:pos="2880"/>
        </w:tabs>
        <w:ind w:left="2880" w:hanging="360"/>
      </w:pPr>
      <w:rPr>
        <w:rFonts w:ascii="Arial" w:hAnsi="Arial" w:hint="default"/>
      </w:rPr>
    </w:lvl>
    <w:lvl w:ilvl="4" w:tplc="022463AA" w:tentative="1">
      <w:start w:val="1"/>
      <w:numFmt w:val="bullet"/>
      <w:lvlText w:val="•"/>
      <w:lvlJc w:val="left"/>
      <w:pPr>
        <w:tabs>
          <w:tab w:val="num" w:pos="3600"/>
        </w:tabs>
        <w:ind w:left="3600" w:hanging="360"/>
      </w:pPr>
      <w:rPr>
        <w:rFonts w:ascii="Arial" w:hAnsi="Arial" w:hint="default"/>
      </w:rPr>
    </w:lvl>
    <w:lvl w:ilvl="5" w:tplc="E4EE4230" w:tentative="1">
      <w:start w:val="1"/>
      <w:numFmt w:val="bullet"/>
      <w:lvlText w:val="•"/>
      <w:lvlJc w:val="left"/>
      <w:pPr>
        <w:tabs>
          <w:tab w:val="num" w:pos="4320"/>
        </w:tabs>
        <w:ind w:left="4320" w:hanging="360"/>
      </w:pPr>
      <w:rPr>
        <w:rFonts w:ascii="Arial" w:hAnsi="Arial" w:hint="default"/>
      </w:rPr>
    </w:lvl>
    <w:lvl w:ilvl="6" w:tplc="BCC0B3AC" w:tentative="1">
      <w:start w:val="1"/>
      <w:numFmt w:val="bullet"/>
      <w:lvlText w:val="•"/>
      <w:lvlJc w:val="left"/>
      <w:pPr>
        <w:tabs>
          <w:tab w:val="num" w:pos="5040"/>
        </w:tabs>
        <w:ind w:left="5040" w:hanging="360"/>
      </w:pPr>
      <w:rPr>
        <w:rFonts w:ascii="Arial" w:hAnsi="Arial" w:hint="default"/>
      </w:rPr>
    </w:lvl>
    <w:lvl w:ilvl="7" w:tplc="5F082332" w:tentative="1">
      <w:start w:val="1"/>
      <w:numFmt w:val="bullet"/>
      <w:lvlText w:val="•"/>
      <w:lvlJc w:val="left"/>
      <w:pPr>
        <w:tabs>
          <w:tab w:val="num" w:pos="5760"/>
        </w:tabs>
        <w:ind w:left="5760" w:hanging="360"/>
      </w:pPr>
      <w:rPr>
        <w:rFonts w:ascii="Arial" w:hAnsi="Arial" w:hint="default"/>
      </w:rPr>
    </w:lvl>
    <w:lvl w:ilvl="8" w:tplc="85D2490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E0B6979"/>
    <w:multiLevelType w:val="hybridMultilevel"/>
    <w:tmpl w:val="CA1ACBB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E4655E9"/>
    <w:multiLevelType w:val="hybridMultilevel"/>
    <w:tmpl w:val="2272E4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EA75242"/>
    <w:multiLevelType w:val="hybridMultilevel"/>
    <w:tmpl w:val="0644A10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47E8648A"/>
    <w:multiLevelType w:val="hybridMultilevel"/>
    <w:tmpl w:val="0B1EE1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4EC47134"/>
    <w:multiLevelType w:val="hybridMultilevel"/>
    <w:tmpl w:val="8D88113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F94A276E">
      <w:start w:val="1"/>
      <w:numFmt w:val="lowerLetter"/>
      <w:lvlText w:val="%3."/>
      <w:lvlJc w:val="left"/>
      <w:pPr>
        <w:tabs>
          <w:tab w:val="num" w:pos="2160"/>
        </w:tabs>
        <w:ind w:left="2160" w:hanging="360"/>
      </w:pPr>
      <w:rPr>
        <w:rFonts w:ascii="Times New Roman" w:eastAsia="Times New Roman" w:hAnsi="Times New Roman" w:cs="Times New Roman"/>
      </w:rPr>
    </w:lvl>
    <w:lvl w:ilvl="3" w:tplc="5E4E4F06">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C31719"/>
    <w:multiLevelType w:val="hybridMultilevel"/>
    <w:tmpl w:val="C6A402D8"/>
    <w:lvl w:ilvl="0" w:tplc="1728D8E6">
      <w:start w:val="1"/>
      <w:numFmt w:val="bullet"/>
      <w:lvlText w:val="-"/>
      <w:lvlJc w:val="left"/>
      <w:pPr>
        <w:tabs>
          <w:tab w:val="num" w:pos="1636"/>
        </w:tabs>
        <w:ind w:left="1636" w:hanging="360"/>
      </w:pPr>
      <w:rPr>
        <w:rFonts w:ascii="Times New Roman" w:hAnsi="Times New Roman" w:hint="default"/>
      </w:rPr>
    </w:lvl>
    <w:lvl w:ilvl="1" w:tplc="A7E452D2" w:tentative="1">
      <w:start w:val="1"/>
      <w:numFmt w:val="bullet"/>
      <w:lvlText w:val="-"/>
      <w:lvlJc w:val="left"/>
      <w:pPr>
        <w:tabs>
          <w:tab w:val="num" w:pos="2356"/>
        </w:tabs>
        <w:ind w:left="2356" w:hanging="360"/>
      </w:pPr>
      <w:rPr>
        <w:rFonts w:ascii="Times New Roman" w:hAnsi="Times New Roman" w:hint="default"/>
      </w:rPr>
    </w:lvl>
    <w:lvl w:ilvl="2" w:tplc="991A1F70" w:tentative="1">
      <w:start w:val="1"/>
      <w:numFmt w:val="bullet"/>
      <w:lvlText w:val="-"/>
      <w:lvlJc w:val="left"/>
      <w:pPr>
        <w:tabs>
          <w:tab w:val="num" w:pos="3076"/>
        </w:tabs>
        <w:ind w:left="3076" w:hanging="360"/>
      </w:pPr>
      <w:rPr>
        <w:rFonts w:ascii="Times New Roman" w:hAnsi="Times New Roman" w:hint="default"/>
      </w:rPr>
    </w:lvl>
    <w:lvl w:ilvl="3" w:tplc="550AB596" w:tentative="1">
      <w:start w:val="1"/>
      <w:numFmt w:val="bullet"/>
      <w:lvlText w:val="-"/>
      <w:lvlJc w:val="left"/>
      <w:pPr>
        <w:tabs>
          <w:tab w:val="num" w:pos="3796"/>
        </w:tabs>
        <w:ind w:left="3796" w:hanging="360"/>
      </w:pPr>
      <w:rPr>
        <w:rFonts w:ascii="Times New Roman" w:hAnsi="Times New Roman" w:hint="default"/>
      </w:rPr>
    </w:lvl>
    <w:lvl w:ilvl="4" w:tplc="F356D28A" w:tentative="1">
      <w:start w:val="1"/>
      <w:numFmt w:val="bullet"/>
      <w:lvlText w:val="-"/>
      <w:lvlJc w:val="left"/>
      <w:pPr>
        <w:tabs>
          <w:tab w:val="num" w:pos="4516"/>
        </w:tabs>
        <w:ind w:left="4516" w:hanging="360"/>
      </w:pPr>
      <w:rPr>
        <w:rFonts w:ascii="Times New Roman" w:hAnsi="Times New Roman" w:hint="default"/>
      </w:rPr>
    </w:lvl>
    <w:lvl w:ilvl="5" w:tplc="B972D582" w:tentative="1">
      <w:start w:val="1"/>
      <w:numFmt w:val="bullet"/>
      <w:lvlText w:val="-"/>
      <w:lvlJc w:val="left"/>
      <w:pPr>
        <w:tabs>
          <w:tab w:val="num" w:pos="5236"/>
        </w:tabs>
        <w:ind w:left="5236" w:hanging="360"/>
      </w:pPr>
      <w:rPr>
        <w:rFonts w:ascii="Times New Roman" w:hAnsi="Times New Roman" w:hint="default"/>
      </w:rPr>
    </w:lvl>
    <w:lvl w:ilvl="6" w:tplc="6DA4B594" w:tentative="1">
      <w:start w:val="1"/>
      <w:numFmt w:val="bullet"/>
      <w:lvlText w:val="-"/>
      <w:lvlJc w:val="left"/>
      <w:pPr>
        <w:tabs>
          <w:tab w:val="num" w:pos="5956"/>
        </w:tabs>
        <w:ind w:left="5956" w:hanging="360"/>
      </w:pPr>
      <w:rPr>
        <w:rFonts w:ascii="Times New Roman" w:hAnsi="Times New Roman" w:hint="default"/>
      </w:rPr>
    </w:lvl>
    <w:lvl w:ilvl="7" w:tplc="768C3E12" w:tentative="1">
      <w:start w:val="1"/>
      <w:numFmt w:val="bullet"/>
      <w:lvlText w:val="-"/>
      <w:lvlJc w:val="left"/>
      <w:pPr>
        <w:tabs>
          <w:tab w:val="num" w:pos="6676"/>
        </w:tabs>
        <w:ind w:left="6676" w:hanging="360"/>
      </w:pPr>
      <w:rPr>
        <w:rFonts w:ascii="Times New Roman" w:hAnsi="Times New Roman" w:hint="default"/>
      </w:rPr>
    </w:lvl>
    <w:lvl w:ilvl="8" w:tplc="A9DC11E6" w:tentative="1">
      <w:start w:val="1"/>
      <w:numFmt w:val="bullet"/>
      <w:lvlText w:val="-"/>
      <w:lvlJc w:val="left"/>
      <w:pPr>
        <w:tabs>
          <w:tab w:val="num" w:pos="7396"/>
        </w:tabs>
        <w:ind w:left="7396" w:hanging="360"/>
      </w:pPr>
      <w:rPr>
        <w:rFonts w:ascii="Times New Roman" w:hAnsi="Times New Roman" w:hint="default"/>
      </w:rPr>
    </w:lvl>
  </w:abstractNum>
  <w:abstractNum w:abstractNumId="41" w15:restartNumberingAfterBreak="0">
    <w:nsid w:val="51E46970"/>
    <w:multiLevelType w:val="hybridMultilevel"/>
    <w:tmpl w:val="D92286F2"/>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2" w15:restartNumberingAfterBreak="0">
    <w:nsid w:val="56937C6E"/>
    <w:multiLevelType w:val="hybridMultilevel"/>
    <w:tmpl w:val="C958B45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C063F8"/>
    <w:multiLevelType w:val="hybridMultilevel"/>
    <w:tmpl w:val="FB1051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20704E1"/>
    <w:multiLevelType w:val="hybridMultilevel"/>
    <w:tmpl w:val="B54A60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2977871"/>
    <w:multiLevelType w:val="hybridMultilevel"/>
    <w:tmpl w:val="C1EE5E38"/>
    <w:lvl w:ilvl="0" w:tplc="84A2E45A">
      <w:start w:val="1"/>
      <w:numFmt w:val="lowerLetter"/>
      <w:lvlText w:val="%1)"/>
      <w:lvlJc w:val="left"/>
      <w:pPr>
        <w:tabs>
          <w:tab w:val="num" w:pos="360"/>
        </w:tabs>
        <w:ind w:left="1080" w:hanging="360"/>
      </w:pPr>
      <w:rPr>
        <w:rFonts w:cs="Wingdings 3"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38A697F"/>
    <w:multiLevelType w:val="hybridMultilevel"/>
    <w:tmpl w:val="DCFAE6A4"/>
    <w:lvl w:ilvl="0" w:tplc="0418000D">
      <w:start w:val="1"/>
      <w:numFmt w:val="bullet"/>
      <w:lvlText w:val=""/>
      <w:lvlJc w:val="left"/>
      <w:pPr>
        <w:ind w:left="1200" w:hanging="360"/>
      </w:pPr>
      <w:rPr>
        <w:rFonts w:ascii="Wingdings" w:hAnsi="Wingdings"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47" w15:restartNumberingAfterBreak="0">
    <w:nsid w:val="711F04AD"/>
    <w:multiLevelType w:val="hybridMultilevel"/>
    <w:tmpl w:val="320664BC"/>
    <w:lvl w:ilvl="0" w:tplc="0409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8" w15:restartNumberingAfterBreak="0">
    <w:nsid w:val="7B0D01B7"/>
    <w:multiLevelType w:val="hybridMultilevel"/>
    <w:tmpl w:val="0652FC04"/>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9" w15:restartNumberingAfterBreak="0">
    <w:nsid w:val="7EAD77B6"/>
    <w:multiLevelType w:val="hybridMultilevel"/>
    <w:tmpl w:val="BC8AB374"/>
    <w:lvl w:ilvl="0" w:tplc="0418000B">
      <w:start w:val="1"/>
      <w:numFmt w:val="bullet"/>
      <w:lvlText w:val=""/>
      <w:lvlJc w:val="left"/>
      <w:pPr>
        <w:ind w:left="1211" w:hanging="360"/>
      </w:pPr>
      <w:rPr>
        <w:rFonts w:ascii="Wingdings" w:hAnsi="Wingdings" w:hint="default"/>
      </w:rPr>
    </w:lvl>
    <w:lvl w:ilvl="1" w:tplc="04180019" w:tentative="1">
      <w:start w:val="1"/>
      <w:numFmt w:val="lowerLetter"/>
      <w:lvlText w:val="%2."/>
      <w:lvlJc w:val="left"/>
      <w:pPr>
        <w:ind w:left="1931" w:hanging="360"/>
      </w:pPr>
      <w:rPr>
        <w:rFonts w:cs="Times New Roman"/>
      </w:rPr>
    </w:lvl>
    <w:lvl w:ilvl="2" w:tplc="0418001B" w:tentative="1">
      <w:start w:val="1"/>
      <w:numFmt w:val="lowerRoman"/>
      <w:lvlText w:val="%3."/>
      <w:lvlJc w:val="right"/>
      <w:pPr>
        <w:ind w:left="2651" w:hanging="180"/>
      </w:pPr>
      <w:rPr>
        <w:rFonts w:cs="Times New Roman"/>
      </w:rPr>
    </w:lvl>
    <w:lvl w:ilvl="3" w:tplc="0418000F" w:tentative="1">
      <w:start w:val="1"/>
      <w:numFmt w:val="decimal"/>
      <w:lvlText w:val="%4."/>
      <w:lvlJc w:val="left"/>
      <w:pPr>
        <w:ind w:left="3371" w:hanging="360"/>
      </w:pPr>
      <w:rPr>
        <w:rFonts w:cs="Times New Roman"/>
      </w:rPr>
    </w:lvl>
    <w:lvl w:ilvl="4" w:tplc="04180019" w:tentative="1">
      <w:start w:val="1"/>
      <w:numFmt w:val="lowerLetter"/>
      <w:lvlText w:val="%5."/>
      <w:lvlJc w:val="left"/>
      <w:pPr>
        <w:ind w:left="4091" w:hanging="360"/>
      </w:pPr>
      <w:rPr>
        <w:rFonts w:cs="Times New Roman"/>
      </w:rPr>
    </w:lvl>
    <w:lvl w:ilvl="5" w:tplc="0418001B" w:tentative="1">
      <w:start w:val="1"/>
      <w:numFmt w:val="lowerRoman"/>
      <w:lvlText w:val="%6."/>
      <w:lvlJc w:val="right"/>
      <w:pPr>
        <w:ind w:left="4811" w:hanging="180"/>
      </w:pPr>
      <w:rPr>
        <w:rFonts w:cs="Times New Roman"/>
      </w:rPr>
    </w:lvl>
    <w:lvl w:ilvl="6" w:tplc="0418000F" w:tentative="1">
      <w:start w:val="1"/>
      <w:numFmt w:val="decimal"/>
      <w:lvlText w:val="%7."/>
      <w:lvlJc w:val="left"/>
      <w:pPr>
        <w:ind w:left="5531" w:hanging="360"/>
      </w:pPr>
      <w:rPr>
        <w:rFonts w:cs="Times New Roman"/>
      </w:rPr>
    </w:lvl>
    <w:lvl w:ilvl="7" w:tplc="04180019" w:tentative="1">
      <w:start w:val="1"/>
      <w:numFmt w:val="lowerLetter"/>
      <w:lvlText w:val="%8."/>
      <w:lvlJc w:val="left"/>
      <w:pPr>
        <w:ind w:left="6251" w:hanging="360"/>
      </w:pPr>
      <w:rPr>
        <w:rFonts w:cs="Times New Roman"/>
      </w:rPr>
    </w:lvl>
    <w:lvl w:ilvl="8" w:tplc="0418001B" w:tentative="1">
      <w:start w:val="1"/>
      <w:numFmt w:val="lowerRoman"/>
      <w:lvlText w:val="%9."/>
      <w:lvlJc w:val="right"/>
      <w:pPr>
        <w:ind w:left="6971" w:hanging="180"/>
      </w:pPr>
      <w:rPr>
        <w:rFonts w:cs="Times New Roman"/>
      </w:rPr>
    </w:lvl>
  </w:abstractNum>
  <w:num w:numId="1">
    <w:abstractNumId w:val="7"/>
  </w:num>
  <w:num w:numId="2">
    <w:abstractNumId w:val="40"/>
  </w:num>
  <w:num w:numId="3">
    <w:abstractNumId w:val="24"/>
  </w:num>
  <w:num w:numId="4">
    <w:abstractNumId w:val="11"/>
  </w:num>
  <w:num w:numId="5">
    <w:abstractNumId w:val="15"/>
  </w:num>
  <w:num w:numId="6">
    <w:abstractNumId w:val="49"/>
  </w:num>
  <w:num w:numId="7">
    <w:abstractNumId w:val="14"/>
  </w:num>
  <w:num w:numId="8">
    <w:abstractNumId w:val="25"/>
  </w:num>
  <w:num w:numId="9">
    <w:abstractNumId w:val="19"/>
  </w:num>
  <w:num w:numId="10">
    <w:abstractNumId w:val="28"/>
  </w:num>
  <w:num w:numId="11">
    <w:abstractNumId w:val="34"/>
  </w:num>
  <w:num w:numId="12">
    <w:abstractNumId w:val="2"/>
  </w:num>
  <w:num w:numId="13">
    <w:abstractNumId w:val="18"/>
  </w:num>
  <w:num w:numId="14">
    <w:abstractNumId w:val="17"/>
  </w:num>
  <w:num w:numId="15">
    <w:abstractNumId w:val="37"/>
  </w:num>
  <w:num w:numId="16">
    <w:abstractNumId w:val="4"/>
  </w:num>
  <w:num w:numId="17">
    <w:abstractNumId w:val="16"/>
  </w:num>
  <w:num w:numId="18">
    <w:abstractNumId w:val="29"/>
  </w:num>
  <w:num w:numId="19">
    <w:abstractNumId w:val="46"/>
  </w:num>
  <w:num w:numId="20">
    <w:abstractNumId w:val="39"/>
  </w:num>
  <w:num w:numId="21">
    <w:abstractNumId w:val="26"/>
  </w:num>
  <w:num w:numId="22">
    <w:abstractNumId w:val="47"/>
  </w:num>
  <w:num w:numId="23">
    <w:abstractNumId w:val="12"/>
  </w:num>
  <w:num w:numId="24">
    <w:abstractNumId w:val="21"/>
  </w:num>
  <w:num w:numId="25">
    <w:abstractNumId w:val="43"/>
  </w:num>
  <w:num w:numId="26">
    <w:abstractNumId w:val="10"/>
  </w:num>
  <w:num w:numId="27">
    <w:abstractNumId w:val="31"/>
  </w:num>
  <w:num w:numId="28">
    <w:abstractNumId w:val="20"/>
  </w:num>
  <w:num w:numId="29">
    <w:abstractNumId w:val="42"/>
  </w:num>
  <w:num w:numId="30">
    <w:abstractNumId w:val="8"/>
  </w:num>
  <w:num w:numId="31">
    <w:abstractNumId w:val="9"/>
  </w:num>
  <w:num w:numId="32">
    <w:abstractNumId w:val="13"/>
  </w:num>
  <w:num w:numId="33">
    <w:abstractNumId w:val="38"/>
  </w:num>
  <w:num w:numId="34">
    <w:abstractNumId w:val="23"/>
  </w:num>
  <w:num w:numId="35">
    <w:abstractNumId w:val="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4"/>
  </w:num>
  <w:num w:numId="39">
    <w:abstractNumId w:val="3"/>
  </w:num>
  <w:num w:numId="40">
    <w:abstractNumId w:val="6"/>
  </w:num>
  <w:num w:numId="41">
    <w:abstractNumId w:val="41"/>
  </w:num>
  <w:num w:numId="42">
    <w:abstractNumId w:val="30"/>
  </w:num>
  <w:num w:numId="43">
    <w:abstractNumId w:val="33"/>
  </w:num>
  <w:num w:numId="44">
    <w:abstractNumId w:val="0"/>
  </w:num>
  <w:num w:numId="45">
    <w:abstractNumId w:val="22"/>
  </w:num>
  <w:num w:numId="46">
    <w:abstractNumId w:val="35"/>
  </w:num>
  <w:num w:numId="47">
    <w:abstractNumId w:val="36"/>
  </w:num>
  <w:num w:numId="48">
    <w:abstractNumId w:val="32"/>
  </w:num>
  <w:num w:numId="49">
    <w:abstractNumId w:val="4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6F"/>
    <w:rsid w:val="00002944"/>
    <w:rsid w:val="0002616F"/>
    <w:rsid w:val="000E2330"/>
    <w:rsid w:val="00166AA0"/>
    <w:rsid w:val="001A5BE4"/>
    <w:rsid w:val="001B45B4"/>
    <w:rsid w:val="001C048A"/>
    <w:rsid w:val="002B4A5D"/>
    <w:rsid w:val="00323332"/>
    <w:rsid w:val="00357C20"/>
    <w:rsid w:val="003F636F"/>
    <w:rsid w:val="004077B8"/>
    <w:rsid w:val="004D74A9"/>
    <w:rsid w:val="005864ED"/>
    <w:rsid w:val="005A77BF"/>
    <w:rsid w:val="006C1ECD"/>
    <w:rsid w:val="00707FA1"/>
    <w:rsid w:val="0079024F"/>
    <w:rsid w:val="00970BE9"/>
    <w:rsid w:val="00970E00"/>
    <w:rsid w:val="00A831A9"/>
    <w:rsid w:val="00B71762"/>
    <w:rsid w:val="00B93E6F"/>
    <w:rsid w:val="00BF432B"/>
    <w:rsid w:val="00D74E70"/>
    <w:rsid w:val="00D86788"/>
    <w:rsid w:val="00E26490"/>
    <w:rsid w:val="00E47C13"/>
    <w:rsid w:val="00EC4451"/>
    <w:rsid w:val="00EE4D21"/>
    <w:rsid w:val="00F21D2D"/>
    <w:rsid w:val="00FA75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E9A35-7A7C-4998-8A5B-B8B13F26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636F"/>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36F"/>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aliases w:val="body 2,List_Paragraph,Multilevel para_II"/>
    <w:basedOn w:val="Normal"/>
    <w:link w:val="ListParagraphChar"/>
    <w:uiPriority w:val="34"/>
    <w:qFormat/>
    <w:rsid w:val="003F636F"/>
    <w:pPr>
      <w:ind w:left="720"/>
      <w:contextualSpacing/>
    </w:pPr>
  </w:style>
  <w:style w:type="character" w:customStyle="1" w:styleId="ListParagraphChar">
    <w:name w:val="List Paragraph Char"/>
    <w:aliases w:val="body 2 Char,List_Paragraph Char,Multilevel para_II Char"/>
    <w:link w:val="ListParagraph"/>
    <w:uiPriority w:val="34"/>
    <w:locked/>
    <w:rsid w:val="003F636F"/>
  </w:style>
  <w:style w:type="paragraph" w:styleId="BalloonText">
    <w:name w:val="Balloon Text"/>
    <w:basedOn w:val="Normal"/>
    <w:link w:val="BalloonTextChar"/>
    <w:uiPriority w:val="99"/>
    <w:semiHidden/>
    <w:unhideWhenUsed/>
    <w:rsid w:val="00970E0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70E0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oleObject" Target="file:///E:\Raluca%20PETRICA\1.Date\Desktop\Dna.%20Dir.%20Gheorghe\Prezentare%20situatie%202007%20-%202013%20si%202015%20-%202016\Statistici%20POC.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Buget alocat publici - priva</a:t>
            </a:r>
            <a:r>
              <a:rPr lang="ro-RO"/>
              <a:t>ţ</a:t>
            </a:r>
            <a:r>
              <a:rPr lang="en-US"/>
              <a:t>i - Axa 1 POC (2015)</a:t>
            </a:r>
            <a:endParaRPr lang="ro-RO"/>
          </a:p>
        </c:rich>
      </c:tx>
      <c:overlay val="0"/>
      <c:spPr>
        <a:noFill/>
        <a:ln w="25399">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pattFill prst="dkUpDiag">
                <a:fgClr>
                  <a:schemeClr val="accent3">
                    <a:lumMod val="60000"/>
                    <a:lumOff val="40000"/>
                  </a:schemeClr>
                </a:fgClr>
                <a:bgClr>
                  <a:schemeClr val="bg1"/>
                </a:bgClr>
              </a:pattFill>
              <a:ln w="25399">
                <a:solidFill>
                  <a:schemeClr val="lt1"/>
                </a:solidFill>
              </a:ln>
              <a:effectLst/>
              <a:sp3d contourW="25400">
                <a:contourClr>
                  <a:schemeClr val="lt1"/>
                </a:contourClr>
              </a:sp3d>
            </c:spPr>
          </c:dPt>
          <c:dPt>
            <c:idx val="1"/>
            <c:bubble3D val="0"/>
            <c:spPr>
              <a:pattFill prst="dkDnDiag">
                <a:fgClr>
                  <a:schemeClr val="accent2">
                    <a:lumMod val="60000"/>
                    <a:lumOff val="40000"/>
                  </a:schemeClr>
                </a:fgClr>
                <a:bgClr>
                  <a:schemeClr val="bg1"/>
                </a:bgClr>
              </a:pattFill>
              <a:ln w="25399">
                <a:solidFill>
                  <a:schemeClr val="lt1"/>
                </a:solidFill>
              </a:ln>
              <a:effectLst/>
              <a:sp3d contourW="25400">
                <a:contourClr>
                  <a:schemeClr val="lt1"/>
                </a:contourClr>
              </a:sp3d>
            </c:spPr>
          </c:dPt>
          <c:dLbls>
            <c:dLbl>
              <c:idx val="0"/>
              <c:layout>
                <c:manualLayout>
                  <c:x val="0.14125311736479165"/>
                  <c:y val="5.9338713229014975E-2"/>
                </c:manualLayout>
              </c:layout>
              <c:tx>
                <c:rich>
                  <a:bodyPr/>
                  <a:lstStyle/>
                  <a:p>
                    <a:pPr>
                      <a:defRPr/>
                    </a:pPr>
                    <a:r>
                      <a:rPr lang="en-US" smtClean="0"/>
                      <a:t>1,356 mil. lei; </a:t>
                    </a:r>
                    <a:r>
                      <a:rPr lang="en-US"/>
                      <a:t>74%</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en-US" smtClean="0"/>
                      <a:t>474 mil.lei;     </a:t>
                    </a:r>
                    <a:r>
                      <a:rPr lang="en-US" dirty="0"/>
                      <a:t>26%</a:t>
                    </a:r>
                  </a:p>
                </c:rich>
              </c:tx>
              <c:spPr>
                <a:noFill/>
                <a:ln w="25399">
                  <a:noFill/>
                </a:ln>
              </c:spPr>
              <c:showLegendKey val="0"/>
              <c:showVal val="0"/>
              <c:showCatName val="0"/>
              <c:showSerName val="0"/>
              <c:showPercent val="0"/>
              <c:showBubbleSize val="0"/>
              <c:extLst>
                <c:ext xmlns:c15="http://schemas.microsoft.com/office/drawing/2012/chart" uri="{CE6537A1-D6FC-4f65-9D91-7224C49458BB}"/>
              </c:extLst>
            </c:dLbl>
            <c:spPr>
              <a:noFill/>
              <a:ln w="25399">
                <a:noFill/>
              </a:ln>
            </c:sp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'Bugete alocate'!$I$5:$I$6</c:f>
              <c:strCache>
                <c:ptCount val="2"/>
                <c:pt idx="0">
                  <c:v>Institutii publice</c:v>
                </c:pt>
                <c:pt idx="1">
                  <c:v>Institutii private</c:v>
                </c:pt>
              </c:strCache>
            </c:strRef>
          </c:cat>
          <c:val>
            <c:numRef>
              <c:f>'Bugete alocate'!$J$5:$J$6</c:f>
              <c:numCache>
                <c:formatCode>#,##0</c:formatCode>
                <c:ptCount val="2"/>
                <c:pt idx="0">
                  <c:v>1356</c:v>
                </c:pt>
                <c:pt idx="1">
                  <c:v>474</c:v>
                </c:pt>
              </c:numCache>
            </c:numRef>
          </c:val>
        </c:ser>
        <c:dLbls>
          <c:showLegendKey val="0"/>
          <c:showVal val="0"/>
          <c:showCatName val="0"/>
          <c:showSerName val="0"/>
          <c:showPercent val="0"/>
          <c:showBubbleSize val="0"/>
          <c:showLeaderLines val="1"/>
        </c:dLbls>
      </c:pie3DChart>
      <c:spPr>
        <a:noFill/>
        <a:ln w="25399">
          <a:noFill/>
        </a:ln>
      </c:spPr>
    </c:plotArea>
    <c:legend>
      <c:legendPos val="b"/>
      <c:overlay val="0"/>
      <c:spPr>
        <a:noFill/>
        <a:ln w="25399">
          <a:noFill/>
        </a:ln>
      </c:spPr>
      <c:txPr>
        <a:bodyPr rot="0" vert="horz"/>
        <a:lstStyle/>
        <a:p>
          <a:pPr>
            <a:defRPr sz="1200"/>
          </a:pPr>
          <a:endParaRPr lang="ro-RO"/>
        </a:p>
      </c:txPr>
    </c:legend>
    <c:plotVisOnly val="1"/>
    <c:dispBlanksAs val="gap"/>
    <c:showDLblsOverMax val="0"/>
  </c:chart>
  <c:spPr>
    <a:solidFill>
      <a:sysClr val="window" lastClr="FFFFFF"/>
    </a:solidFill>
    <a:ln w="25399" cap="flat" cmpd="sng" algn="ctr">
      <a:solidFill>
        <a:srgbClr val="70AD47"/>
      </a:solidFill>
      <a:prstDash val="solid"/>
    </a:ln>
    <a:effectLst/>
  </c:spPr>
  <c:txPr>
    <a:bodyPr/>
    <a:lstStyle/>
    <a:p>
      <a:pPr>
        <a:defRPr>
          <a:solidFill>
            <a:sysClr val="windowText" lastClr="000000"/>
          </a:solidFill>
          <a:latin typeface="+mn-lt"/>
          <a:ea typeface="+mn-ea"/>
          <a:cs typeface="+mn-cs"/>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Distribu</a:t>
            </a:r>
            <a:r>
              <a:rPr lang="ro-RO"/>
              <a:t>ţ</a:t>
            </a:r>
            <a:r>
              <a:rPr lang="en-US"/>
              <a:t>ia AFN solicitat</a:t>
            </a:r>
            <a:r>
              <a:rPr lang="ro-RO"/>
              <a:t>ă</a:t>
            </a:r>
            <a:r>
              <a:rPr lang="en-US"/>
              <a:t> per institu</a:t>
            </a:r>
            <a:r>
              <a:rPr lang="ro-RO"/>
              <a:t>ţ</a:t>
            </a:r>
            <a:r>
              <a:rPr lang="en-US"/>
              <a:t>ii publice </a:t>
            </a:r>
            <a:r>
              <a:rPr lang="ro-RO"/>
              <a:t>ş</a:t>
            </a:r>
            <a:r>
              <a:rPr lang="en-US"/>
              <a:t>i private - Axa 1 - POC  (anul 2015) </a:t>
            </a:r>
            <a:endParaRPr lang="ro-RO"/>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3">
                  <a:lumMod val="60000"/>
                  <a:lumOff val="40000"/>
                </a:schemeClr>
              </a:solidFill>
              <a:ln w="25400">
                <a:solidFill>
                  <a:schemeClr val="lt1"/>
                </a:solidFill>
              </a:ln>
              <a:effectLst/>
              <a:sp3d contourW="25400">
                <a:contourClr>
                  <a:schemeClr val="lt1"/>
                </a:contourClr>
              </a:sp3d>
            </c:spPr>
          </c:dPt>
          <c:dPt>
            <c:idx val="1"/>
            <c:bubble3D val="0"/>
            <c:spPr>
              <a:solidFill>
                <a:schemeClr val="accent2">
                  <a:lumMod val="60000"/>
                  <a:lumOff val="40000"/>
                </a:schemeClr>
              </a:solidFill>
              <a:ln w="25400">
                <a:solidFill>
                  <a:schemeClr val="lt1"/>
                </a:solidFill>
              </a:ln>
              <a:effectLst/>
              <a:sp3d contourW="25400">
                <a:contourClr>
                  <a:schemeClr val="lt1"/>
                </a:contourClr>
              </a:sp3d>
            </c:spPr>
          </c:dPt>
          <c:dLbls>
            <c:dLbl>
              <c:idx val="0"/>
              <c:tx>
                <c:rich>
                  <a:bodyPr/>
                  <a:lstStyle/>
                  <a:p>
                    <a:r>
                      <a:rPr lang="en-US" sz="900" dirty="0" smtClean="0"/>
                      <a:t>6,506 </a:t>
                    </a:r>
                    <a:r>
                      <a:rPr lang="en-US" sz="900" dirty="0" err="1" smtClean="0"/>
                      <a:t>mil.lei</a:t>
                    </a:r>
                    <a:r>
                      <a:rPr lang="en-US" sz="900" dirty="0" smtClean="0"/>
                      <a:t>; </a:t>
                    </a:r>
                    <a:r>
                      <a:rPr lang="en-US" sz="900" dirty="0"/>
                      <a:t>86%</a:t>
                    </a:r>
                    <a:endParaRPr lang="en-US" dirty="0"/>
                  </a:p>
                </c:rich>
              </c:tx>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900" smtClean="0"/>
                      <a:t>1,033 mil.lei;  </a:t>
                    </a:r>
                    <a:r>
                      <a:rPr lang="en-US" sz="900"/>
                      <a:t>14%</a:t>
                    </a:r>
                    <a:endParaRPr lang="en-US"/>
                  </a:p>
                </c:rich>
              </c:tx>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a:pPr>
                <a:endParaRPr lang="ro-RO"/>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'Bugete AFN'!$J$4:$J$5</c:f>
              <c:strCache>
                <c:ptCount val="2"/>
                <c:pt idx="0">
                  <c:v>Institutii Publice</c:v>
                </c:pt>
                <c:pt idx="1">
                  <c:v>Institutii Private</c:v>
                </c:pt>
              </c:strCache>
            </c:strRef>
          </c:cat>
          <c:val>
            <c:numRef>
              <c:f>'Bugete AFN'!$K$4:$K$5</c:f>
              <c:numCache>
                <c:formatCode>#,##0</c:formatCode>
                <c:ptCount val="2"/>
                <c:pt idx="0">
                  <c:v>6506.098967070001</c:v>
                </c:pt>
                <c:pt idx="1">
                  <c:v>1033.3680884600001</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spPr>
        <a:noFill/>
        <a:ln w="25400">
          <a:noFill/>
        </a:ln>
      </c:spPr>
      <c:txPr>
        <a:bodyPr rot="0" vert="horz"/>
        <a:lstStyle/>
        <a:p>
          <a:pPr>
            <a:defRPr/>
          </a:pPr>
          <a:endParaRPr lang="ro-RO"/>
        </a:p>
      </c:txPr>
    </c:legend>
    <c:plotVisOnly val="1"/>
    <c:dispBlanksAs val="gap"/>
    <c:showDLblsOverMax val="0"/>
  </c:chart>
  <c:spPr>
    <a:solidFill>
      <a:sysClr val="window" lastClr="FFFFFF"/>
    </a:solidFill>
    <a:ln w="25400" cap="flat" cmpd="sng" algn="ctr">
      <a:solidFill>
        <a:srgbClr val="70AD47"/>
      </a:solidFill>
      <a:prstDash val="solid"/>
    </a:ln>
    <a:effectLst/>
  </c:spPr>
  <c:txPr>
    <a:bodyPr/>
    <a:lstStyle/>
    <a:p>
      <a:pPr>
        <a:defRPr>
          <a:solidFill>
            <a:sysClr val="windowText" lastClr="000000"/>
          </a:solidFill>
          <a:latin typeface="+mn-lt"/>
          <a:ea typeface="+mn-ea"/>
          <a:cs typeface="+mn-cs"/>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Nr</a:t>
            </a:r>
            <a:r>
              <a:rPr lang="ro-RO" sz="1200" baseline="0"/>
              <a:t>. de proiecte depuse - instituţii publice şi private</a:t>
            </a:r>
            <a:r>
              <a:rPr lang="en-US" sz="1200" baseline="0"/>
              <a:t> - pentru apelurile lansate </a:t>
            </a:r>
            <a:r>
              <a:rPr lang="ro-RO" sz="1200" baseline="0"/>
              <a:t>î</a:t>
            </a:r>
            <a:r>
              <a:rPr lang="en-US" sz="1200" b="1" i="0" u="none" strike="noStrike" baseline="0">
                <a:effectLst/>
              </a:rPr>
              <a:t>n cadrul </a:t>
            </a:r>
            <a:r>
              <a:rPr lang="en-US" sz="1200" baseline="0"/>
              <a:t>Axa 1 - POC (anul 2015)</a:t>
            </a:r>
            <a:endParaRPr lang="ro-RO" sz="1200"/>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5">
                  <a:lumMod val="60000"/>
                  <a:lumOff val="40000"/>
                </a:schemeClr>
              </a:solidFill>
              <a:ln>
                <a:noFill/>
              </a:ln>
              <a:effectLst>
                <a:outerShdw blurRad="254000" sx="102000" sy="102000" algn="ctr" rotWithShape="0">
                  <a:prstClr val="black">
                    <a:alpha val="20000"/>
                  </a:prstClr>
                </a:outerShdw>
              </a:effectLst>
              <a:sp3d/>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a:sp3d/>
            </c:spPr>
          </c:dPt>
          <c:dLbls>
            <c:dLbl>
              <c:idx val="0"/>
              <c:tx>
                <c:rich>
                  <a:bodyPr/>
                  <a:lstStyle/>
                  <a:p>
                    <a:r>
                      <a:rPr lang="en-US" smtClean="0"/>
                      <a:t>389 pr.;  </a:t>
                    </a:r>
                    <a:r>
                      <a:rPr lang="en-US"/>
                      <a:t>71%</a:t>
                    </a:r>
                  </a:p>
                </c:rich>
              </c:tx>
              <c:dLblPos val="ctr"/>
              <c:showLegendKey val="0"/>
              <c:showVal val="1"/>
              <c:showCatName val="0"/>
              <c:showSerName val="0"/>
              <c:showPercent val="1"/>
              <c:showBubbleSize val="0"/>
              <c:extLst>
                <c:ext xmlns:c15="http://schemas.microsoft.com/office/drawing/2012/chart" uri="{CE6537A1-D6FC-4f65-9D91-7224C49458BB}"/>
              </c:extLst>
            </c:dLbl>
            <c:dLbl>
              <c:idx val="1"/>
              <c:tx>
                <c:rich>
                  <a:bodyPr/>
                  <a:lstStyle/>
                  <a:p>
                    <a:r>
                      <a:rPr lang="en-US" smtClean="0"/>
                      <a:t>156 pr.;  </a:t>
                    </a:r>
                    <a:r>
                      <a:rPr lang="en-US"/>
                      <a:t>29%</a:t>
                    </a:r>
                  </a:p>
                </c:rich>
              </c:tx>
              <c:dLblPos val="ctr"/>
              <c:showLegendKey val="0"/>
              <c:showVal val="1"/>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o-RO"/>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'Nr. proiecte'!$K$2:$K$3</c:f>
              <c:strCache>
                <c:ptCount val="2"/>
                <c:pt idx="0">
                  <c:v>Nr. proiecte depuse institutii publice</c:v>
                </c:pt>
                <c:pt idx="1">
                  <c:v>Nr. proiecte depuse institutii private</c:v>
                </c:pt>
              </c:strCache>
            </c:strRef>
          </c:cat>
          <c:val>
            <c:numRef>
              <c:f>'Nr. proiecte'!$L$2:$L$3</c:f>
              <c:numCache>
                <c:formatCode>General</c:formatCode>
                <c:ptCount val="2"/>
                <c:pt idx="0">
                  <c:v>389</c:v>
                </c:pt>
                <c:pt idx="1">
                  <c:v>156</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o-R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b="1" dirty="0" err="1"/>
              <a:t>Distribu</a:t>
            </a:r>
            <a:r>
              <a:rPr lang="ro-RO" b="1" dirty="0" err="1"/>
              <a:t>ţ</a:t>
            </a:r>
            <a:r>
              <a:rPr lang="en-US" b="1" dirty="0" err="1"/>
              <a:t>ia</a:t>
            </a:r>
            <a:r>
              <a:rPr lang="en-US" b="1" dirty="0"/>
              <a:t> </a:t>
            </a:r>
            <a:r>
              <a:rPr lang="en-US" b="1" dirty="0" err="1"/>
              <a:t>procentual</a:t>
            </a:r>
            <a:r>
              <a:rPr lang="ro-RO" b="1" dirty="0" err="1"/>
              <a:t>ă</a:t>
            </a:r>
            <a:r>
              <a:rPr lang="en-US" b="1" dirty="0"/>
              <a:t> a </a:t>
            </a:r>
            <a:r>
              <a:rPr lang="en-US" b="1" dirty="0" err="1"/>
              <a:t>Nr</a:t>
            </a:r>
            <a:r>
              <a:rPr lang="en-US" b="1" dirty="0"/>
              <a:t>. de </a:t>
            </a:r>
            <a:r>
              <a:rPr lang="en-US" b="1" dirty="0" err="1"/>
              <a:t>proiecte</a:t>
            </a:r>
            <a:r>
              <a:rPr lang="en-US" b="1" dirty="0"/>
              <a:t> </a:t>
            </a:r>
            <a:r>
              <a:rPr lang="en-US" b="1" dirty="0" err="1"/>
              <a:t>depuse</a:t>
            </a:r>
            <a:r>
              <a:rPr lang="en-US" b="1" dirty="0"/>
              <a:t> per </a:t>
            </a:r>
            <a:r>
              <a:rPr lang="en-US" b="1" dirty="0" err="1"/>
              <a:t>domeniu</a:t>
            </a:r>
            <a:r>
              <a:rPr lang="en-US" b="1" dirty="0"/>
              <a:t> de </a:t>
            </a:r>
            <a:r>
              <a:rPr lang="en-US" b="1" dirty="0" err="1"/>
              <a:t>specializare</a:t>
            </a:r>
            <a:r>
              <a:rPr lang="en-US" b="1" dirty="0"/>
              <a:t> </a:t>
            </a:r>
            <a:r>
              <a:rPr lang="en-US" b="1" dirty="0" err="1"/>
              <a:t>inteligent</a:t>
            </a:r>
            <a:r>
              <a:rPr lang="ro-RO" b="1" dirty="0" err="1"/>
              <a:t>ă</a:t>
            </a:r>
            <a:r>
              <a:rPr lang="en-US" b="1" dirty="0"/>
              <a:t> </a:t>
            </a:r>
            <a:r>
              <a:rPr lang="ro-RO" b="1" dirty="0"/>
              <a:t>ş</a:t>
            </a:r>
            <a:r>
              <a:rPr lang="en-US" b="1" dirty="0" err="1"/>
              <a:t>i</a:t>
            </a:r>
            <a:r>
              <a:rPr lang="en-US" b="1" dirty="0"/>
              <a:t> </a:t>
            </a:r>
            <a:r>
              <a:rPr lang="en-US" b="1" dirty="0" err="1"/>
              <a:t>s</a:t>
            </a:r>
            <a:r>
              <a:rPr lang="ro-RO" b="1" dirty="0" err="1"/>
              <a:t>ă</a:t>
            </a:r>
            <a:r>
              <a:rPr lang="en-US" b="1" dirty="0" err="1"/>
              <a:t>n</a:t>
            </a:r>
            <a:r>
              <a:rPr lang="ro-RO" b="1" dirty="0" err="1"/>
              <a:t>ă</a:t>
            </a:r>
            <a:r>
              <a:rPr lang="en-US" b="1" dirty="0" err="1"/>
              <a:t>tate</a:t>
            </a:r>
            <a:r>
              <a:rPr lang="en-US" b="1" dirty="0"/>
              <a:t> – </a:t>
            </a:r>
            <a:r>
              <a:rPr lang="en-US" b="1" dirty="0" err="1"/>
              <a:t>Axa</a:t>
            </a:r>
            <a:r>
              <a:rPr lang="en-US" b="1" dirty="0"/>
              <a:t> 1 POC (2015) </a:t>
            </a:r>
          </a:p>
        </c:rich>
      </c:tx>
      <c:overlay val="0"/>
      <c:spPr>
        <a:noFill/>
        <a:ln w="25400">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Sheet3!$C$14</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spPr>
              <a:noFill/>
              <a:ln w="25400">
                <a:noFill/>
              </a:ln>
            </c:spPr>
            <c:txPr>
              <a:bodyPr rot="0" spcFirstLastPara="1" vertOverflow="ellipsis" vert="horz" wrap="square" anchor="ctr" anchorCtr="1"/>
              <a:lstStyle/>
              <a:p>
                <a:pPr>
                  <a:defRPr sz="1050" b="0" i="0" u="none" strike="noStrike" kern="1200" baseline="0">
                    <a:solidFill>
                      <a:schemeClr val="dk1"/>
                    </a:solidFill>
                    <a:latin typeface="+mn-lt"/>
                    <a:ea typeface="+mn-ea"/>
                    <a:cs typeface="+mn-cs"/>
                  </a:defRPr>
                </a:pPr>
                <a:endParaRPr lang="ro-R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Sheet3!$B$15:$B$20</c:f>
              <c:strCache>
                <c:ptCount val="6"/>
                <c:pt idx="0">
                  <c:v> biotehnologii</c:v>
                </c:pt>
                <c:pt idx="1">
                  <c:v>tic</c:v>
                </c:pt>
                <c:pt idx="2">
                  <c:v>energie</c:v>
                </c:pt>
                <c:pt idx="3">
                  <c:v>eco-nano</c:v>
                </c:pt>
                <c:pt idx="4">
                  <c:v>sanatate</c:v>
                </c:pt>
                <c:pt idx="5">
                  <c:v>TOTAL</c:v>
                </c:pt>
              </c:strCache>
            </c:strRef>
          </c:cat>
          <c:val>
            <c:numRef>
              <c:f>Sheet3!$C$15:$C$20</c:f>
              <c:numCache>
                <c:formatCode>General</c:formatCode>
                <c:ptCount val="6"/>
                <c:pt idx="0">
                  <c:v>16.600000000000001</c:v>
                </c:pt>
                <c:pt idx="1">
                  <c:v>22</c:v>
                </c:pt>
                <c:pt idx="2">
                  <c:v>14.7</c:v>
                </c:pt>
                <c:pt idx="3">
                  <c:v>27.6</c:v>
                </c:pt>
                <c:pt idx="4">
                  <c:v>19</c:v>
                </c:pt>
              </c:numCache>
            </c:numRef>
          </c:val>
        </c:ser>
        <c:dLbls>
          <c:showLegendKey val="0"/>
          <c:showVal val="0"/>
          <c:showCatName val="0"/>
          <c:showSerName val="0"/>
          <c:showPercent val="0"/>
          <c:showBubbleSize val="0"/>
          <c:showLeaderLines val="1"/>
        </c:dLbls>
      </c:pie3DChart>
      <c:spPr>
        <a:noFill/>
        <a:ln w="25400">
          <a:noFill/>
        </a:ln>
      </c:spPr>
    </c:plotArea>
    <c:legend>
      <c:legendPos val="b"/>
      <c:legendEntry>
        <c:idx val="5"/>
        <c:delete val="1"/>
      </c:legendEntry>
      <c:overlay val="0"/>
      <c:spPr>
        <a:noFill/>
        <a:ln w="25400">
          <a:noFill/>
        </a:ln>
      </c:spPr>
      <c:txPr>
        <a:bodyPr rot="0" spcFirstLastPara="1" vertOverflow="ellipsis" vert="horz" wrap="square" anchor="ctr" anchorCtr="1"/>
        <a:lstStyle/>
        <a:p>
          <a:pPr>
            <a:defRPr sz="1100" b="0" i="0" u="none" strike="noStrike" kern="1200" baseline="0">
              <a:solidFill>
                <a:schemeClr val="dk1"/>
              </a:solidFill>
              <a:latin typeface="+mn-lt"/>
              <a:ea typeface="+mn-ea"/>
              <a:cs typeface="+mn-cs"/>
            </a:defRPr>
          </a:pPr>
          <a:endParaRPr lang="ro-RO"/>
        </a:p>
      </c:txPr>
    </c:legend>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25</Pages>
  <Words>9526</Words>
  <Characters>55256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oana.iordache</dc:creator>
  <cp:keywords/>
  <dc:description/>
  <cp:lastModifiedBy>adriana.tirica</cp:lastModifiedBy>
  <cp:revision>5</cp:revision>
  <cp:lastPrinted>2016-05-20T07:06:00Z</cp:lastPrinted>
  <dcterms:created xsi:type="dcterms:W3CDTF">2016-05-23T15:07:00Z</dcterms:created>
  <dcterms:modified xsi:type="dcterms:W3CDTF">2016-05-23T15:13:00Z</dcterms:modified>
</cp:coreProperties>
</file>