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E9" w:rsidRPr="003961F2" w:rsidRDefault="00427278" w:rsidP="00DC2FB5">
      <w:pPr>
        <w:autoSpaceDE w:val="0"/>
        <w:autoSpaceDN w:val="0"/>
        <w:adjustRightInd w:val="0"/>
        <w:spacing w:after="0"/>
        <w:jc w:val="center"/>
        <w:rPr>
          <w:rFonts w:ascii="Arial" w:hAnsi="Arial" w:cs="Arial"/>
          <w:b/>
          <w:color w:val="1F497D" w:themeColor="text2"/>
          <w:sz w:val="28"/>
          <w:szCs w:val="28"/>
        </w:rPr>
      </w:pPr>
      <w:r w:rsidRPr="003961F2">
        <w:rPr>
          <w:rFonts w:ascii="Arial" w:hAnsi="Arial" w:cs="Arial"/>
          <w:b/>
          <w:color w:val="1F497D" w:themeColor="text2"/>
          <w:sz w:val="28"/>
          <w:szCs w:val="28"/>
        </w:rPr>
        <w:t>M</w:t>
      </w:r>
      <w:r w:rsidR="00F964E9" w:rsidRPr="003961F2">
        <w:rPr>
          <w:rFonts w:ascii="Arial" w:hAnsi="Arial" w:cs="Arial"/>
          <w:b/>
          <w:color w:val="1F497D" w:themeColor="text2"/>
          <w:sz w:val="28"/>
          <w:szCs w:val="28"/>
        </w:rPr>
        <w:t>INERITUL ÎN MEXIC</w:t>
      </w:r>
    </w:p>
    <w:p w:rsidR="00BA32A2" w:rsidRPr="003961F2" w:rsidRDefault="00BA32A2" w:rsidP="00DC2FB5">
      <w:pPr>
        <w:autoSpaceDE w:val="0"/>
        <w:autoSpaceDN w:val="0"/>
        <w:adjustRightInd w:val="0"/>
        <w:spacing w:after="0"/>
        <w:jc w:val="center"/>
        <w:rPr>
          <w:rFonts w:ascii="Arial" w:hAnsi="Arial" w:cs="Arial"/>
          <w:b/>
          <w:color w:val="1F497D" w:themeColor="text2"/>
          <w:sz w:val="28"/>
          <w:szCs w:val="28"/>
        </w:rPr>
      </w:pPr>
    </w:p>
    <w:p w:rsidR="00427278" w:rsidRPr="003961F2" w:rsidRDefault="00427278" w:rsidP="00DC2FB5">
      <w:pPr>
        <w:autoSpaceDE w:val="0"/>
        <w:autoSpaceDN w:val="0"/>
        <w:adjustRightInd w:val="0"/>
        <w:spacing w:after="0"/>
        <w:jc w:val="center"/>
        <w:rPr>
          <w:rFonts w:ascii="Arial" w:hAnsi="Arial" w:cs="Arial"/>
          <w:b/>
          <w:color w:val="1F497D" w:themeColor="text2"/>
          <w:sz w:val="28"/>
          <w:szCs w:val="28"/>
        </w:rPr>
      </w:pPr>
      <w:r w:rsidRPr="003961F2">
        <w:rPr>
          <w:rFonts w:ascii="Arial" w:hAnsi="Arial" w:cs="Arial"/>
          <w:b/>
          <w:color w:val="1F497D" w:themeColor="text2"/>
          <w:sz w:val="28"/>
          <w:szCs w:val="28"/>
        </w:rPr>
        <w:t xml:space="preserve">O </w:t>
      </w:r>
      <w:r w:rsidR="00CB58A9" w:rsidRPr="003961F2">
        <w:rPr>
          <w:rFonts w:ascii="Arial" w:hAnsi="Arial" w:cs="Arial"/>
          <w:b/>
          <w:color w:val="1F497D" w:themeColor="text2"/>
          <w:sz w:val="28"/>
          <w:szCs w:val="28"/>
        </w:rPr>
        <w:t>INDUSTRIE COMPETITIVĂ</w:t>
      </w:r>
    </w:p>
    <w:p w:rsidR="00F964E9" w:rsidRPr="003961F2" w:rsidRDefault="00F964E9" w:rsidP="00DC2FB5">
      <w:pPr>
        <w:autoSpaceDE w:val="0"/>
        <w:autoSpaceDN w:val="0"/>
        <w:adjustRightInd w:val="0"/>
        <w:spacing w:after="0"/>
        <w:rPr>
          <w:rFonts w:ascii="Arial" w:hAnsi="Arial" w:cs="Arial"/>
          <w:b/>
          <w:color w:val="1F497D" w:themeColor="text2"/>
        </w:rPr>
      </w:pPr>
    </w:p>
    <w:tbl>
      <w:tblPr>
        <w:tblStyle w:val="TableGrid"/>
        <w:tblW w:w="0" w:type="auto"/>
        <w:tblInd w:w="108" w:type="dxa"/>
        <w:tblLook w:val="04A0" w:firstRow="1" w:lastRow="0" w:firstColumn="1" w:lastColumn="0" w:noHBand="0" w:noVBand="1"/>
      </w:tblPr>
      <w:tblGrid>
        <w:gridCol w:w="9356"/>
      </w:tblGrid>
      <w:tr w:rsidR="00CB58A9" w:rsidRPr="00DC2FB5" w:rsidTr="00CB58A9">
        <w:tc>
          <w:tcPr>
            <w:tcW w:w="9356" w:type="dxa"/>
          </w:tcPr>
          <w:p w:rsidR="00CB58A9" w:rsidRPr="00DC2FB5" w:rsidRDefault="00CB58A9" w:rsidP="004145E3">
            <w:pPr>
              <w:shd w:val="clear" w:color="auto" w:fill="C6D9F1" w:themeFill="text2" w:themeFillTint="33"/>
              <w:autoSpaceDE w:val="0"/>
              <w:autoSpaceDN w:val="0"/>
              <w:adjustRightInd w:val="0"/>
              <w:spacing w:line="276" w:lineRule="auto"/>
              <w:rPr>
                <w:rFonts w:ascii="Arial" w:hAnsi="Arial" w:cs="Arial"/>
                <w:color w:val="000000"/>
                <w:sz w:val="24"/>
                <w:szCs w:val="24"/>
              </w:rPr>
            </w:pPr>
            <w:r w:rsidRPr="00DC2FB5">
              <w:rPr>
                <w:rFonts w:ascii="Arial" w:hAnsi="Arial" w:cs="Arial"/>
                <w:color w:val="000000"/>
                <w:sz w:val="24"/>
                <w:szCs w:val="24"/>
              </w:rPr>
              <w:t>Preţul energiei electrice, o contribuţie importantă a structurii costurilor companiilor miniere, a scăzut cu 26, 8% pentru industrie</w:t>
            </w:r>
            <w:r w:rsidR="004145E3">
              <w:rPr>
                <w:rFonts w:ascii="Arial" w:hAnsi="Arial" w:cs="Arial"/>
                <w:color w:val="000000"/>
                <w:sz w:val="24"/>
                <w:szCs w:val="24"/>
              </w:rPr>
              <w:t>,</w:t>
            </w:r>
            <w:r w:rsidRPr="00DC2FB5">
              <w:rPr>
                <w:rFonts w:ascii="Arial" w:hAnsi="Arial" w:cs="Arial"/>
                <w:color w:val="000000"/>
                <w:sz w:val="24"/>
                <w:szCs w:val="24"/>
              </w:rPr>
              <w:t xml:space="preserve"> în perioada ianuarie 2014 şi decembrie 2015.</w:t>
            </w:r>
          </w:p>
        </w:tc>
      </w:tr>
    </w:tbl>
    <w:p w:rsidR="00CB58A9" w:rsidRPr="00DC2FB5" w:rsidRDefault="00CB58A9" w:rsidP="00DC2FB5">
      <w:pPr>
        <w:autoSpaceDE w:val="0"/>
        <w:autoSpaceDN w:val="0"/>
        <w:adjustRightInd w:val="0"/>
        <w:spacing w:after="0"/>
        <w:rPr>
          <w:rFonts w:ascii="Arial" w:hAnsi="Arial" w:cs="Arial"/>
          <w:sz w:val="24"/>
          <w:szCs w:val="24"/>
        </w:rPr>
      </w:pPr>
    </w:p>
    <w:p w:rsidR="00CB58A9" w:rsidRPr="00DC2FB5" w:rsidRDefault="005A3124" w:rsidP="00DC2FB5">
      <w:pPr>
        <w:shd w:val="clear" w:color="auto" w:fill="D9D9D9" w:themeFill="background1" w:themeFillShade="D9"/>
        <w:autoSpaceDE w:val="0"/>
        <w:autoSpaceDN w:val="0"/>
        <w:adjustRightInd w:val="0"/>
        <w:spacing w:after="0"/>
        <w:rPr>
          <w:rFonts w:ascii="Arial" w:hAnsi="Arial" w:cs="Arial"/>
          <w:sz w:val="24"/>
          <w:szCs w:val="24"/>
        </w:rPr>
      </w:pPr>
      <w:r w:rsidRPr="00DC2FB5">
        <w:rPr>
          <w:rFonts w:ascii="Arial" w:hAnsi="Arial" w:cs="Arial"/>
          <w:sz w:val="24"/>
          <w:szCs w:val="24"/>
        </w:rPr>
        <w:t>DIRE</w:t>
      </w:r>
      <w:r w:rsidRPr="00DC2FB5">
        <w:rPr>
          <w:rFonts w:ascii="Arial" w:hAnsi="Arial" w:cs="Arial"/>
          <w:sz w:val="24"/>
          <w:szCs w:val="24"/>
          <w:lang w:val="ro-RO"/>
        </w:rPr>
        <w:t xml:space="preserve">CŢIA GENERALĂ </w:t>
      </w:r>
      <w:r w:rsidR="00F964E9" w:rsidRPr="00DC2FB5">
        <w:rPr>
          <w:rFonts w:ascii="Arial" w:hAnsi="Arial" w:cs="Arial"/>
          <w:sz w:val="24"/>
          <w:szCs w:val="24"/>
          <w:lang w:val="ro-RO"/>
        </w:rPr>
        <w:t xml:space="preserve">PENTRU </w:t>
      </w:r>
      <w:r w:rsidRPr="00DC2FB5">
        <w:rPr>
          <w:rFonts w:ascii="Arial" w:hAnsi="Arial" w:cs="Arial"/>
          <w:sz w:val="24"/>
          <w:szCs w:val="24"/>
          <w:lang w:val="ro-RO"/>
        </w:rPr>
        <w:t xml:space="preserve">MINERIT, COORDONAREA </w:t>
      </w:r>
      <w:r w:rsidR="004145E3" w:rsidRPr="00DC2FB5">
        <w:rPr>
          <w:rFonts w:ascii="Arial" w:hAnsi="Arial" w:cs="Arial"/>
          <w:sz w:val="24"/>
          <w:szCs w:val="24"/>
          <w:lang w:val="ro-RO"/>
        </w:rPr>
        <w:t xml:space="preserve">GENERALĂ </w:t>
      </w:r>
      <w:r w:rsidR="004145E3">
        <w:rPr>
          <w:rFonts w:ascii="Arial" w:hAnsi="Arial" w:cs="Arial"/>
          <w:sz w:val="24"/>
          <w:szCs w:val="24"/>
          <w:lang w:val="ro-RO"/>
        </w:rPr>
        <w:t>A</w:t>
      </w:r>
      <w:r w:rsidRPr="00DC2FB5">
        <w:rPr>
          <w:rFonts w:ascii="Arial" w:hAnsi="Arial" w:cs="Arial"/>
          <w:sz w:val="24"/>
          <w:szCs w:val="24"/>
          <w:lang w:val="ro-RO"/>
        </w:rPr>
        <w:t xml:space="preserve"> MINERITULUI</w:t>
      </w:r>
      <w:r w:rsidR="00CB58A9" w:rsidRPr="00DC2FB5">
        <w:rPr>
          <w:rFonts w:ascii="Arial" w:hAnsi="Arial" w:cs="Arial"/>
          <w:sz w:val="24"/>
          <w:szCs w:val="24"/>
        </w:rPr>
        <w:t>, M</w:t>
      </w:r>
      <w:r w:rsidRPr="00DC2FB5">
        <w:rPr>
          <w:rFonts w:ascii="Arial" w:hAnsi="Arial" w:cs="Arial"/>
          <w:sz w:val="24"/>
          <w:szCs w:val="24"/>
        </w:rPr>
        <w:t>INISTERUL ECONOMIEI</w:t>
      </w:r>
    </w:p>
    <w:p w:rsidR="00CB58A9" w:rsidRPr="00DC2FB5" w:rsidRDefault="00CB58A9" w:rsidP="00DC2FB5">
      <w:pPr>
        <w:autoSpaceDE w:val="0"/>
        <w:autoSpaceDN w:val="0"/>
        <w:adjustRightInd w:val="0"/>
        <w:spacing w:after="0"/>
        <w:rPr>
          <w:rFonts w:ascii="Arial" w:hAnsi="Arial" w:cs="Arial"/>
          <w:b/>
          <w:sz w:val="24"/>
          <w:szCs w:val="24"/>
        </w:rPr>
      </w:pPr>
    </w:p>
    <w:p w:rsidR="00427278" w:rsidRPr="00DC2FB5" w:rsidRDefault="006A407B" w:rsidP="00DC2FB5">
      <w:pPr>
        <w:autoSpaceDE w:val="0"/>
        <w:autoSpaceDN w:val="0"/>
        <w:adjustRightInd w:val="0"/>
        <w:spacing w:after="0"/>
        <w:jc w:val="both"/>
        <w:rPr>
          <w:rFonts w:ascii="Arial" w:hAnsi="Arial" w:cs="Arial"/>
          <w:color w:val="000000"/>
          <w:sz w:val="24"/>
          <w:szCs w:val="24"/>
        </w:rPr>
      </w:pPr>
      <w:r w:rsidRPr="00DC2FB5">
        <w:rPr>
          <w:rFonts w:ascii="Arial" w:hAnsi="Arial" w:cs="Arial"/>
          <w:color w:val="000000"/>
          <w:sz w:val="24"/>
          <w:szCs w:val="24"/>
        </w:rPr>
        <w:t>Investiţi</w:t>
      </w:r>
      <w:r w:rsidR="006E0961">
        <w:rPr>
          <w:rFonts w:ascii="Arial" w:hAnsi="Arial" w:cs="Arial"/>
          <w:color w:val="000000"/>
          <w:sz w:val="24"/>
          <w:szCs w:val="24"/>
        </w:rPr>
        <w:t>ile</w:t>
      </w:r>
      <w:r w:rsidRPr="00DC2FB5">
        <w:rPr>
          <w:rFonts w:ascii="Arial" w:hAnsi="Arial" w:cs="Arial"/>
          <w:color w:val="000000"/>
          <w:sz w:val="24"/>
          <w:szCs w:val="24"/>
        </w:rPr>
        <w:t xml:space="preserve"> în </w:t>
      </w:r>
      <w:r w:rsidR="00427278" w:rsidRPr="00DC2FB5">
        <w:rPr>
          <w:rFonts w:ascii="Arial" w:hAnsi="Arial" w:cs="Arial"/>
          <w:color w:val="000000"/>
          <w:sz w:val="24"/>
          <w:szCs w:val="24"/>
        </w:rPr>
        <w:t xml:space="preserve">sectorul minier </w:t>
      </w:r>
      <w:r w:rsidRPr="00DC2FB5">
        <w:rPr>
          <w:rFonts w:ascii="Arial" w:hAnsi="Arial" w:cs="Arial"/>
          <w:color w:val="000000"/>
          <w:sz w:val="24"/>
          <w:szCs w:val="24"/>
        </w:rPr>
        <w:t xml:space="preserve">naţional </w:t>
      </w:r>
      <w:r w:rsidR="00427278" w:rsidRPr="00DC2FB5">
        <w:rPr>
          <w:rFonts w:ascii="Arial" w:hAnsi="Arial" w:cs="Arial"/>
          <w:color w:val="000000"/>
          <w:sz w:val="24"/>
          <w:szCs w:val="24"/>
        </w:rPr>
        <w:t>a</w:t>
      </w:r>
      <w:r w:rsidR="006E0961">
        <w:rPr>
          <w:rFonts w:ascii="Arial" w:hAnsi="Arial" w:cs="Arial"/>
          <w:color w:val="000000"/>
          <w:sz w:val="24"/>
          <w:szCs w:val="24"/>
        </w:rPr>
        <w:t>u</w:t>
      </w:r>
      <w:r w:rsidR="00427278" w:rsidRPr="00DC2FB5">
        <w:rPr>
          <w:rFonts w:ascii="Arial" w:hAnsi="Arial" w:cs="Arial"/>
          <w:color w:val="000000"/>
          <w:sz w:val="24"/>
          <w:szCs w:val="24"/>
        </w:rPr>
        <w:t xml:space="preserve"> ajuns la 5,</w:t>
      </w:r>
      <w:r w:rsidRPr="00DC2FB5">
        <w:rPr>
          <w:rFonts w:ascii="Arial" w:hAnsi="Arial" w:cs="Arial"/>
          <w:color w:val="000000"/>
          <w:sz w:val="24"/>
          <w:szCs w:val="24"/>
        </w:rPr>
        <w:t xml:space="preserve"> </w:t>
      </w:r>
      <w:r w:rsidR="00427278" w:rsidRPr="00DC2FB5">
        <w:rPr>
          <w:rFonts w:ascii="Arial" w:hAnsi="Arial" w:cs="Arial"/>
          <w:color w:val="000000"/>
          <w:sz w:val="24"/>
          <w:szCs w:val="24"/>
        </w:rPr>
        <w:t>2 milia</w:t>
      </w:r>
      <w:r w:rsidRPr="00DC2FB5">
        <w:rPr>
          <w:rFonts w:ascii="Arial" w:hAnsi="Arial" w:cs="Arial"/>
          <w:color w:val="000000"/>
          <w:sz w:val="24"/>
          <w:szCs w:val="24"/>
        </w:rPr>
        <w:t xml:space="preserve">rde de dolari în 2015, </w:t>
      </w:r>
      <w:r w:rsidR="00EA64C9" w:rsidRPr="00DC2FB5">
        <w:rPr>
          <w:rFonts w:ascii="Arial" w:hAnsi="Arial" w:cs="Arial"/>
          <w:color w:val="000000"/>
          <w:sz w:val="24"/>
          <w:szCs w:val="24"/>
        </w:rPr>
        <w:t xml:space="preserve">conform </w:t>
      </w:r>
      <w:r w:rsidR="00427278" w:rsidRPr="00DC2FB5">
        <w:rPr>
          <w:rFonts w:ascii="Arial" w:hAnsi="Arial" w:cs="Arial"/>
          <w:color w:val="000000"/>
          <w:sz w:val="24"/>
          <w:szCs w:val="24"/>
        </w:rPr>
        <w:t>Camer</w:t>
      </w:r>
      <w:r w:rsidRPr="00DC2FB5">
        <w:rPr>
          <w:rFonts w:ascii="Arial" w:hAnsi="Arial" w:cs="Arial"/>
          <w:color w:val="000000"/>
          <w:sz w:val="24"/>
          <w:szCs w:val="24"/>
        </w:rPr>
        <w:t xml:space="preserve">ei Miniere de Comerţ </w:t>
      </w:r>
      <w:r w:rsidR="00427278" w:rsidRPr="00DC2FB5">
        <w:rPr>
          <w:rFonts w:ascii="Arial" w:hAnsi="Arial" w:cs="Arial"/>
          <w:color w:val="000000"/>
          <w:sz w:val="24"/>
          <w:szCs w:val="24"/>
        </w:rPr>
        <w:t>(Camimex). Aceasta reprezintă o cre</w:t>
      </w:r>
      <w:r w:rsidRPr="00DC2FB5">
        <w:rPr>
          <w:rFonts w:ascii="Arial" w:hAnsi="Arial" w:cs="Arial"/>
          <w:color w:val="000000"/>
          <w:sz w:val="24"/>
          <w:szCs w:val="24"/>
        </w:rPr>
        <w:t>ş</w:t>
      </w:r>
      <w:r w:rsidR="00427278" w:rsidRPr="00DC2FB5">
        <w:rPr>
          <w:rFonts w:ascii="Arial" w:hAnsi="Arial" w:cs="Arial"/>
          <w:color w:val="000000"/>
          <w:sz w:val="24"/>
          <w:szCs w:val="24"/>
        </w:rPr>
        <w:t>tere de 5,</w:t>
      </w:r>
      <w:r w:rsidRPr="00DC2FB5">
        <w:rPr>
          <w:rFonts w:ascii="Arial" w:hAnsi="Arial" w:cs="Arial"/>
          <w:color w:val="000000"/>
          <w:sz w:val="24"/>
          <w:szCs w:val="24"/>
        </w:rPr>
        <w:t xml:space="preserve"> 1% în </w:t>
      </w:r>
      <w:r w:rsidR="00427278" w:rsidRPr="00DC2FB5">
        <w:rPr>
          <w:rFonts w:ascii="Arial" w:hAnsi="Arial" w:cs="Arial"/>
          <w:color w:val="000000"/>
          <w:sz w:val="24"/>
          <w:szCs w:val="24"/>
        </w:rPr>
        <w:t>2014</w:t>
      </w:r>
      <w:r w:rsidR="004B2BB7" w:rsidRPr="00DC2FB5">
        <w:rPr>
          <w:rFonts w:ascii="Arial" w:hAnsi="Arial" w:cs="Arial"/>
          <w:color w:val="000000"/>
          <w:sz w:val="24"/>
          <w:szCs w:val="24"/>
        </w:rPr>
        <w:t>,</w:t>
      </w:r>
      <w:r w:rsidR="00427278" w:rsidRPr="00DC2FB5">
        <w:rPr>
          <w:rFonts w:ascii="Arial" w:hAnsi="Arial" w:cs="Arial"/>
          <w:color w:val="000000"/>
          <w:sz w:val="24"/>
          <w:szCs w:val="24"/>
        </w:rPr>
        <w:t xml:space="preserve"> </w:t>
      </w:r>
      <w:r w:rsidRPr="00DC2FB5">
        <w:rPr>
          <w:rFonts w:ascii="Arial" w:hAnsi="Arial" w:cs="Arial"/>
          <w:color w:val="000000"/>
          <w:sz w:val="24"/>
          <w:szCs w:val="24"/>
        </w:rPr>
        <w:t xml:space="preserve">inversând tendinţa descendentă a </w:t>
      </w:r>
      <w:r w:rsidR="00427278" w:rsidRPr="00DC2FB5">
        <w:rPr>
          <w:rFonts w:ascii="Arial" w:hAnsi="Arial" w:cs="Arial"/>
          <w:color w:val="000000"/>
          <w:sz w:val="24"/>
          <w:szCs w:val="24"/>
        </w:rPr>
        <w:t>celor doi ani anteriori.</w:t>
      </w:r>
    </w:p>
    <w:p w:rsidR="00C00F4E" w:rsidRPr="00DC2FB5" w:rsidRDefault="00EA64C9" w:rsidP="00DC2FB5">
      <w:pPr>
        <w:autoSpaceDE w:val="0"/>
        <w:autoSpaceDN w:val="0"/>
        <w:adjustRightInd w:val="0"/>
        <w:spacing w:after="0"/>
        <w:jc w:val="both"/>
        <w:rPr>
          <w:rFonts w:ascii="Arial" w:hAnsi="Arial" w:cs="Arial"/>
          <w:color w:val="000000"/>
          <w:sz w:val="24"/>
          <w:szCs w:val="24"/>
        </w:rPr>
      </w:pPr>
      <w:r w:rsidRPr="00DC2FB5">
        <w:rPr>
          <w:rFonts w:ascii="Arial" w:hAnsi="Arial" w:cs="Arial"/>
          <w:color w:val="000000"/>
          <w:sz w:val="24"/>
          <w:szCs w:val="24"/>
        </w:rPr>
        <w:t>S</w:t>
      </w:r>
      <w:r w:rsidR="004B2BB7" w:rsidRPr="00DC2FB5">
        <w:rPr>
          <w:rFonts w:ascii="Arial" w:hAnsi="Arial" w:cs="Arial"/>
          <w:color w:val="000000"/>
          <w:sz w:val="24"/>
          <w:szCs w:val="24"/>
        </w:rPr>
        <w:t>-</w:t>
      </w:r>
      <w:r w:rsidRPr="00DC2FB5">
        <w:rPr>
          <w:rFonts w:ascii="Arial" w:hAnsi="Arial" w:cs="Arial"/>
          <w:color w:val="000000"/>
          <w:sz w:val="24"/>
          <w:szCs w:val="24"/>
        </w:rPr>
        <w:t>au derulat i</w:t>
      </w:r>
      <w:r w:rsidR="00427278" w:rsidRPr="00DC2FB5">
        <w:rPr>
          <w:rFonts w:ascii="Arial" w:hAnsi="Arial" w:cs="Arial"/>
          <w:color w:val="000000"/>
          <w:sz w:val="24"/>
          <w:szCs w:val="24"/>
        </w:rPr>
        <w:t>nvesti</w:t>
      </w:r>
      <w:r w:rsidR="006A407B" w:rsidRPr="00DC2FB5">
        <w:rPr>
          <w:rFonts w:ascii="Arial" w:hAnsi="Arial" w:cs="Arial"/>
          <w:color w:val="000000"/>
          <w:sz w:val="24"/>
          <w:szCs w:val="24"/>
        </w:rPr>
        <w:t>ţ</w:t>
      </w:r>
      <w:r w:rsidR="00427278" w:rsidRPr="00DC2FB5">
        <w:rPr>
          <w:rFonts w:ascii="Arial" w:hAnsi="Arial" w:cs="Arial"/>
          <w:color w:val="000000"/>
          <w:sz w:val="24"/>
          <w:szCs w:val="24"/>
        </w:rPr>
        <w:t>ii de aproape 1</w:t>
      </w:r>
      <w:r w:rsidR="006E0961" w:rsidRPr="00DC2FB5">
        <w:rPr>
          <w:rFonts w:ascii="Arial" w:hAnsi="Arial" w:cs="Arial"/>
          <w:color w:val="000000"/>
          <w:sz w:val="24"/>
          <w:szCs w:val="24"/>
        </w:rPr>
        <w:t>, 5</w:t>
      </w:r>
      <w:r w:rsidR="0075031B" w:rsidRPr="00DC2FB5">
        <w:rPr>
          <w:rFonts w:ascii="Arial" w:hAnsi="Arial" w:cs="Arial"/>
          <w:color w:val="000000"/>
          <w:sz w:val="24"/>
          <w:szCs w:val="24"/>
        </w:rPr>
        <w:t xml:space="preserve"> miliarde de dolari </w:t>
      </w:r>
      <w:r w:rsidRPr="00DC2FB5">
        <w:rPr>
          <w:rFonts w:ascii="Arial" w:hAnsi="Arial" w:cs="Arial"/>
          <w:color w:val="000000"/>
          <w:sz w:val="24"/>
          <w:szCs w:val="24"/>
        </w:rPr>
        <w:t>în proiecte noi</w:t>
      </w:r>
      <w:r w:rsidR="00427278" w:rsidRPr="00DC2FB5">
        <w:rPr>
          <w:rFonts w:ascii="Arial" w:hAnsi="Arial" w:cs="Arial"/>
          <w:color w:val="000000"/>
          <w:sz w:val="24"/>
          <w:szCs w:val="24"/>
        </w:rPr>
        <w:t xml:space="preserve">, </w:t>
      </w:r>
      <w:r w:rsidR="0075031B" w:rsidRPr="00DC2FB5">
        <w:rPr>
          <w:rFonts w:ascii="Arial" w:hAnsi="Arial" w:cs="Arial"/>
          <w:color w:val="000000"/>
          <w:sz w:val="24"/>
          <w:szCs w:val="24"/>
        </w:rPr>
        <w:t xml:space="preserve">cifră care </w:t>
      </w:r>
      <w:r w:rsidR="00427278" w:rsidRPr="00DC2FB5">
        <w:rPr>
          <w:rFonts w:ascii="Arial" w:hAnsi="Arial" w:cs="Arial"/>
          <w:color w:val="000000"/>
          <w:sz w:val="24"/>
          <w:szCs w:val="24"/>
        </w:rPr>
        <w:t>reprezintă o cre</w:t>
      </w:r>
      <w:r w:rsidR="006A407B" w:rsidRPr="00DC2FB5">
        <w:rPr>
          <w:rFonts w:ascii="Arial" w:hAnsi="Arial" w:cs="Arial"/>
          <w:color w:val="000000"/>
          <w:sz w:val="24"/>
          <w:szCs w:val="24"/>
        </w:rPr>
        <w:t>ş</w:t>
      </w:r>
      <w:r w:rsidR="0075031B" w:rsidRPr="00DC2FB5">
        <w:rPr>
          <w:rFonts w:ascii="Arial" w:hAnsi="Arial" w:cs="Arial"/>
          <w:color w:val="000000"/>
          <w:sz w:val="24"/>
          <w:szCs w:val="24"/>
        </w:rPr>
        <w:t xml:space="preserve">tere de 10% comparativ </w:t>
      </w:r>
      <w:r w:rsidR="00427278" w:rsidRPr="00DC2FB5">
        <w:rPr>
          <w:rFonts w:ascii="Arial" w:hAnsi="Arial" w:cs="Arial"/>
          <w:color w:val="000000"/>
          <w:sz w:val="24"/>
          <w:szCs w:val="24"/>
        </w:rPr>
        <w:t>cu anul precedent.</w:t>
      </w:r>
    </w:p>
    <w:p w:rsidR="00427278" w:rsidRPr="00DC2FB5" w:rsidRDefault="005A3124" w:rsidP="00DC2FB5">
      <w:pPr>
        <w:autoSpaceDE w:val="0"/>
        <w:autoSpaceDN w:val="0"/>
        <w:adjustRightInd w:val="0"/>
        <w:spacing w:after="0"/>
        <w:jc w:val="both"/>
        <w:rPr>
          <w:rFonts w:ascii="Arial" w:hAnsi="Arial" w:cs="Arial"/>
          <w:color w:val="0070C0"/>
          <w:sz w:val="24"/>
          <w:szCs w:val="24"/>
        </w:rPr>
      </w:pPr>
      <w:r w:rsidRPr="00DC2FB5">
        <w:rPr>
          <w:rFonts w:ascii="Arial" w:hAnsi="Arial" w:cs="Arial"/>
          <w:color w:val="000000"/>
          <w:sz w:val="24"/>
          <w:szCs w:val="24"/>
        </w:rPr>
        <w:tab/>
      </w:r>
      <w:r w:rsidR="00427278" w:rsidRPr="00DC2FB5">
        <w:rPr>
          <w:rFonts w:ascii="Arial" w:hAnsi="Arial" w:cs="Arial"/>
          <w:color w:val="000000"/>
          <w:sz w:val="24"/>
          <w:szCs w:val="24"/>
        </w:rPr>
        <w:t>În acela</w:t>
      </w:r>
      <w:r w:rsidR="006A407B" w:rsidRPr="00DC2FB5">
        <w:rPr>
          <w:rFonts w:ascii="Arial" w:hAnsi="Arial" w:cs="Arial"/>
          <w:color w:val="000000"/>
          <w:sz w:val="24"/>
          <w:szCs w:val="24"/>
        </w:rPr>
        <w:t>ş</w:t>
      </w:r>
      <w:r w:rsidR="00427278" w:rsidRPr="00DC2FB5">
        <w:rPr>
          <w:rFonts w:ascii="Arial" w:hAnsi="Arial" w:cs="Arial"/>
          <w:color w:val="000000"/>
          <w:sz w:val="24"/>
          <w:szCs w:val="24"/>
        </w:rPr>
        <w:t xml:space="preserve">i timp, valoarea </w:t>
      </w:r>
      <w:r w:rsidR="0075031B" w:rsidRPr="00DC2FB5">
        <w:rPr>
          <w:rFonts w:ascii="Arial" w:hAnsi="Arial" w:cs="Arial"/>
          <w:color w:val="000000"/>
          <w:sz w:val="24"/>
          <w:szCs w:val="24"/>
        </w:rPr>
        <w:t>producţiei d</w:t>
      </w:r>
      <w:r w:rsidRPr="00DC2FB5">
        <w:rPr>
          <w:rFonts w:ascii="Arial" w:hAnsi="Arial" w:cs="Arial"/>
          <w:color w:val="000000"/>
          <w:sz w:val="24"/>
          <w:szCs w:val="24"/>
        </w:rPr>
        <w:t>in</w:t>
      </w:r>
      <w:r w:rsidR="0075031B" w:rsidRPr="00DC2FB5">
        <w:rPr>
          <w:rFonts w:ascii="Arial" w:hAnsi="Arial" w:cs="Arial"/>
          <w:color w:val="000000"/>
          <w:sz w:val="24"/>
          <w:szCs w:val="24"/>
        </w:rPr>
        <w:t xml:space="preserve"> minerit şi metalurgie </w:t>
      </w:r>
      <w:r w:rsidR="00427278" w:rsidRPr="00DC2FB5">
        <w:rPr>
          <w:rFonts w:ascii="Arial" w:hAnsi="Arial" w:cs="Arial"/>
          <w:color w:val="000000"/>
          <w:sz w:val="24"/>
          <w:szCs w:val="24"/>
        </w:rPr>
        <w:t>a crescut cu 6,</w:t>
      </w:r>
      <w:r w:rsidR="0075031B" w:rsidRPr="00DC2FB5">
        <w:rPr>
          <w:rFonts w:ascii="Arial" w:hAnsi="Arial" w:cs="Arial"/>
          <w:color w:val="000000"/>
          <w:sz w:val="24"/>
          <w:szCs w:val="24"/>
        </w:rPr>
        <w:t xml:space="preserve"> 5% în perioada ianuarie-noiembrie 2015 </w:t>
      </w:r>
      <w:r w:rsidR="00427278" w:rsidRPr="00DC2FB5">
        <w:rPr>
          <w:rFonts w:ascii="Arial" w:hAnsi="Arial" w:cs="Arial"/>
          <w:color w:val="000000"/>
          <w:sz w:val="24"/>
          <w:szCs w:val="24"/>
        </w:rPr>
        <w:t>comparativ cu aceea</w:t>
      </w:r>
      <w:r w:rsidR="006A407B" w:rsidRPr="00DC2FB5">
        <w:rPr>
          <w:rFonts w:ascii="Arial" w:hAnsi="Arial" w:cs="Arial"/>
          <w:color w:val="000000"/>
          <w:sz w:val="24"/>
          <w:szCs w:val="24"/>
        </w:rPr>
        <w:t>ş</w:t>
      </w:r>
      <w:r w:rsidR="0075031B" w:rsidRPr="00DC2FB5">
        <w:rPr>
          <w:rFonts w:ascii="Arial" w:hAnsi="Arial" w:cs="Arial"/>
          <w:color w:val="000000"/>
          <w:sz w:val="24"/>
          <w:szCs w:val="24"/>
        </w:rPr>
        <w:t xml:space="preserve">i perioadă a anului trecut, </w:t>
      </w:r>
      <w:r w:rsidR="00427278" w:rsidRPr="00DC2FB5">
        <w:rPr>
          <w:rFonts w:ascii="Arial" w:hAnsi="Arial" w:cs="Arial"/>
          <w:color w:val="000000"/>
          <w:sz w:val="24"/>
          <w:szCs w:val="24"/>
        </w:rPr>
        <w:t>determinată în principal de o cre</w:t>
      </w:r>
      <w:r w:rsidR="006A407B" w:rsidRPr="00DC2FB5">
        <w:rPr>
          <w:rFonts w:ascii="Arial" w:hAnsi="Arial" w:cs="Arial"/>
          <w:color w:val="000000"/>
          <w:sz w:val="24"/>
          <w:szCs w:val="24"/>
        </w:rPr>
        <w:t>ş</w:t>
      </w:r>
      <w:r w:rsidR="0075031B" w:rsidRPr="00DC2FB5">
        <w:rPr>
          <w:rFonts w:ascii="Arial" w:hAnsi="Arial" w:cs="Arial"/>
          <w:color w:val="000000"/>
          <w:sz w:val="24"/>
          <w:szCs w:val="24"/>
        </w:rPr>
        <w:t xml:space="preserve">tere </w:t>
      </w:r>
      <w:r w:rsidR="00EA64C9" w:rsidRPr="00DC2FB5">
        <w:rPr>
          <w:rFonts w:ascii="Arial" w:hAnsi="Arial" w:cs="Arial"/>
          <w:color w:val="000000"/>
          <w:sz w:val="24"/>
          <w:szCs w:val="24"/>
        </w:rPr>
        <w:t xml:space="preserve">cu </w:t>
      </w:r>
      <w:r w:rsidR="006E0961">
        <w:rPr>
          <w:rFonts w:ascii="Arial" w:hAnsi="Arial" w:cs="Arial"/>
          <w:color w:val="000000"/>
          <w:sz w:val="24"/>
          <w:szCs w:val="24"/>
        </w:rPr>
        <w:t xml:space="preserve">16, </w:t>
      </w:r>
      <w:r w:rsidR="0075031B" w:rsidRPr="00DC2FB5">
        <w:rPr>
          <w:rFonts w:ascii="Arial" w:hAnsi="Arial" w:cs="Arial"/>
          <w:color w:val="000000"/>
          <w:sz w:val="24"/>
          <w:szCs w:val="24"/>
        </w:rPr>
        <w:t>8%, a valorii</w:t>
      </w:r>
      <w:r w:rsidR="00427278" w:rsidRPr="00DC2FB5">
        <w:rPr>
          <w:rFonts w:ascii="Arial" w:hAnsi="Arial" w:cs="Arial"/>
          <w:color w:val="000000"/>
          <w:sz w:val="24"/>
          <w:szCs w:val="24"/>
        </w:rPr>
        <w:t xml:space="preserve"> produc</w:t>
      </w:r>
      <w:r w:rsidR="006A407B" w:rsidRPr="00DC2FB5">
        <w:rPr>
          <w:rFonts w:ascii="Arial" w:hAnsi="Arial" w:cs="Arial"/>
          <w:color w:val="000000"/>
          <w:sz w:val="24"/>
          <w:szCs w:val="24"/>
        </w:rPr>
        <w:t>ţ</w:t>
      </w:r>
      <w:r w:rsidR="00427278" w:rsidRPr="00DC2FB5">
        <w:rPr>
          <w:rFonts w:ascii="Arial" w:hAnsi="Arial" w:cs="Arial"/>
          <w:color w:val="000000"/>
          <w:sz w:val="24"/>
          <w:szCs w:val="24"/>
        </w:rPr>
        <w:t xml:space="preserve">iei </w:t>
      </w:r>
      <w:r w:rsidR="0075031B" w:rsidRPr="00DC2FB5">
        <w:rPr>
          <w:rFonts w:ascii="Arial" w:hAnsi="Arial" w:cs="Arial"/>
          <w:color w:val="000000"/>
          <w:sz w:val="24"/>
          <w:szCs w:val="24"/>
        </w:rPr>
        <w:t xml:space="preserve">de </w:t>
      </w:r>
      <w:r w:rsidR="00427278" w:rsidRPr="00DC2FB5">
        <w:rPr>
          <w:rFonts w:ascii="Arial" w:hAnsi="Arial" w:cs="Arial"/>
          <w:color w:val="000000"/>
          <w:sz w:val="24"/>
          <w:szCs w:val="24"/>
        </w:rPr>
        <w:t>minerale pre</w:t>
      </w:r>
      <w:r w:rsidR="006A407B" w:rsidRPr="00DC2FB5">
        <w:rPr>
          <w:rFonts w:ascii="Arial" w:hAnsi="Arial" w:cs="Arial"/>
          <w:color w:val="000000"/>
          <w:sz w:val="24"/>
          <w:szCs w:val="24"/>
        </w:rPr>
        <w:t>ţ</w:t>
      </w:r>
      <w:r w:rsidR="00427278" w:rsidRPr="00DC2FB5">
        <w:rPr>
          <w:rFonts w:ascii="Arial" w:hAnsi="Arial" w:cs="Arial"/>
          <w:color w:val="000000"/>
          <w:sz w:val="24"/>
          <w:szCs w:val="24"/>
        </w:rPr>
        <w:t>ioase.</w:t>
      </w:r>
    </w:p>
    <w:p w:rsidR="00427278" w:rsidRPr="00DC2FB5" w:rsidRDefault="00427278" w:rsidP="00DC2FB5">
      <w:pPr>
        <w:autoSpaceDE w:val="0"/>
        <w:autoSpaceDN w:val="0"/>
        <w:adjustRightInd w:val="0"/>
        <w:spacing w:after="0"/>
        <w:jc w:val="both"/>
        <w:rPr>
          <w:rFonts w:ascii="Arial" w:hAnsi="Arial" w:cs="Arial"/>
          <w:color w:val="000000"/>
          <w:sz w:val="24"/>
          <w:szCs w:val="24"/>
        </w:rPr>
      </w:pPr>
      <w:r w:rsidRPr="00DC2FB5">
        <w:rPr>
          <w:rFonts w:ascii="Arial" w:hAnsi="Arial" w:cs="Arial"/>
          <w:color w:val="000000"/>
          <w:sz w:val="24"/>
          <w:szCs w:val="24"/>
        </w:rPr>
        <w:t xml:space="preserve">Acest lucru a fost posibil datorită </w:t>
      </w:r>
      <w:r w:rsidR="0075031B" w:rsidRPr="00DC2FB5">
        <w:rPr>
          <w:rFonts w:ascii="Arial" w:hAnsi="Arial" w:cs="Arial"/>
          <w:color w:val="000000"/>
          <w:sz w:val="24"/>
          <w:szCs w:val="24"/>
        </w:rPr>
        <w:t xml:space="preserve">volumelor de </w:t>
      </w:r>
      <w:r w:rsidRPr="00DC2FB5">
        <w:rPr>
          <w:rFonts w:ascii="Arial" w:hAnsi="Arial" w:cs="Arial"/>
          <w:color w:val="000000"/>
          <w:sz w:val="24"/>
          <w:szCs w:val="24"/>
        </w:rPr>
        <w:t>produc</w:t>
      </w:r>
      <w:r w:rsidR="006A407B" w:rsidRPr="00DC2FB5">
        <w:rPr>
          <w:rFonts w:ascii="Arial" w:hAnsi="Arial" w:cs="Arial"/>
          <w:color w:val="000000"/>
          <w:sz w:val="24"/>
          <w:szCs w:val="24"/>
        </w:rPr>
        <w:t>ţ</w:t>
      </w:r>
      <w:r w:rsidRPr="00DC2FB5">
        <w:rPr>
          <w:rFonts w:ascii="Arial" w:hAnsi="Arial" w:cs="Arial"/>
          <w:color w:val="000000"/>
          <w:sz w:val="24"/>
          <w:szCs w:val="24"/>
        </w:rPr>
        <w:t>ie</w:t>
      </w:r>
      <w:r w:rsidR="00EA64C9" w:rsidRPr="00DC2FB5">
        <w:rPr>
          <w:rFonts w:ascii="Arial" w:hAnsi="Arial" w:cs="Arial"/>
          <w:sz w:val="24"/>
          <w:szCs w:val="24"/>
        </w:rPr>
        <w:t xml:space="preserve"> </w:t>
      </w:r>
      <w:r w:rsidR="00EA64C9" w:rsidRPr="00DC2FB5">
        <w:rPr>
          <w:rFonts w:ascii="Arial" w:hAnsi="Arial" w:cs="Arial"/>
          <w:color w:val="000000"/>
          <w:sz w:val="24"/>
          <w:szCs w:val="24"/>
        </w:rPr>
        <w:t>mai mari</w:t>
      </w:r>
      <w:r w:rsidRPr="00DC2FB5">
        <w:rPr>
          <w:rFonts w:ascii="Arial" w:hAnsi="Arial" w:cs="Arial"/>
          <w:color w:val="000000"/>
          <w:sz w:val="24"/>
          <w:szCs w:val="24"/>
        </w:rPr>
        <w:t xml:space="preserve">, care </w:t>
      </w:r>
      <w:r w:rsidR="00EA64C9" w:rsidRPr="00DC2FB5">
        <w:rPr>
          <w:rFonts w:ascii="Arial" w:hAnsi="Arial" w:cs="Arial"/>
          <w:color w:val="000000"/>
          <w:sz w:val="24"/>
          <w:szCs w:val="24"/>
        </w:rPr>
        <w:t>echilibrea</w:t>
      </w:r>
      <w:r w:rsidRPr="00DC2FB5">
        <w:rPr>
          <w:rFonts w:ascii="Arial" w:hAnsi="Arial" w:cs="Arial"/>
          <w:color w:val="000000"/>
          <w:sz w:val="24"/>
          <w:szCs w:val="24"/>
        </w:rPr>
        <w:t xml:space="preserve">ză </w:t>
      </w:r>
      <w:r w:rsidR="0075031B" w:rsidRPr="00DC2FB5">
        <w:rPr>
          <w:rFonts w:ascii="Arial" w:hAnsi="Arial" w:cs="Arial"/>
          <w:color w:val="000000"/>
          <w:sz w:val="24"/>
          <w:szCs w:val="24"/>
        </w:rPr>
        <w:t xml:space="preserve">tendinţa </w:t>
      </w:r>
      <w:r w:rsidRPr="00DC2FB5">
        <w:rPr>
          <w:rFonts w:ascii="Arial" w:hAnsi="Arial" w:cs="Arial"/>
          <w:color w:val="000000"/>
          <w:sz w:val="24"/>
          <w:szCs w:val="24"/>
        </w:rPr>
        <w:t>pre</w:t>
      </w:r>
      <w:r w:rsidR="006A407B" w:rsidRPr="00DC2FB5">
        <w:rPr>
          <w:rFonts w:ascii="Arial" w:hAnsi="Arial" w:cs="Arial"/>
          <w:color w:val="000000"/>
          <w:sz w:val="24"/>
          <w:szCs w:val="24"/>
        </w:rPr>
        <w:t>ţ</w:t>
      </w:r>
      <w:r w:rsidRPr="00DC2FB5">
        <w:rPr>
          <w:rFonts w:ascii="Arial" w:hAnsi="Arial" w:cs="Arial"/>
          <w:color w:val="000000"/>
          <w:sz w:val="24"/>
          <w:szCs w:val="24"/>
        </w:rPr>
        <w:t>ul</w:t>
      </w:r>
      <w:r w:rsidR="0075031B" w:rsidRPr="00DC2FB5">
        <w:rPr>
          <w:rFonts w:ascii="Arial" w:hAnsi="Arial" w:cs="Arial"/>
          <w:color w:val="000000"/>
          <w:sz w:val="24"/>
          <w:szCs w:val="24"/>
        </w:rPr>
        <w:t xml:space="preserve">ui. </w:t>
      </w:r>
      <w:r w:rsidRPr="00DC2FB5">
        <w:rPr>
          <w:rFonts w:ascii="Arial" w:hAnsi="Arial" w:cs="Arial"/>
          <w:color w:val="000000"/>
          <w:sz w:val="24"/>
          <w:szCs w:val="24"/>
        </w:rPr>
        <w:t xml:space="preserve"> Ocuparea for</w:t>
      </w:r>
      <w:r w:rsidR="006A407B" w:rsidRPr="00DC2FB5">
        <w:rPr>
          <w:rFonts w:ascii="Arial" w:hAnsi="Arial" w:cs="Arial"/>
          <w:color w:val="000000"/>
          <w:sz w:val="24"/>
          <w:szCs w:val="24"/>
        </w:rPr>
        <w:t>ţ</w:t>
      </w:r>
      <w:r w:rsidRPr="00DC2FB5">
        <w:rPr>
          <w:rFonts w:ascii="Arial" w:hAnsi="Arial" w:cs="Arial"/>
          <w:color w:val="000000"/>
          <w:sz w:val="24"/>
          <w:szCs w:val="24"/>
        </w:rPr>
        <w:t>ei de muncă în acest sector</w:t>
      </w:r>
      <w:r w:rsidR="0075031B" w:rsidRPr="00DC2FB5">
        <w:rPr>
          <w:rFonts w:ascii="Arial" w:hAnsi="Arial" w:cs="Arial"/>
          <w:color w:val="000000"/>
          <w:sz w:val="24"/>
          <w:szCs w:val="24"/>
        </w:rPr>
        <w:t xml:space="preserve"> a înregistrat</w:t>
      </w:r>
      <w:r w:rsidRPr="00DC2FB5">
        <w:rPr>
          <w:rFonts w:ascii="Arial" w:hAnsi="Arial" w:cs="Arial"/>
          <w:color w:val="000000"/>
          <w:sz w:val="24"/>
          <w:szCs w:val="24"/>
        </w:rPr>
        <w:t>, de asemenea, rezultate pozitive. În decembrie</w:t>
      </w:r>
      <w:r w:rsidR="00DC2FB5" w:rsidRPr="00DC2FB5">
        <w:rPr>
          <w:rFonts w:ascii="Arial" w:hAnsi="Arial" w:cs="Arial"/>
          <w:color w:val="000000"/>
          <w:sz w:val="24"/>
          <w:szCs w:val="24"/>
        </w:rPr>
        <w:t xml:space="preserve"> </w:t>
      </w:r>
      <w:r w:rsidRPr="00DC2FB5">
        <w:rPr>
          <w:rFonts w:ascii="Arial" w:hAnsi="Arial" w:cs="Arial"/>
          <w:color w:val="000000"/>
          <w:sz w:val="24"/>
          <w:szCs w:val="24"/>
        </w:rPr>
        <w:t>2015 numărul muncitori</w:t>
      </w:r>
      <w:r w:rsidR="0075031B" w:rsidRPr="00DC2FB5">
        <w:rPr>
          <w:rFonts w:ascii="Arial" w:hAnsi="Arial" w:cs="Arial"/>
          <w:color w:val="000000"/>
          <w:sz w:val="24"/>
          <w:szCs w:val="24"/>
        </w:rPr>
        <w:t xml:space="preserve">lor a ajuns la </w:t>
      </w:r>
      <w:r w:rsidRPr="00DC2FB5">
        <w:rPr>
          <w:rFonts w:ascii="Arial" w:hAnsi="Arial" w:cs="Arial"/>
          <w:color w:val="000000"/>
          <w:sz w:val="24"/>
          <w:szCs w:val="24"/>
        </w:rPr>
        <w:t>344</w:t>
      </w:r>
      <w:r w:rsidR="00EA64C9" w:rsidRPr="00DC2FB5">
        <w:rPr>
          <w:rFonts w:ascii="Arial" w:hAnsi="Arial" w:cs="Arial"/>
          <w:color w:val="000000"/>
          <w:sz w:val="24"/>
          <w:szCs w:val="24"/>
        </w:rPr>
        <w:t>.</w:t>
      </w:r>
      <w:r w:rsidRPr="00DC2FB5">
        <w:rPr>
          <w:rFonts w:ascii="Arial" w:hAnsi="Arial" w:cs="Arial"/>
          <w:color w:val="000000"/>
          <w:sz w:val="24"/>
          <w:szCs w:val="24"/>
        </w:rPr>
        <w:t>912, o cre</w:t>
      </w:r>
      <w:r w:rsidR="006A407B" w:rsidRPr="00DC2FB5">
        <w:rPr>
          <w:rFonts w:ascii="Arial" w:hAnsi="Arial" w:cs="Arial"/>
          <w:color w:val="000000"/>
          <w:sz w:val="24"/>
          <w:szCs w:val="24"/>
        </w:rPr>
        <w:t>ş</w:t>
      </w:r>
      <w:r w:rsidRPr="00DC2FB5">
        <w:rPr>
          <w:rFonts w:ascii="Arial" w:hAnsi="Arial" w:cs="Arial"/>
          <w:color w:val="000000"/>
          <w:sz w:val="24"/>
          <w:szCs w:val="24"/>
        </w:rPr>
        <w:t>tere de 1</w:t>
      </w:r>
      <w:r w:rsidR="006E0961" w:rsidRPr="00DC2FB5">
        <w:rPr>
          <w:rFonts w:ascii="Arial" w:hAnsi="Arial" w:cs="Arial"/>
          <w:color w:val="000000"/>
          <w:sz w:val="24"/>
          <w:szCs w:val="24"/>
        </w:rPr>
        <w:t>, 2</w:t>
      </w:r>
      <w:r w:rsidRPr="00DC2FB5">
        <w:rPr>
          <w:rFonts w:ascii="Arial" w:hAnsi="Arial" w:cs="Arial"/>
          <w:color w:val="000000"/>
          <w:sz w:val="24"/>
          <w:szCs w:val="24"/>
        </w:rPr>
        <w:t xml:space="preserve">% </w:t>
      </w:r>
      <w:r w:rsidR="00EA64C9" w:rsidRPr="00DC2FB5">
        <w:rPr>
          <w:rFonts w:ascii="Arial" w:hAnsi="Arial" w:cs="Arial"/>
          <w:color w:val="000000"/>
          <w:sz w:val="24"/>
          <w:szCs w:val="24"/>
        </w:rPr>
        <w:t>comparativ</w:t>
      </w:r>
      <w:r w:rsidR="0075031B" w:rsidRPr="00DC2FB5">
        <w:rPr>
          <w:rFonts w:ascii="Arial" w:hAnsi="Arial" w:cs="Arial"/>
          <w:color w:val="000000"/>
          <w:sz w:val="24"/>
          <w:szCs w:val="24"/>
        </w:rPr>
        <w:t xml:space="preserve"> </w:t>
      </w:r>
      <w:r w:rsidR="00DC2FB5" w:rsidRPr="00DC2FB5">
        <w:rPr>
          <w:rFonts w:ascii="Arial" w:hAnsi="Arial" w:cs="Arial"/>
          <w:color w:val="000000"/>
          <w:sz w:val="24"/>
          <w:szCs w:val="24"/>
        </w:rPr>
        <w:t xml:space="preserve">cu </w:t>
      </w:r>
      <w:r w:rsidR="0075031B" w:rsidRPr="00DC2FB5">
        <w:rPr>
          <w:rFonts w:ascii="Arial" w:hAnsi="Arial" w:cs="Arial"/>
          <w:color w:val="000000"/>
          <w:sz w:val="24"/>
          <w:szCs w:val="24"/>
        </w:rPr>
        <w:t>anul anterior.</w:t>
      </w:r>
    </w:p>
    <w:p w:rsidR="00C00F4E" w:rsidRPr="00DC2FB5" w:rsidRDefault="00DC2FB5" w:rsidP="00DC2FB5">
      <w:pPr>
        <w:autoSpaceDE w:val="0"/>
        <w:autoSpaceDN w:val="0"/>
        <w:adjustRightInd w:val="0"/>
        <w:spacing w:after="0"/>
        <w:jc w:val="both"/>
        <w:rPr>
          <w:rFonts w:ascii="Arial" w:hAnsi="Arial" w:cs="Arial"/>
          <w:color w:val="000000"/>
          <w:sz w:val="24"/>
          <w:szCs w:val="24"/>
        </w:rPr>
      </w:pPr>
      <w:r w:rsidRPr="00DC2FB5">
        <w:rPr>
          <w:rFonts w:ascii="Arial" w:hAnsi="Arial" w:cs="Arial"/>
          <w:color w:val="000000"/>
          <w:sz w:val="24"/>
          <w:szCs w:val="24"/>
        </w:rPr>
        <w:tab/>
      </w:r>
      <w:r w:rsidR="00427278" w:rsidRPr="00DC2FB5">
        <w:rPr>
          <w:rFonts w:ascii="Arial" w:hAnsi="Arial" w:cs="Arial"/>
          <w:color w:val="000000"/>
          <w:sz w:val="24"/>
          <w:szCs w:val="24"/>
        </w:rPr>
        <w:t>Aceste rezultate au fost totu</w:t>
      </w:r>
      <w:r w:rsidR="006A407B" w:rsidRPr="00DC2FB5">
        <w:rPr>
          <w:rFonts w:ascii="Arial" w:hAnsi="Arial" w:cs="Arial"/>
          <w:color w:val="000000"/>
          <w:sz w:val="24"/>
          <w:szCs w:val="24"/>
        </w:rPr>
        <w:t>ş</w:t>
      </w:r>
      <w:r w:rsidR="0075031B" w:rsidRPr="00DC2FB5">
        <w:rPr>
          <w:rFonts w:ascii="Arial" w:hAnsi="Arial" w:cs="Arial"/>
          <w:color w:val="000000"/>
          <w:sz w:val="24"/>
          <w:szCs w:val="24"/>
        </w:rPr>
        <w:t xml:space="preserve">i atinse </w:t>
      </w:r>
      <w:r w:rsidR="00427278" w:rsidRPr="00DC2FB5">
        <w:rPr>
          <w:rFonts w:ascii="Arial" w:hAnsi="Arial" w:cs="Arial"/>
          <w:color w:val="000000"/>
          <w:sz w:val="24"/>
          <w:szCs w:val="24"/>
        </w:rPr>
        <w:t>în anul de referin</w:t>
      </w:r>
      <w:r w:rsidR="006A407B" w:rsidRPr="00DC2FB5">
        <w:rPr>
          <w:rFonts w:ascii="Arial" w:hAnsi="Arial" w:cs="Arial"/>
          <w:color w:val="000000"/>
          <w:sz w:val="24"/>
          <w:szCs w:val="24"/>
        </w:rPr>
        <w:t>ţ</w:t>
      </w:r>
      <w:r w:rsidR="00427278" w:rsidRPr="00DC2FB5">
        <w:rPr>
          <w:rFonts w:ascii="Arial" w:hAnsi="Arial" w:cs="Arial"/>
          <w:color w:val="000000"/>
          <w:sz w:val="24"/>
          <w:szCs w:val="24"/>
        </w:rPr>
        <w:t xml:space="preserve">ă al unui ciclu </w:t>
      </w:r>
      <w:r w:rsidR="0075031B" w:rsidRPr="00DC2FB5">
        <w:rPr>
          <w:rFonts w:ascii="Arial" w:hAnsi="Arial" w:cs="Arial"/>
          <w:color w:val="000000"/>
          <w:sz w:val="24"/>
          <w:szCs w:val="24"/>
        </w:rPr>
        <w:t xml:space="preserve">descendent </w:t>
      </w:r>
      <w:r w:rsidR="00D8365E" w:rsidRPr="00DC2FB5">
        <w:rPr>
          <w:rFonts w:ascii="Arial" w:hAnsi="Arial" w:cs="Arial"/>
          <w:color w:val="000000"/>
          <w:sz w:val="24"/>
          <w:szCs w:val="24"/>
        </w:rPr>
        <w:t xml:space="preserve">de patru ani </w:t>
      </w:r>
      <w:r w:rsidR="0075031B" w:rsidRPr="00DC2FB5">
        <w:rPr>
          <w:rFonts w:ascii="Arial" w:hAnsi="Arial" w:cs="Arial"/>
          <w:color w:val="000000"/>
          <w:sz w:val="24"/>
          <w:szCs w:val="24"/>
        </w:rPr>
        <w:t>a</w:t>
      </w:r>
      <w:r w:rsidR="00F65F0A" w:rsidRPr="00DC2FB5">
        <w:rPr>
          <w:rFonts w:ascii="Arial" w:hAnsi="Arial" w:cs="Arial"/>
          <w:color w:val="000000"/>
          <w:sz w:val="24"/>
          <w:szCs w:val="24"/>
        </w:rPr>
        <w:t>l</w:t>
      </w:r>
      <w:r w:rsidR="0075031B" w:rsidRPr="00DC2FB5">
        <w:rPr>
          <w:rFonts w:ascii="Arial" w:hAnsi="Arial" w:cs="Arial"/>
          <w:color w:val="000000"/>
          <w:sz w:val="24"/>
          <w:szCs w:val="24"/>
        </w:rPr>
        <w:t xml:space="preserve"> preţu</w:t>
      </w:r>
      <w:r w:rsidR="004145E3">
        <w:rPr>
          <w:rFonts w:ascii="Arial" w:hAnsi="Arial" w:cs="Arial"/>
          <w:color w:val="000000"/>
          <w:sz w:val="24"/>
          <w:szCs w:val="24"/>
        </w:rPr>
        <w:t>lui</w:t>
      </w:r>
      <w:r w:rsidR="0075031B" w:rsidRPr="00DC2FB5">
        <w:rPr>
          <w:rFonts w:ascii="Arial" w:hAnsi="Arial" w:cs="Arial"/>
          <w:color w:val="000000"/>
          <w:sz w:val="24"/>
          <w:szCs w:val="24"/>
        </w:rPr>
        <w:t xml:space="preserve"> miner</w:t>
      </w:r>
      <w:r w:rsidR="00D8365E" w:rsidRPr="00DC2FB5">
        <w:rPr>
          <w:rFonts w:ascii="Arial" w:hAnsi="Arial" w:cs="Arial"/>
          <w:color w:val="000000"/>
          <w:sz w:val="24"/>
          <w:szCs w:val="24"/>
        </w:rPr>
        <w:t>alelor</w:t>
      </w:r>
      <w:r w:rsidR="00427278" w:rsidRPr="00DC2FB5">
        <w:rPr>
          <w:rFonts w:ascii="Arial" w:hAnsi="Arial" w:cs="Arial"/>
          <w:color w:val="000000"/>
          <w:sz w:val="24"/>
          <w:szCs w:val="24"/>
        </w:rPr>
        <w:t>. Între</w:t>
      </w:r>
      <w:r w:rsidR="0075031B" w:rsidRPr="00DC2FB5">
        <w:rPr>
          <w:rFonts w:ascii="Arial" w:hAnsi="Arial" w:cs="Arial"/>
          <w:color w:val="000000"/>
          <w:sz w:val="24"/>
          <w:szCs w:val="24"/>
        </w:rPr>
        <w:t xml:space="preserve"> </w:t>
      </w:r>
      <w:r w:rsidR="00427278" w:rsidRPr="00DC2FB5">
        <w:rPr>
          <w:rFonts w:ascii="Arial" w:hAnsi="Arial" w:cs="Arial"/>
          <w:color w:val="000000"/>
          <w:sz w:val="24"/>
          <w:szCs w:val="24"/>
        </w:rPr>
        <w:t xml:space="preserve">2012 </w:t>
      </w:r>
      <w:r w:rsidR="006A407B" w:rsidRPr="00DC2FB5">
        <w:rPr>
          <w:rFonts w:ascii="Arial" w:hAnsi="Arial" w:cs="Arial"/>
          <w:color w:val="000000"/>
          <w:sz w:val="24"/>
          <w:szCs w:val="24"/>
        </w:rPr>
        <w:t>ş</w:t>
      </w:r>
      <w:r w:rsidR="00427278" w:rsidRPr="00DC2FB5">
        <w:rPr>
          <w:rFonts w:ascii="Arial" w:hAnsi="Arial" w:cs="Arial"/>
          <w:color w:val="000000"/>
          <w:sz w:val="24"/>
          <w:szCs w:val="24"/>
        </w:rPr>
        <w:t>i 2015, pre</w:t>
      </w:r>
      <w:r w:rsidR="006A407B" w:rsidRPr="00DC2FB5">
        <w:rPr>
          <w:rFonts w:ascii="Arial" w:hAnsi="Arial" w:cs="Arial"/>
          <w:color w:val="000000"/>
          <w:sz w:val="24"/>
          <w:szCs w:val="24"/>
        </w:rPr>
        <w:t>ţ</w:t>
      </w:r>
      <w:r w:rsidR="00427278" w:rsidRPr="00DC2FB5">
        <w:rPr>
          <w:rFonts w:ascii="Arial" w:hAnsi="Arial" w:cs="Arial"/>
          <w:color w:val="000000"/>
          <w:sz w:val="24"/>
          <w:szCs w:val="24"/>
        </w:rPr>
        <w:t>u</w:t>
      </w:r>
      <w:r w:rsidR="00D8365E" w:rsidRPr="00DC2FB5">
        <w:rPr>
          <w:rFonts w:ascii="Arial" w:hAnsi="Arial" w:cs="Arial"/>
          <w:color w:val="000000"/>
          <w:sz w:val="24"/>
          <w:szCs w:val="24"/>
        </w:rPr>
        <w:t>l</w:t>
      </w:r>
      <w:r w:rsidR="00427278" w:rsidRPr="00DC2FB5">
        <w:rPr>
          <w:rFonts w:ascii="Arial" w:hAnsi="Arial" w:cs="Arial"/>
          <w:color w:val="000000"/>
          <w:sz w:val="24"/>
          <w:szCs w:val="24"/>
        </w:rPr>
        <w:t xml:space="preserve"> </w:t>
      </w:r>
      <w:r w:rsidR="00D8365E" w:rsidRPr="00DC2FB5">
        <w:rPr>
          <w:rFonts w:ascii="Arial" w:hAnsi="Arial" w:cs="Arial"/>
          <w:color w:val="000000"/>
          <w:sz w:val="24"/>
          <w:szCs w:val="24"/>
        </w:rPr>
        <w:t xml:space="preserve">metalelor </w:t>
      </w:r>
      <w:r w:rsidR="00427278" w:rsidRPr="00DC2FB5">
        <w:rPr>
          <w:rFonts w:ascii="Arial" w:hAnsi="Arial" w:cs="Arial"/>
          <w:color w:val="000000"/>
          <w:sz w:val="24"/>
          <w:szCs w:val="24"/>
        </w:rPr>
        <w:t>pre</w:t>
      </w:r>
      <w:r w:rsidR="006A407B" w:rsidRPr="00DC2FB5">
        <w:rPr>
          <w:rFonts w:ascii="Arial" w:hAnsi="Arial" w:cs="Arial"/>
          <w:color w:val="000000"/>
          <w:sz w:val="24"/>
          <w:szCs w:val="24"/>
        </w:rPr>
        <w:t>ţ</w:t>
      </w:r>
      <w:r w:rsidR="00427278" w:rsidRPr="00DC2FB5">
        <w:rPr>
          <w:rFonts w:ascii="Arial" w:hAnsi="Arial" w:cs="Arial"/>
          <w:color w:val="000000"/>
          <w:sz w:val="24"/>
          <w:szCs w:val="24"/>
        </w:rPr>
        <w:t>ioase</w:t>
      </w:r>
      <w:r w:rsidR="0075031B" w:rsidRPr="00DC2FB5">
        <w:rPr>
          <w:rFonts w:ascii="Arial" w:hAnsi="Arial" w:cs="Arial"/>
          <w:color w:val="000000"/>
          <w:sz w:val="24"/>
          <w:szCs w:val="24"/>
        </w:rPr>
        <w:t xml:space="preserve"> </w:t>
      </w:r>
      <w:r w:rsidR="00427278" w:rsidRPr="00DC2FB5">
        <w:rPr>
          <w:rFonts w:ascii="Arial" w:hAnsi="Arial" w:cs="Arial"/>
          <w:color w:val="000000"/>
          <w:sz w:val="24"/>
          <w:szCs w:val="24"/>
        </w:rPr>
        <w:t xml:space="preserve">a scăzut </w:t>
      </w:r>
      <w:r w:rsidR="00F65F0A" w:rsidRPr="00DC2FB5">
        <w:rPr>
          <w:rFonts w:ascii="Arial" w:hAnsi="Arial" w:cs="Arial"/>
          <w:color w:val="000000"/>
          <w:sz w:val="24"/>
          <w:szCs w:val="24"/>
        </w:rPr>
        <w:t xml:space="preserve">cu </w:t>
      </w:r>
      <w:r w:rsidR="00427278" w:rsidRPr="00DC2FB5">
        <w:rPr>
          <w:rFonts w:ascii="Arial" w:hAnsi="Arial" w:cs="Arial"/>
          <w:color w:val="000000"/>
          <w:sz w:val="24"/>
          <w:szCs w:val="24"/>
        </w:rPr>
        <w:t>31,</w:t>
      </w:r>
      <w:r w:rsidR="004145E3">
        <w:rPr>
          <w:rFonts w:ascii="Arial" w:hAnsi="Arial" w:cs="Arial"/>
          <w:color w:val="000000"/>
          <w:sz w:val="24"/>
          <w:szCs w:val="24"/>
        </w:rPr>
        <w:t xml:space="preserve"> </w:t>
      </w:r>
      <w:r w:rsidR="00427278" w:rsidRPr="00DC2FB5">
        <w:rPr>
          <w:rFonts w:ascii="Arial" w:hAnsi="Arial" w:cs="Arial"/>
          <w:color w:val="000000"/>
          <w:sz w:val="24"/>
          <w:szCs w:val="24"/>
        </w:rPr>
        <w:t xml:space="preserve">4%, în timp ce </w:t>
      </w:r>
      <w:r w:rsidR="00D8365E" w:rsidRPr="00DC2FB5">
        <w:rPr>
          <w:rFonts w:ascii="Arial" w:hAnsi="Arial" w:cs="Arial"/>
          <w:color w:val="000000"/>
          <w:sz w:val="24"/>
          <w:szCs w:val="24"/>
        </w:rPr>
        <w:t xml:space="preserve">al </w:t>
      </w:r>
      <w:r w:rsidR="00427278" w:rsidRPr="00DC2FB5">
        <w:rPr>
          <w:rFonts w:ascii="Arial" w:hAnsi="Arial" w:cs="Arial"/>
          <w:color w:val="000000"/>
          <w:sz w:val="24"/>
          <w:szCs w:val="24"/>
        </w:rPr>
        <w:t>metale</w:t>
      </w:r>
      <w:r w:rsidR="00F65F0A" w:rsidRPr="00DC2FB5">
        <w:rPr>
          <w:rFonts w:ascii="Arial" w:hAnsi="Arial" w:cs="Arial"/>
          <w:color w:val="000000"/>
          <w:sz w:val="24"/>
          <w:szCs w:val="24"/>
        </w:rPr>
        <w:t>l</w:t>
      </w:r>
      <w:r w:rsidR="00D8365E" w:rsidRPr="00DC2FB5">
        <w:rPr>
          <w:rFonts w:ascii="Arial" w:hAnsi="Arial" w:cs="Arial"/>
          <w:color w:val="000000"/>
          <w:sz w:val="24"/>
          <w:szCs w:val="24"/>
        </w:rPr>
        <w:t>or</w:t>
      </w:r>
      <w:r w:rsidR="00F65F0A" w:rsidRPr="00DC2FB5">
        <w:rPr>
          <w:rFonts w:ascii="Arial" w:hAnsi="Arial" w:cs="Arial"/>
          <w:color w:val="000000"/>
          <w:sz w:val="24"/>
          <w:szCs w:val="24"/>
        </w:rPr>
        <w:t xml:space="preserve"> </w:t>
      </w:r>
      <w:r w:rsidR="00F65F0A" w:rsidRPr="004145E3">
        <w:rPr>
          <w:rFonts w:ascii="Arial" w:hAnsi="Arial" w:cs="Arial"/>
          <w:sz w:val="24"/>
          <w:szCs w:val="24"/>
        </w:rPr>
        <w:t>de</w:t>
      </w:r>
      <w:r w:rsidR="00427278" w:rsidRPr="00DC2FB5">
        <w:rPr>
          <w:rFonts w:ascii="Arial" w:hAnsi="Arial" w:cs="Arial"/>
          <w:color w:val="000000"/>
          <w:sz w:val="24"/>
          <w:szCs w:val="24"/>
        </w:rPr>
        <w:t xml:space="preserve"> </w:t>
      </w:r>
      <w:r w:rsidR="00F65F0A" w:rsidRPr="00DC2FB5">
        <w:rPr>
          <w:rFonts w:ascii="Arial" w:hAnsi="Arial" w:cs="Arial"/>
          <w:color w:val="000000"/>
          <w:sz w:val="24"/>
          <w:szCs w:val="24"/>
        </w:rPr>
        <w:t xml:space="preserve">bază au </w:t>
      </w:r>
      <w:r w:rsidR="00427278" w:rsidRPr="00DC2FB5">
        <w:rPr>
          <w:rFonts w:ascii="Arial" w:hAnsi="Arial" w:cs="Arial"/>
          <w:color w:val="000000"/>
          <w:sz w:val="24"/>
          <w:szCs w:val="24"/>
        </w:rPr>
        <w:t>cobor</w:t>
      </w:r>
      <w:r w:rsidR="00D8365E" w:rsidRPr="00DC2FB5">
        <w:rPr>
          <w:rFonts w:ascii="Arial" w:hAnsi="Arial" w:cs="Arial"/>
          <w:color w:val="000000"/>
          <w:sz w:val="24"/>
          <w:szCs w:val="24"/>
          <w:lang w:val="ro-RO"/>
        </w:rPr>
        <w:t>â</w:t>
      </w:r>
      <w:r w:rsidR="00427278" w:rsidRPr="00DC2FB5">
        <w:rPr>
          <w:rFonts w:ascii="Arial" w:hAnsi="Arial" w:cs="Arial"/>
          <w:color w:val="000000"/>
          <w:sz w:val="24"/>
          <w:szCs w:val="24"/>
        </w:rPr>
        <w:t xml:space="preserve">t </w:t>
      </w:r>
      <w:r w:rsidR="00F65F0A" w:rsidRPr="00DC2FB5">
        <w:rPr>
          <w:rFonts w:ascii="Arial" w:hAnsi="Arial" w:cs="Arial"/>
          <w:color w:val="000000"/>
          <w:sz w:val="24"/>
          <w:szCs w:val="24"/>
        </w:rPr>
        <w:t xml:space="preserve">cu </w:t>
      </w:r>
      <w:r w:rsidR="00427278" w:rsidRPr="00DC2FB5">
        <w:rPr>
          <w:rFonts w:ascii="Arial" w:hAnsi="Arial" w:cs="Arial"/>
          <w:color w:val="000000"/>
          <w:sz w:val="24"/>
          <w:szCs w:val="24"/>
        </w:rPr>
        <w:t>39,</w:t>
      </w:r>
      <w:r w:rsidR="006E0961">
        <w:rPr>
          <w:rFonts w:ascii="Arial" w:hAnsi="Arial" w:cs="Arial"/>
          <w:color w:val="000000"/>
          <w:sz w:val="24"/>
          <w:szCs w:val="24"/>
        </w:rPr>
        <w:t xml:space="preserve"> </w:t>
      </w:r>
      <w:r w:rsidR="00427278" w:rsidRPr="00DC2FB5">
        <w:rPr>
          <w:rFonts w:ascii="Arial" w:hAnsi="Arial" w:cs="Arial"/>
          <w:color w:val="000000"/>
          <w:sz w:val="24"/>
          <w:szCs w:val="24"/>
        </w:rPr>
        <w:t>2%. Scăderea pre</w:t>
      </w:r>
      <w:r w:rsidR="006A407B" w:rsidRPr="00DC2FB5">
        <w:rPr>
          <w:rFonts w:ascii="Arial" w:hAnsi="Arial" w:cs="Arial"/>
          <w:color w:val="000000"/>
          <w:sz w:val="24"/>
          <w:szCs w:val="24"/>
        </w:rPr>
        <w:t>ţ</w:t>
      </w:r>
      <w:r w:rsidR="0075031B" w:rsidRPr="00DC2FB5">
        <w:rPr>
          <w:rFonts w:ascii="Arial" w:hAnsi="Arial" w:cs="Arial"/>
          <w:color w:val="000000"/>
          <w:sz w:val="24"/>
          <w:szCs w:val="24"/>
        </w:rPr>
        <w:t xml:space="preserve">urilor </w:t>
      </w:r>
      <w:r w:rsidR="00F65F0A" w:rsidRPr="00DC2FB5">
        <w:rPr>
          <w:rFonts w:ascii="Arial" w:hAnsi="Arial" w:cs="Arial"/>
          <w:color w:val="000000"/>
          <w:sz w:val="24"/>
          <w:szCs w:val="24"/>
        </w:rPr>
        <w:t xml:space="preserve">a </w:t>
      </w:r>
      <w:r w:rsidR="00427278" w:rsidRPr="00DC2FB5">
        <w:rPr>
          <w:rFonts w:ascii="Arial" w:hAnsi="Arial" w:cs="Arial"/>
          <w:color w:val="000000"/>
          <w:sz w:val="24"/>
          <w:szCs w:val="24"/>
        </w:rPr>
        <w:t>afe</w:t>
      </w:r>
      <w:r w:rsidR="00F65F0A" w:rsidRPr="00DC2FB5">
        <w:rPr>
          <w:rFonts w:ascii="Arial" w:hAnsi="Arial" w:cs="Arial"/>
          <w:color w:val="000000"/>
          <w:sz w:val="24"/>
          <w:szCs w:val="24"/>
        </w:rPr>
        <w:t xml:space="preserve">ctat companiile </w:t>
      </w:r>
      <w:r w:rsidR="00F65F0A" w:rsidRPr="004145E3">
        <w:rPr>
          <w:rFonts w:ascii="Arial" w:hAnsi="Arial" w:cs="Arial"/>
          <w:sz w:val="24"/>
          <w:szCs w:val="24"/>
        </w:rPr>
        <w:t xml:space="preserve">din </w:t>
      </w:r>
      <w:r w:rsidR="00427278" w:rsidRPr="004145E3">
        <w:rPr>
          <w:rFonts w:ascii="Arial" w:hAnsi="Arial" w:cs="Arial"/>
          <w:sz w:val="24"/>
          <w:szCs w:val="24"/>
        </w:rPr>
        <w:t>industri</w:t>
      </w:r>
      <w:r w:rsidR="004145E3" w:rsidRPr="004145E3">
        <w:rPr>
          <w:rFonts w:ascii="Arial" w:hAnsi="Arial" w:cs="Arial"/>
          <w:sz w:val="24"/>
          <w:szCs w:val="24"/>
        </w:rPr>
        <w:t>a</w:t>
      </w:r>
      <w:r w:rsidR="00427278" w:rsidRPr="004145E3">
        <w:rPr>
          <w:rFonts w:ascii="Arial" w:hAnsi="Arial" w:cs="Arial"/>
          <w:sz w:val="24"/>
          <w:szCs w:val="24"/>
        </w:rPr>
        <w:t xml:space="preserve"> </w:t>
      </w:r>
      <w:r w:rsidR="00F65F0A" w:rsidRPr="004145E3">
        <w:rPr>
          <w:rFonts w:ascii="Arial" w:hAnsi="Arial" w:cs="Arial"/>
          <w:sz w:val="24"/>
          <w:szCs w:val="24"/>
        </w:rPr>
        <w:t>minier</w:t>
      </w:r>
      <w:r w:rsidR="004145E3" w:rsidRPr="004145E3">
        <w:rPr>
          <w:rFonts w:ascii="Arial" w:hAnsi="Arial" w:cs="Arial"/>
          <w:sz w:val="24"/>
          <w:szCs w:val="24"/>
          <w:lang w:val="ro-RO"/>
        </w:rPr>
        <w:t>ă</w:t>
      </w:r>
      <w:r w:rsidR="00F65F0A" w:rsidRPr="004145E3">
        <w:rPr>
          <w:rFonts w:ascii="Arial" w:hAnsi="Arial" w:cs="Arial"/>
          <w:sz w:val="24"/>
          <w:szCs w:val="24"/>
        </w:rPr>
        <w:t xml:space="preserve"> </w:t>
      </w:r>
      <w:r w:rsidR="00427278" w:rsidRPr="004145E3">
        <w:rPr>
          <w:rFonts w:ascii="Arial" w:hAnsi="Arial" w:cs="Arial"/>
          <w:sz w:val="24"/>
          <w:szCs w:val="24"/>
        </w:rPr>
        <w:t>peste tot în lume</w:t>
      </w:r>
      <w:r w:rsidR="00427278" w:rsidRPr="00DC2FB5">
        <w:rPr>
          <w:rFonts w:ascii="Arial" w:hAnsi="Arial" w:cs="Arial"/>
          <w:color w:val="7030A0"/>
          <w:sz w:val="24"/>
          <w:szCs w:val="24"/>
        </w:rPr>
        <w:t xml:space="preserve"> </w:t>
      </w:r>
      <w:r w:rsidR="006A407B" w:rsidRPr="00DC2FB5">
        <w:rPr>
          <w:rFonts w:ascii="Arial" w:hAnsi="Arial" w:cs="Arial"/>
          <w:color w:val="000000"/>
          <w:sz w:val="24"/>
          <w:szCs w:val="24"/>
        </w:rPr>
        <w:t>ş</w:t>
      </w:r>
      <w:r w:rsidR="00F65F0A" w:rsidRPr="00DC2FB5">
        <w:rPr>
          <w:rFonts w:ascii="Arial" w:hAnsi="Arial" w:cs="Arial"/>
          <w:color w:val="000000"/>
          <w:sz w:val="24"/>
          <w:szCs w:val="24"/>
        </w:rPr>
        <w:t xml:space="preserve">i chiar </w:t>
      </w:r>
      <w:r w:rsidR="00427278" w:rsidRPr="00DC2FB5">
        <w:rPr>
          <w:rFonts w:ascii="Arial" w:hAnsi="Arial" w:cs="Arial"/>
          <w:color w:val="000000"/>
          <w:sz w:val="24"/>
          <w:szCs w:val="24"/>
        </w:rPr>
        <w:t>dina</w:t>
      </w:r>
      <w:r w:rsidR="00F65F0A" w:rsidRPr="00DC2FB5">
        <w:rPr>
          <w:rFonts w:ascii="Arial" w:hAnsi="Arial" w:cs="Arial"/>
          <w:color w:val="000000"/>
          <w:sz w:val="24"/>
          <w:szCs w:val="24"/>
        </w:rPr>
        <w:t xml:space="preserve">mica economiilor care depind de </w:t>
      </w:r>
      <w:r w:rsidR="00427278" w:rsidRPr="00DC2FB5">
        <w:rPr>
          <w:rFonts w:ascii="Arial" w:hAnsi="Arial" w:cs="Arial"/>
          <w:color w:val="000000"/>
          <w:sz w:val="24"/>
          <w:szCs w:val="24"/>
        </w:rPr>
        <w:t>exportul materii</w:t>
      </w:r>
      <w:r w:rsidR="00D8365E" w:rsidRPr="00DC2FB5">
        <w:rPr>
          <w:rFonts w:ascii="Arial" w:hAnsi="Arial" w:cs="Arial"/>
          <w:color w:val="000000"/>
          <w:sz w:val="24"/>
          <w:szCs w:val="24"/>
        </w:rPr>
        <w:t>lor</w:t>
      </w:r>
      <w:r w:rsidR="00427278" w:rsidRPr="00DC2FB5">
        <w:rPr>
          <w:rFonts w:ascii="Arial" w:hAnsi="Arial" w:cs="Arial"/>
          <w:color w:val="000000"/>
          <w:sz w:val="24"/>
          <w:szCs w:val="24"/>
        </w:rPr>
        <w:t xml:space="preserve"> prime.</w:t>
      </w:r>
    </w:p>
    <w:p w:rsidR="00427278" w:rsidRPr="00DC2FB5" w:rsidRDefault="00DC2FB5" w:rsidP="00DC2FB5">
      <w:pPr>
        <w:autoSpaceDE w:val="0"/>
        <w:autoSpaceDN w:val="0"/>
        <w:adjustRightInd w:val="0"/>
        <w:spacing w:after="0"/>
        <w:jc w:val="both"/>
        <w:rPr>
          <w:rFonts w:ascii="Arial" w:hAnsi="Arial" w:cs="Arial"/>
          <w:color w:val="000000"/>
          <w:sz w:val="24"/>
          <w:szCs w:val="24"/>
        </w:rPr>
      </w:pPr>
      <w:r w:rsidRPr="00DC2FB5">
        <w:rPr>
          <w:rFonts w:ascii="Arial" w:hAnsi="Arial" w:cs="Arial"/>
          <w:color w:val="000000"/>
          <w:sz w:val="24"/>
          <w:szCs w:val="24"/>
        </w:rPr>
        <w:tab/>
      </w:r>
      <w:r w:rsidR="00427278" w:rsidRPr="00DC2FB5">
        <w:rPr>
          <w:rFonts w:ascii="Arial" w:hAnsi="Arial" w:cs="Arial"/>
          <w:color w:val="000000"/>
          <w:sz w:val="24"/>
          <w:szCs w:val="24"/>
        </w:rPr>
        <w:t>Printre cele mai importante consecin</w:t>
      </w:r>
      <w:r w:rsidR="006A407B" w:rsidRPr="00DC2FB5">
        <w:rPr>
          <w:rFonts w:ascii="Arial" w:hAnsi="Arial" w:cs="Arial"/>
          <w:color w:val="000000"/>
          <w:sz w:val="24"/>
          <w:szCs w:val="24"/>
        </w:rPr>
        <w:t>ţ</w:t>
      </w:r>
      <w:r w:rsidR="00F65F0A" w:rsidRPr="00DC2FB5">
        <w:rPr>
          <w:rFonts w:ascii="Arial" w:hAnsi="Arial" w:cs="Arial"/>
          <w:color w:val="000000"/>
          <w:sz w:val="24"/>
          <w:szCs w:val="24"/>
        </w:rPr>
        <w:t xml:space="preserve">e </w:t>
      </w:r>
      <w:r w:rsidR="00427278" w:rsidRPr="00DC2FB5">
        <w:rPr>
          <w:rFonts w:ascii="Arial" w:hAnsi="Arial" w:cs="Arial"/>
          <w:color w:val="000000"/>
          <w:sz w:val="24"/>
          <w:szCs w:val="24"/>
        </w:rPr>
        <w:t>care rezultă din dificultă</w:t>
      </w:r>
      <w:r w:rsidR="006A407B" w:rsidRPr="00DC2FB5">
        <w:rPr>
          <w:rFonts w:ascii="Arial" w:hAnsi="Arial" w:cs="Arial"/>
          <w:color w:val="000000"/>
          <w:sz w:val="24"/>
          <w:szCs w:val="24"/>
        </w:rPr>
        <w:t>ţ</w:t>
      </w:r>
      <w:r w:rsidR="00F65F0A" w:rsidRPr="00DC2FB5">
        <w:rPr>
          <w:rFonts w:ascii="Arial" w:hAnsi="Arial" w:cs="Arial"/>
          <w:color w:val="000000"/>
          <w:sz w:val="24"/>
          <w:szCs w:val="24"/>
        </w:rPr>
        <w:t>ile</w:t>
      </w:r>
      <w:r w:rsidR="00CB58A9" w:rsidRPr="00DC2FB5">
        <w:rPr>
          <w:rFonts w:ascii="Arial" w:hAnsi="Arial" w:cs="Arial"/>
          <w:color w:val="000000"/>
          <w:sz w:val="24"/>
          <w:szCs w:val="24"/>
        </w:rPr>
        <w:t xml:space="preserve"> cu care se confruntă</w:t>
      </w:r>
      <w:r w:rsidR="00F65F0A" w:rsidRPr="00DC2FB5">
        <w:rPr>
          <w:rFonts w:ascii="Arial" w:hAnsi="Arial" w:cs="Arial"/>
          <w:color w:val="000000"/>
          <w:sz w:val="24"/>
          <w:szCs w:val="24"/>
        </w:rPr>
        <w:t xml:space="preserve"> industri</w:t>
      </w:r>
      <w:r w:rsidR="00CB58A9" w:rsidRPr="00DC2FB5">
        <w:rPr>
          <w:rFonts w:ascii="Arial" w:hAnsi="Arial" w:cs="Arial"/>
          <w:color w:val="000000"/>
          <w:sz w:val="24"/>
          <w:szCs w:val="24"/>
        </w:rPr>
        <w:t>a</w:t>
      </w:r>
      <w:r w:rsidR="00F65F0A" w:rsidRPr="00DC2FB5">
        <w:rPr>
          <w:rFonts w:ascii="Arial" w:hAnsi="Arial" w:cs="Arial"/>
          <w:color w:val="000000"/>
          <w:sz w:val="24"/>
          <w:szCs w:val="24"/>
        </w:rPr>
        <w:t xml:space="preserve"> </w:t>
      </w:r>
      <w:r w:rsidR="00427278" w:rsidRPr="00DC2FB5">
        <w:rPr>
          <w:rFonts w:ascii="Arial" w:hAnsi="Arial" w:cs="Arial"/>
          <w:color w:val="000000"/>
          <w:sz w:val="24"/>
          <w:szCs w:val="24"/>
        </w:rPr>
        <w:t>minier</w:t>
      </w:r>
      <w:r w:rsidR="00CB58A9" w:rsidRPr="00DC2FB5">
        <w:rPr>
          <w:rFonts w:ascii="Arial" w:hAnsi="Arial" w:cs="Arial"/>
          <w:color w:val="000000"/>
          <w:sz w:val="24"/>
          <w:szCs w:val="24"/>
        </w:rPr>
        <w:t>ă</w:t>
      </w:r>
      <w:r w:rsidR="00F65F0A" w:rsidRPr="00DC2FB5">
        <w:rPr>
          <w:rFonts w:ascii="Arial" w:hAnsi="Arial" w:cs="Arial"/>
          <w:color w:val="000000"/>
          <w:sz w:val="24"/>
          <w:szCs w:val="24"/>
        </w:rPr>
        <w:t xml:space="preserve"> </w:t>
      </w:r>
      <w:r w:rsidR="005A3124" w:rsidRPr="00DC2FB5">
        <w:rPr>
          <w:rFonts w:ascii="Arial" w:hAnsi="Arial" w:cs="Arial"/>
          <w:color w:val="000000"/>
          <w:sz w:val="24"/>
          <w:szCs w:val="24"/>
        </w:rPr>
        <w:t xml:space="preserve">se numără </w:t>
      </w:r>
      <w:r w:rsidR="00427278" w:rsidRPr="00DC2FB5">
        <w:rPr>
          <w:rFonts w:ascii="Arial" w:hAnsi="Arial" w:cs="Arial"/>
          <w:color w:val="000000"/>
          <w:sz w:val="24"/>
          <w:szCs w:val="24"/>
        </w:rPr>
        <w:t>declinul investi</w:t>
      </w:r>
      <w:r w:rsidR="006A407B" w:rsidRPr="00DC2FB5">
        <w:rPr>
          <w:rFonts w:ascii="Arial" w:hAnsi="Arial" w:cs="Arial"/>
          <w:color w:val="000000"/>
          <w:sz w:val="24"/>
          <w:szCs w:val="24"/>
        </w:rPr>
        <w:t>ţ</w:t>
      </w:r>
      <w:r w:rsidR="00427278" w:rsidRPr="00DC2FB5">
        <w:rPr>
          <w:rFonts w:ascii="Arial" w:hAnsi="Arial" w:cs="Arial"/>
          <w:color w:val="000000"/>
          <w:sz w:val="24"/>
          <w:szCs w:val="24"/>
        </w:rPr>
        <w:t>iilor.</w:t>
      </w:r>
      <w:r w:rsidRPr="00DC2FB5">
        <w:rPr>
          <w:rFonts w:ascii="Arial" w:hAnsi="Arial" w:cs="Arial"/>
          <w:color w:val="000000"/>
          <w:sz w:val="24"/>
          <w:szCs w:val="24"/>
        </w:rPr>
        <w:t xml:space="preserve"> </w:t>
      </w:r>
      <w:r w:rsidR="00427278" w:rsidRPr="00DC2FB5">
        <w:rPr>
          <w:rFonts w:ascii="Arial" w:hAnsi="Arial" w:cs="Arial"/>
          <w:color w:val="000000"/>
          <w:sz w:val="24"/>
          <w:szCs w:val="24"/>
        </w:rPr>
        <w:t xml:space="preserve">Potrivit SNL Metale </w:t>
      </w:r>
      <w:r w:rsidR="006A407B" w:rsidRPr="00DC2FB5">
        <w:rPr>
          <w:rFonts w:ascii="Arial" w:hAnsi="Arial" w:cs="Arial"/>
          <w:color w:val="000000"/>
          <w:sz w:val="24"/>
          <w:szCs w:val="24"/>
        </w:rPr>
        <w:t>ş</w:t>
      </w:r>
      <w:r w:rsidR="00427278" w:rsidRPr="00DC2FB5">
        <w:rPr>
          <w:rFonts w:ascii="Arial" w:hAnsi="Arial" w:cs="Arial"/>
          <w:color w:val="000000"/>
          <w:sz w:val="24"/>
          <w:szCs w:val="24"/>
        </w:rPr>
        <w:t xml:space="preserve">i </w:t>
      </w:r>
      <w:r w:rsidR="00F65F0A" w:rsidRPr="00DC2FB5">
        <w:rPr>
          <w:rFonts w:ascii="Arial" w:hAnsi="Arial" w:cs="Arial"/>
          <w:color w:val="000000"/>
          <w:sz w:val="24"/>
          <w:szCs w:val="24"/>
        </w:rPr>
        <w:t>Minerit / I</w:t>
      </w:r>
      <w:r w:rsidR="00427278" w:rsidRPr="00DC2FB5">
        <w:rPr>
          <w:rFonts w:ascii="Arial" w:hAnsi="Arial" w:cs="Arial"/>
          <w:color w:val="000000"/>
          <w:sz w:val="24"/>
          <w:szCs w:val="24"/>
        </w:rPr>
        <w:t>ndustria ex</w:t>
      </w:r>
      <w:r w:rsidR="00F65F0A" w:rsidRPr="00DC2FB5">
        <w:rPr>
          <w:rFonts w:ascii="Arial" w:hAnsi="Arial" w:cs="Arial"/>
          <w:color w:val="000000"/>
          <w:sz w:val="24"/>
          <w:szCs w:val="24"/>
        </w:rPr>
        <w:t xml:space="preserve">tractivă, </w:t>
      </w:r>
      <w:r w:rsidR="00427278" w:rsidRPr="00DC2FB5">
        <w:rPr>
          <w:rFonts w:ascii="Arial" w:hAnsi="Arial" w:cs="Arial"/>
          <w:color w:val="000000"/>
          <w:sz w:val="24"/>
          <w:szCs w:val="24"/>
        </w:rPr>
        <w:t>investi</w:t>
      </w:r>
      <w:r w:rsidR="006A407B" w:rsidRPr="00DC2FB5">
        <w:rPr>
          <w:rFonts w:ascii="Arial" w:hAnsi="Arial" w:cs="Arial"/>
          <w:color w:val="000000"/>
          <w:sz w:val="24"/>
          <w:szCs w:val="24"/>
        </w:rPr>
        <w:t>ţ</w:t>
      </w:r>
      <w:r w:rsidR="00427278" w:rsidRPr="00DC2FB5">
        <w:rPr>
          <w:rFonts w:ascii="Arial" w:hAnsi="Arial" w:cs="Arial"/>
          <w:color w:val="000000"/>
          <w:sz w:val="24"/>
          <w:szCs w:val="24"/>
        </w:rPr>
        <w:t>ii</w:t>
      </w:r>
      <w:r w:rsidR="00F65F0A" w:rsidRPr="00DC2FB5">
        <w:rPr>
          <w:rFonts w:ascii="Arial" w:hAnsi="Arial" w:cs="Arial"/>
          <w:color w:val="000000"/>
          <w:sz w:val="24"/>
          <w:szCs w:val="24"/>
        </w:rPr>
        <w:t>le</w:t>
      </w:r>
      <w:r w:rsidR="00427278" w:rsidRPr="00DC2FB5">
        <w:rPr>
          <w:rFonts w:ascii="Arial" w:hAnsi="Arial" w:cs="Arial"/>
          <w:color w:val="000000"/>
          <w:sz w:val="24"/>
          <w:szCs w:val="24"/>
        </w:rPr>
        <w:t xml:space="preserve"> </w:t>
      </w:r>
      <w:r w:rsidR="005A3124" w:rsidRPr="00DC2FB5">
        <w:rPr>
          <w:rFonts w:ascii="Arial" w:hAnsi="Arial" w:cs="Arial"/>
          <w:color w:val="000000"/>
          <w:sz w:val="24"/>
          <w:szCs w:val="24"/>
        </w:rPr>
        <w:t>în domeniul explorării</w:t>
      </w:r>
      <w:r w:rsidR="00427278" w:rsidRPr="00DC2FB5">
        <w:rPr>
          <w:rFonts w:ascii="Arial" w:hAnsi="Arial" w:cs="Arial"/>
          <w:color w:val="000000"/>
          <w:sz w:val="24"/>
          <w:szCs w:val="24"/>
        </w:rPr>
        <w:t xml:space="preserve"> în Sectorul minier </w:t>
      </w:r>
      <w:r w:rsidR="00F65F0A" w:rsidRPr="00DC2FB5">
        <w:rPr>
          <w:rFonts w:ascii="Arial" w:hAnsi="Arial" w:cs="Arial"/>
          <w:color w:val="000000"/>
          <w:sz w:val="24"/>
          <w:szCs w:val="24"/>
        </w:rPr>
        <w:t>mondial</w:t>
      </w:r>
      <w:r w:rsidR="00396230" w:rsidRPr="00DC2FB5">
        <w:rPr>
          <w:rFonts w:ascii="Arial" w:hAnsi="Arial" w:cs="Arial"/>
          <w:color w:val="000000"/>
          <w:sz w:val="24"/>
          <w:szCs w:val="24"/>
        </w:rPr>
        <w:t xml:space="preserve"> a</w:t>
      </w:r>
      <w:r w:rsidR="00D8365E" w:rsidRPr="00DC2FB5">
        <w:rPr>
          <w:rFonts w:ascii="Arial" w:hAnsi="Arial" w:cs="Arial"/>
          <w:color w:val="000000"/>
          <w:sz w:val="24"/>
          <w:szCs w:val="24"/>
        </w:rPr>
        <w:t>u</w:t>
      </w:r>
      <w:r w:rsidR="00396230" w:rsidRPr="00DC2FB5">
        <w:rPr>
          <w:rFonts w:ascii="Arial" w:hAnsi="Arial" w:cs="Arial"/>
          <w:color w:val="000000"/>
          <w:sz w:val="24"/>
          <w:szCs w:val="24"/>
        </w:rPr>
        <w:t xml:space="preserve"> </w:t>
      </w:r>
      <w:r w:rsidR="00427278" w:rsidRPr="00DC2FB5">
        <w:rPr>
          <w:rFonts w:ascii="Arial" w:hAnsi="Arial" w:cs="Arial"/>
          <w:color w:val="000000"/>
          <w:sz w:val="24"/>
          <w:szCs w:val="24"/>
        </w:rPr>
        <w:t>scăzut pentru a</w:t>
      </w:r>
      <w:r w:rsidR="00396230" w:rsidRPr="00DC2FB5">
        <w:rPr>
          <w:rFonts w:ascii="Arial" w:hAnsi="Arial" w:cs="Arial"/>
          <w:color w:val="000000"/>
          <w:sz w:val="24"/>
          <w:szCs w:val="24"/>
        </w:rPr>
        <w:t>l</w:t>
      </w:r>
      <w:r w:rsidR="00427278" w:rsidRPr="00DC2FB5">
        <w:rPr>
          <w:rFonts w:ascii="Arial" w:hAnsi="Arial" w:cs="Arial"/>
          <w:color w:val="000000"/>
          <w:sz w:val="24"/>
          <w:szCs w:val="24"/>
        </w:rPr>
        <w:t xml:space="preserve"> trei</w:t>
      </w:r>
      <w:r w:rsidR="00396230" w:rsidRPr="00DC2FB5">
        <w:rPr>
          <w:rFonts w:ascii="Arial" w:hAnsi="Arial" w:cs="Arial"/>
          <w:color w:val="000000"/>
          <w:sz w:val="24"/>
          <w:szCs w:val="24"/>
        </w:rPr>
        <w:t>le</w:t>
      </w:r>
      <w:r w:rsidR="00427278" w:rsidRPr="00DC2FB5">
        <w:rPr>
          <w:rFonts w:ascii="Arial" w:hAnsi="Arial" w:cs="Arial"/>
          <w:color w:val="000000"/>
          <w:sz w:val="24"/>
          <w:szCs w:val="24"/>
        </w:rPr>
        <w:t xml:space="preserve">a </w:t>
      </w:r>
      <w:r w:rsidR="00396230" w:rsidRPr="00DC2FB5">
        <w:rPr>
          <w:rFonts w:ascii="Arial" w:hAnsi="Arial" w:cs="Arial"/>
          <w:color w:val="000000"/>
          <w:sz w:val="24"/>
          <w:szCs w:val="24"/>
        </w:rPr>
        <w:t xml:space="preserve">an </w:t>
      </w:r>
      <w:r w:rsidR="00427278" w:rsidRPr="00DC2FB5">
        <w:rPr>
          <w:rFonts w:ascii="Arial" w:hAnsi="Arial" w:cs="Arial"/>
          <w:color w:val="000000"/>
          <w:sz w:val="24"/>
          <w:szCs w:val="24"/>
        </w:rPr>
        <w:t>consecutiv, atingând un nivel de 9,</w:t>
      </w:r>
      <w:r w:rsidR="00396230" w:rsidRPr="00DC2FB5">
        <w:rPr>
          <w:rFonts w:ascii="Arial" w:hAnsi="Arial" w:cs="Arial"/>
          <w:color w:val="000000"/>
          <w:sz w:val="24"/>
          <w:szCs w:val="24"/>
        </w:rPr>
        <w:t xml:space="preserve"> </w:t>
      </w:r>
      <w:r w:rsidR="00427278" w:rsidRPr="00DC2FB5">
        <w:rPr>
          <w:rFonts w:ascii="Arial" w:hAnsi="Arial" w:cs="Arial"/>
          <w:color w:val="000000"/>
          <w:sz w:val="24"/>
          <w:szCs w:val="24"/>
        </w:rPr>
        <w:t>2 miliarde</w:t>
      </w:r>
      <w:r w:rsidR="00396230" w:rsidRPr="00DC2FB5">
        <w:rPr>
          <w:rFonts w:ascii="Arial" w:hAnsi="Arial" w:cs="Arial"/>
          <w:color w:val="000000"/>
          <w:sz w:val="24"/>
          <w:szCs w:val="24"/>
        </w:rPr>
        <w:t xml:space="preserve"> </w:t>
      </w:r>
      <w:r w:rsidR="00427278" w:rsidRPr="00DC2FB5">
        <w:rPr>
          <w:rFonts w:ascii="Arial" w:hAnsi="Arial" w:cs="Arial"/>
          <w:color w:val="000000"/>
          <w:sz w:val="24"/>
          <w:szCs w:val="24"/>
        </w:rPr>
        <w:t>dolari în 2015, cu 19,</w:t>
      </w:r>
      <w:r w:rsidR="00396230" w:rsidRPr="00DC2FB5">
        <w:rPr>
          <w:rFonts w:ascii="Arial" w:hAnsi="Arial" w:cs="Arial"/>
          <w:color w:val="000000"/>
          <w:sz w:val="24"/>
          <w:szCs w:val="24"/>
        </w:rPr>
        <w:t xml:space="preserve"> 3% mai </w:t>
      </w:r>
      <w:r w:rsidR="00427278" w:rsidRPr="00DC2FB5">
        <w:rPr>
          <w:rFonts w:ascii="Arial" w:hAnsi="Arial" w:cs="Arial"/>
          <w:color w:val="000000"/>
          <w:sz w:val="24"/>
          <w:szCs w:val="24"/>
        </w:rPr>
        <w:t>pu</w:t>
      </w:r>
      <w:r w:rsidR="006A407B" w:rsidRPr="00DC2FB5">
        <w:rPr>
          <w:rFonts w:ascii="Arial" w:hAnsi="Arial" w:cs="Arial"/>
          <w:color w:val="000000"/>
          <w:sz w:val="24"/>
          <w:szCs w:val="24"/>
        </w:rPr>
        <w:t>ţ</w:t>
      </w:r>
      <w:r w:rsidR="00396230" w:rsidRPr="00DC2FB5">
        <w:rPr>
          <w:rFonts w:ascii="Arial" w:hAnsi="Arial" w:cs="Arial"/>
          <w:color w:val="000000"/>
          <w:sz w:val="24"/>
          <w:szCs w:val="24"/>
        </w:rPr>
        <w:t xml:space="preserve">in decât </w:t>
      </w:r>
      <w:r w:rsidR="00DD61D5" w:rsidRPr="00DC2FB5">
        <w:rPr>
          <w:rFonts w:ascii="Arial" w:hAnsi="Arial" w:cs="Arial"/>
          <w:color w:val="000000"/>
          <w:sz w:val="24"/>
          <w:szCs w:val="24"/>
        </w:rPr>
        <w:t xml:space="preserve">în anul </w:t>
      </w:r>
      <w:r w:rsidR="00396230" w:rsidRPr="00DC2FB5">
        <w:rPr>
          <w:rFonts w:ascii="Arial" w:hAnsi="Arial" w:cs="Arial"/>
          <w:color w:val="000000"/>
          <w:sz w:val="24"/>
          <w:szCs w:val="24"/>
        </w:rPr>
        <w:t>precedent</w:t>
      </w:r>
      <w:r w:rsidR="00DD61D5" w:rsidRPr="00DC2FB5">
        <w:rPr>
          <w:rFonts w:ascii="Arial" w:hAnsi="Arial" w:cs="Arial"/>
          <w:color w:val="000000"/>
          <w:sz w:val="24"/>
          <w:szCs w:val="24"/>
        </w:rPr>
        <w:t xml:space="preserve"> </w:t>
      </w:r>
      <w:r w:rsidR="00D8365E" w:rsidRPr="00DC2FB5">
        <w:rPr>
          <w:rFonts w:ascii="Arial" w:hAnsi="Arial" w:cs="Arial"/>
          <w:color w:val="000000"/>
          <w:sz w:val="24"/>
          <w:szCs w:val="24"/>
        </w:rPr>
        <w:t>fiind tot</w:t>
      </w:r>
      <w:r w:rsidR="005A3124" w:rsidRPr="00DC2FB5">
        <w:rPr>
          <w:rFonts w:ascii="Arial" w:hAnsi="Arial" w:cs="Arial"/>
          <w:color w:val="000000"/>
          <w:sz w:val="24"/>
          <w:szCs w:val="24"/>
        </w:rPr>
        <w:t>o</w:t>
      </w:r>
      <w:r w:rsidR="00D8365E" w:rsidRPr="00DC2FB5">
        <w:rPr>
          <w:rFonts w:ascii="Arial" w:hAnsi="Arial" w:cs="Arial"/>
          <w:color w:val="000000"/>
          <w:sz w:val="24"/>
          <w:szCs w:val="24"/>
        </w:rPr>
        <w:t>dată</w:t>
      </w:r>
      <w:r w:rsidR="00DD61D5" w:rsidRPr="00DC2FB5">
        <w:rPr>
          <w:rFonts w:ascii="Arial" w:hAnsi="Arial" w:cs="Arial"/>
          <w:color w:val="000000"/>
          <w:sz w:val="24"/>
          <w:szCs w:val="24"/>
        </w:rPr>
        <w:t xml:space="preserve"> </w:t>
      </w:r>
      <w:r w:rsidR="00396230" w:rsidRPr="00DC2FB5">
        <w:rPr>
          <w:rFonts w:ascii="Arial" w:hAnsi="Arial" w:cs="Arial"/>
          <w:color w:val="000000"/>
          <w:sz w:val="24"/>
          <w:szCs w:val="24"/>
        </w:rPr>
        <w:t xml:space="preserve">cel mai mic indicator din </w:t>
      </w:r>
      <w:r w:rsidR="00427278" w:rsidRPr="00DC2FB5">
        <w:rPr>
          <w:rFonts w:ascii="Arial" w:hAnsi="Arial" w:cs="Arial"/>
          <w:color w:val="000000"/>
          <w:sz w:val="24"/>
          <w:szCs w:val="24"/>
        </w:rPr>
        <w:t xml:space="preserve">ultimii </w:t>
      </w:r>
      <w:r w:rsidR="006A407B" w:rsidRPr="00DC2FB5">
        <w:rPr>
          <w:rFonts w:ascii="Arial" w:hAnsi="Arial" w:cs="Arial"/>
          <w:color w:val="000000"/>
          <w:sz w:val="24"/>
          <w:szCs w:val="24"/>
        </w:rPr>
        <w:t>ş</w:t>
      </w:r>
      <w:r w:rsidR="00427278" w:rsidRPr="00DC2FB5">
        <w:rPr>
          <w:rFonts w:ascii="Arial" w:hAnsi="Arial" w:cs="Arial"/>
          <w:color w:val="000000"/>
          <w:sz w:val="24"/>
          <w:szCs w:val="24"/>
        </w:rPr>
        <w:t>ase ani.</w:t>
      </w:r>
      <w:r w:rsidR="00D8365E" w:rsidRPr="00DC2FB5">
        <w:rPr>
          <w:rFonts w:ascii="Arial" w:hAnsi="Arial" w:cs="Arial"/>
          <w:color w:val="000000"/>
          <w:sz w:val="24"/>
          <w:szCs w:val="24"/>
        </w:rPr>
        <w:t xml:space="preserve"> Au avut loc</w:t>
      </w:r>
      <w:r w:rsidR="00427278" w:rsidRPr="00DC2FB5">
        <w:rPr>
          <w:rFonts w:ascii="Arial" w:hAnsi="Arial" w:cs="Arial"/>
          <w:color w:val="000000"/>
          <w:sz w:val="24"/>
          <w:szCs w:val="24"/>
        </w:rPr>
        <w:t>, de asemenea, închid</w:t>
      </w:r>
      <w:r w:rsidR="00396230" w:rsidRPr="00DC2FB5">
        <w:rPr>
          <w:rFonts w:ascii="Arial" w:hAnsi="Arial" w:cs="Arial"/>
          <w:color w:val="000000"/>
          <w:sz w:val="24"/>
          <w:szCs w:val="24"/>
        </w:rPr>
        <w:t xml:space="preserve">eri de </w:t>
      </w:r>
      <w:r w:rsidR="00DD61D5" w:rsidRPr="00DC2FB5">
        <w:rPr>
          <w:rFonts w:ascii="Arial" w:hAnsi="Arial" w:cs="Arial"/>
          <w:color w:val="000000"/>
          <w:sz w:val="24"/>
          <w:szCs w:val="24"/>
        </w:rPr>
        <w:t xml:space="preserve">mine, au fost amânate </w:t>
      </w:r>
      <w:r w:rsidR="00396230" w:rsidRPr="00DC2FB5">
        <w:rPr>
          <w:rFonts w:ascii="Arial" w:hAnsi="Arial" w:cs="Arial"/>
          <w:color w:val="000000"/>
          <w:sz w:val="24"/>
          <w:szCs w:val="24"/>
        </w:rPr>
        <w:t xml:space="preserve">proiecte </w:t>
      </w:r>
      <w:r w:rsidR="006A407B" w:rsidRPr="00DC2FB5">
        <w:rPr>
          <w:rFonts w:ascii="Arial" w:hAnsi="Arial" w:cs="Arial"/>
          <w:color w:val="000000"/>
          <w:sz w:val="24"/>
          <w:szCs w:val="24"/>
        </w:rPr>
        <w:t>ş</w:t>
      </w:r>
      <w:r w:rsidR="00427278" w:rsidRPr="00DC2FB5">
        <w:rPr>
          <w:rFonts w:ascii="Arial" w:hAnsi="Arial" w:cs="Arial"/>
          <w:color w:val="000000"/>
          <w:sz w:val="24"/>
          <w:szCs w:val="24"/>
        </w:rPr>
        <w:t xml:space="preserve">i </w:t>
      </w:r>
      <w:r w:rsidR="005A3124" w:rsidRPr="00DC2FB5">
        <w:rPr>
          <w:rFonts w:ascii="Arial" w:hAnsi="Arial" w:cs="Arial"/>
          <w:color w:val="000000"/>
          <w:sz w:val="24"/>
          <w:szCs w:val="24"/>
        </w:rPr>
        <w:t>s-a produs</w:t>
      </w:r>
      <w:r w:rsidR="00427278" w:rsidRPr="00DC2FB5">
        <w:rPr>
          <w:rFonts w:ascii="Arial" w:hAnsi="Arial" w:cs="Arial"/>
          <w:color w:val="000000"/>
          <w:sz w:val="24"/>
          <w:szCs w:val="24"/>
        </w:rPr>
        <w:t xml:space="preserve"> un val de fuziuni </w:t>
      </w:r>
      <w:r w:rsidR="006A407B" w:rsidRPr="00DC2FB5">
        <w:rPr>
          <w:rFonts w:ascii="Arial" w:hAnsi="Arial" w:cs="Arial"/>
          <w:color w:val="000000"/>
          <w:sz w:val="24"/>
          <w:szCs w:val="24"/>
        </w:rPr>
        <w:t>ş</w:t>
      </w:r>
      <w:r w:rsidR="00396230" w:rsidRPr="00DC2FB5">
        <w:rPr>
          <w:rFonts w:ascii="Arial" w:hAnsi="Arial" w:cs="Arial"/>
          <w:color w:val="000000"/>
          <w:sz w:val="24"/>
          <w:szCs w:val="24"/>
        </w:rPr>
        <w:t xml:space="preserve">i </w:t>
      </w:r>
      <w:r w:rsidR="00427278" w:rsidRPr="00DC2FB5">
        <w:rPr>
          <w:rFonts w:ascii="Arial" w:hAnsi="Arial" w:cs="Arial"/>
          <w:color w:val="000000"/>
          <w:sz w:val="24"/>
          <w:szCs w:val="24"/>
        </w:rPr>
        <w:t>achizi</w:t>
      </w:r>
      <w:r w:rsidR="00396230" w:rsidRPr="00DC2FB5">
        <w:rPr>
          <w:rFonts w:ascii="Arial" w:hAnsi="Arial" w:cs="Arial"/>
          <w:color w:val="000000"/>
          <w:sz w:val="24"/>
          <w:szCs w:val="24"/>
        </w:rPr>
        <w:t>ţ</w:t>
      </w:r>
      <w:r w:rsidR="00427278" w:rsidRPr="00DC2FB5">
        <w:rPr>
          <w:rFonts w:ascii="Arial" w:hAnsi="Arial" w:cs="Arial"/>
          <w:color w:val="000000"/>
          <w:sz w:val="24"/>
          <w:szCs w:val="24"/>
        </w:rPr>
        <w:t>ii.</w:t>
      </w:r>
    </w:p>
    <w:p w:rsidR="00C00F4E" w:rsidRPr="00DC2FB5" w:rsidRDefault="00DC2FB5" w:rsidP="00DC2FB5">
      <w:pPr>
        <w:autoSpaceDE w:val="0"/>
        <w:autoSpaceDN w:val="0"/>
        <w:adjustRightInd w:val="0"/>
        <w:spacing w:after="0"/>
        <w:jc w:val="both"/>
        <w:rPr>
          <w:rFonts w:ascii="Arial" w:hAnsi="Arial" w:cs="Arial"/>
          <w:color w:val="000000"/>
          <w:sz w:val="24"/>
          <w:szCs w:val="24"/>
        </w:rPr>
      </w:pPr>
      <w:r w:rsidRPr="00DC2FB5">
        <w:rPr>
          <w:rFonts w:ascii="Arial" w:hAnsi="Arial" w:cs="Arial"/>
          <w:color w:val="000000"/>
          <w:sz w:val="24"/>
          <w:szCs w:val="24"/>
        </w:rPr>
        <w:tab/>
      </w:r>
      <w:r w:rsidR="00427278" w:rsidRPr="00DC2FB5">
        <w:rPr>
          <w:rFonts w:ascii="Arial" w:hAnsi="Arial" w:cs="Arial"/>
          <w:color w:val="000000"/>
          <w:sz w:val="24"/>
          <w:szCs w:val="24"/>
        </w:rPr>
        <w:t>Banca Mondială es</w:t>
      </w:r>
      <w:r w:rsidR="00396230" w:rsidRPr="00DC2FB5">
        <w:rPr>
          <w:rFonts w:ascii="Arial" w:hAnsi="Arial" w:cs="Arial"/>
          <w:color w:val="000000"/>
          <w:sz w:val="24"/>
          <w:szCs w:val="24"/>
        </w:rPr>
        <w:t xml:space="preserve">timează că </w:t>
      </w:r>
      <w:r w:rsidR="00427278" w:rsidRPr="00DC2FB5">
        <w:rPr>
          <w:rFonts w:ascii="Arial" w:hAnsi="Arial" w:cs="Arial"/>
          <w:color w:val="000000"/>
          <w:sz w:val="24"/>
          <w:szCs w:val="24"/>
        </w:rPr>
        <w:t>tendin</w:t>
      </w:r>
      <w:r w:rsidR="006A407B" w:rsidRPr="00DC2FB5">
        <w:rPr>
          <w:rFonts w:ascii="Arial" w:hAnsi="Arial" w:cs="Arial"/>
          <w:color w:val="000000"/>
          <w:sz w:val="24"/>
          <w:szCs w:val="24"/>
        </w:rPr>
        <w:t>ţ</w:t>
      </w:r>
      <w:r w:rsidR="00DD61D5" w:rsidRPr="00DC2FB5">
        <w:rPr>
          <w:rFonts w:ascii="Arial" w:hAnsi="Arial" w:cs="Arial"/>
          <w:color w:val="000000"/>
          <w:sz w:val="24"/>
          <w:szCs w:val="24"/>
        </w:rPr>
        <w:t>a</w:t>
      </w:r>
      <w:r w:rsidR="00427278" w:rsidRPr="00DC2FB5">
        <w:rPr>
          <w:rFonts w:ascii="Arial" w:hAnsi="Arial" w:cs="Arial"/>
          <w:color w:val="000000"/>
          <w:sz w:val="24"/>
          <w:szCs w:val="24"/>
        </w:rPr>
        <w:t xml:space="preserve"> de scădere a pre</w:t>
      </w:r>
      <w:r w:rsidR="006A407B" w:rsidRPr="00DC2FB5">
        <w:rPr>
          <w:rFonts w:ascii="Arial" w:hAnsi="Arial" w:cs="Arial"/>
          <w:color w:val="000000"/>
          <w:sz w:val="24"/>
          <w:szCs w:val="24"/>
        </w:rPr>
        <w:t>ţ</w:t>
      </w:r>
      <w:r w:rsidR="00396230" w:rsidRPr="00DC2FB5">
        <w:rPr>
          <w:rFonts w:ascii="Arial" w:hAnsi="Arial" w:cs="Arial"/>
          <w:color w:val="000000"/>
          <w:sz w:val="24"/>
          <w:szCs w:val="24"/>
        </w:rPr>
        <w:t xml:space="preserve">urilor va continua </w:t>
      </w:r>
      <w:r w:rsidR="00427278" w:rsidRPr="00DC2FB5">
        <w:rPr>
          <w:rFonts w:ascii="Arial" w:hAnsi="Arial" w:cs="Arial"/>
          <w:color w:val="000000"/>
          <w:sz w:val="24"/>
          <w:szCs w:val="24"/>
        </w:rPr>
        <w:t xml:space="preserve">în 2016, </w:t>
      </w:r>
      <w:r w:rsidR="006A407B" w:rsidRPr="00DC2FB5">
        <w:rPr>
          <w:rFonts w:ascii="Arial" w:hAnsi="Arial" w:cs="Arial"/>
          <w:color w:val="000000"/>
          <w:sz w:val="24"/>
          <w:szCs w:val="24"/>
        </w:rPr>
        <w:t>ş</w:t>
      </w:r>
      <w:r w:rsidR="00427278" w:rsidRPr="00DC2FB5">
        <w:rPr>
          <w:rFonts w:ascii="Arial" w:hAnsi="Arial" w:cs="Arial"/>
          <w:color w:val="000000"/>
          <w:sz w:val="24"/>
          <w:szCs w:val="24"/>
        </w:rPr>
        <w:t>i, de</w:t>
      </w:r>
      <w:r w:rsidR="006A407B" w:rsidRPr="00DC2FB5">
        <w:rPr>
          <w:rFonts w:ascii="Arial" w:hAnsi="Arial" w:cs="Arial"/>
          <w:color w:val="000000"/>
          <w:sz w:val="24"/>
          <w:szCs w:val="24"/>
        </w:rPr>
        <w:t>ş</w:t>
      </w:r>
      <w:r w:rsidR="00396230" w:rsidRPr="00DC2FB5">
        <w:rPr>
          <w:rFonts w:ascii="Arial" w:hAnsi="Arial" w:cs="Arial"/>
          <w:color w:val="000000"/>
          <w:sz w:val="24"/>
          <w:szCs w:val="24"/>
        </w:rPr>
        <w:t xml:space="preserve">i </w:t>
      </w:r>
      <w:r w:rsidR="005A3124" w:rsidRPr="00DC2FB5">
        <w:rPr>
          <w:rFonts w:ascii="Arial" w:hAnsi="Arial" w:cs="Arial"/>
          <w:color w:val="000000"/>
          <w:sz w:val="24"/>
          <w:szCs w:val="24"/>
        </w:rPr>
        <w:t xml:space="preserve">se prognozează </w:t>
      </w:r>
      <w:r w:rsidR="00396230" w:rsidRPr="00DC2FB5">
        <w:rPr>
          <w:rFonts w:ascii="Arial" w:hAnsi="Arial" w:cs="Arial"/>
          <w:color w:val="000000"/>
          <w:sz w:val="24"/>
          <w:szCs w:val="24"/>
        </w:rPr>
        <w:t>un anumit grad de recuperare încep</w:t>
      </w:r>
      <w:r w:rsidR="00DD61D5" w:rsidRPr="00DC2FB5">
        <w:rPr>
          <w:rFonts w:ascii="Arial" w:hAnsi="Arial" w:cs="Arial"/>
          <w:color w:val="000000"/>
          <w:sz w:val="24"/>
          <w:szCs w:val="24"/>
        </w:rPr>
        <w:t xml:space="preserve">ând cu </w:t>
      </w:r>
      <w:r w:rsidR="00396230" w:rsidRPr="00DC2FB5">
        <w:rPr>
          <w:rFonts w:ascii="Arial" w:hAnsi="Arial" w:cs="Arial"/>
          <w:color w:val="000000"/>
          <w:sz w:val="24"/>
          <w:szCs w:val="24"/>
        </w:rPr>
        <w:t xml:space="preserve">2017, </w:t>
      </w:r>
      <w:r w:rsidR="00427278" w:rsidRPr="00DC2FB5">
        <w:rPr>
          <w:rFonts w:ascii="Arial" w:hAnsi="Arial" w:cs="Arial"/>
          <w:color w:val="000000"/>
          <w:sz w:val="24"/>
          <w:szCs w:val="24"/>
        </w:rPr>
        <w:t>pe termen mediu nu este de a</w:t>
      </w:r>
      <w:r w:rsidR="006A407B" w:rsidRPr="00DC2FB5">
        <w:rPr>
          <w:rFonts w:ascii="Arial" w:hAnsi="Arial" w:cs="Arial"/>
          <w:color w:val="000000"/>
          <w:sz w:val="24"/>
          <w:szCs w:val="24"/>
        </w:rPr>
        <w:t>ş</w:t>
      </w:r>
      <w:r w:rsidR="00427278" w:rsidRPr="00DC2FB5">
        <w:rPr>
          <w:rFonts w:ascii="Arial" w:hAnsi="Arial" w:cs="Arial"/>
          <w:color w:val="000000"/>
          <w:sz w:val="24"/>
          <w:szCs w:val="24"/>
        </w:rPr>
        <w:t>teptat ca pre</w:t>
      </w:r>
      <w:r w:rsidR="006A407B" w:rsidRPr="00DC2FB5">
        <w:rPr>
          <w:rFonts w:ascii="Arial" w:hAnsi="Arial" w:cs="Arial"/>
          <w:color w:val="000000"/>
          <w:sz w:val="24"/>
          <w:szCs w:val="24"/>
        </w:rPr>
        <w:t>ţ</w:t>
      </w:r>
      <w:r w:rsidR="00DC19AF" w:rsidRPr="00DC2FB5">
        <w:rPr>
          <w:rFonts w:ascii="Arial" w:hAnsi="Arial" w:cs="Arial"/>
          <w:color w:val="000000"/>
          <w:sz w:val="24"/>
          <w:szCs w:val="24"/>
        </w:rPr>
        <w:t xml:space="preserve">urile </w:t>
      </w:r>
      <w:r w:rsidR="00716164" w:rsidRPr="00DC2FB5">
        <w:rPr>
          <w:rFonts w:ascii="Arial" w:hAnsi="Arial" w:cs="Arial"/>
          <w:color w:val="000000"/>
          <w:sz w:val="24"/>
          <w:szCs w:val="24"/>
        </w:rPr>
        <w:t xml:space="preserve">să ajungă </w:t>
      </w:r>
      <w:r w:rsidR="00427278" w:rsidRPr="00DC2FB5">
        <w:rPr>
          <w:rFonts w:ascii="Arial" w:hAnsi="Arial" w:cs="Arial"/>
          <w:color w:val="000000"/>
          <w:sz w:val="24"/>
          <w:szCs w:val="24"/>
        </w:rPr>
        <w:t>la niv</w:t>
      </w:r>
      <w:r w:rsidR="00396230" w:rsidRPr="00DC2FB5">
        <w:rPr>
          <w:rFonts w:ascii="Arial" w:hAnsi="Arial" w:cs="Arial"/>
          <w:color w:val="000000"/>
          <w:sz w:val="24"/>
          <w:szCs w:val="24"/>
        </w:rPr>
        <w:t xml:space="preserve">elurile </w:t>
      </w:r>
      <w:r w:rsidR="005A3124" w:rsidRPr="00DC2FB5">
        <w:rPr>
          <w:rFonts w:ascii="Arial" w:hAnsi="Arial" w:cs="Arial"/>
          <w:color w:val="000000"/>
          <w:sz w:val="24"/>
          <w:szCs w:val="24"/>
        </w:rPr>
        <w:t xml:space="preserve">celor </w:t>
      </w:r>
      <w:r w:rsidR="00396230" w:rsidRPr="00DC2FB5">
        <w:rPr>
          <w:rFonts w:ascii="Arial" w:hAnsi="Arial" w:cs="Arial"/>
          <w:color w:val="000000"/>
          <w:sz w:val="24"/>
          <w:szCs w:val="24"/>
        </w:rPr>
        <w:t xml:space="preserve">înregistrate în </w:t>
      </w:r>
      <w:r w:rsidR="004145E3">
        <w:rPr>
          <w:rFonts w:ascii="Arial" w:hAnsi="Arial" w:cs="Arial"/>
          <w:color w:val="000000"/>
          <w:sz w:val="24"/>
          <w:szCs w:val="24"/>
        </w:rPr>
        <w:t xml:space="preserve">anii </w:t>
      </w:r>
      <w:r w:rsidR="00396230" w:rsidRPr="00DC2FB5">
        <w:rPr>
          <w:rFonts w:ascii="Arial" w:hAnsi="Arial" w:cs="Arial"/>
          <w:color w:val="000000"/>
          <w:sz w:val="24"/>
          <w:szCs w:val="24"/>
        </w:rPr>
        <w:t xml:space="preserve">2010 </w:t>
      </w:r>
      <w:r w:rsidR="006A407B" w:rsidRPr="00DC2FB5">
        <w:rPr>
          <w:rFonts w:ascii="Arial" w:hAnsi="Arial" w:cs="Arial"/>
          <w:color w:val="000000"/>
          <w:sz w:val="24"/>
          <w:szCs w:val="24"/>
        </w:rPr>
        <w:t>ş</w:t>
      </w:r>
      <w:r w:rsidR="00427278" w:rsidRPr="00DC2FB5">
        <w:rPr>
          <w:rFonts w:ascii="Arial" w:hAnsi="Arial" w:cs="Arial"/>
          <w:color w:val="000000"/>
          <w:sz w:val="24"/>
          <w:szCs w:val="24"/>
        </w:rPr>
        <w:t>i 2011.</w:t>
      </w:r>
    </w:p>
    <w:p w:rsidR="00F964E9" w:rsidRPr="00DC2FB5" w:rsidRDefault="00DC2FB5" w:rsidP="00DC2FB5">
      <w:pPr>
        <w:autoSpaceDE w:val="0"/>
        <w:autoSpaceDN w:val="0"/>
        <w:adjustRightInd w:val="0"/>
        <w:spacing w:after="0"/>
        <w:jc w:val="both"/>
        <w:rPr>
          <w:rFonts w:ascii="Arial" w:hAnsi="Arial" w:cs="Arial"/>
          <w:color w:val="000000"/>
          <w:sz w:val="24"/>
          <w:szCs w:val="24"/>
          <w:lang w:val="ro-RO"/>
        </w:rPr>
      </w:pPr>
      <w:r w:rsidRPr="00DC2FB5">
        <w:rPr>
          <w:rFonts w:ascii="Arial" w:hAnsi="Arial" w:cs="Arial"/>
          <w:sz w:val="24"/>
          <w:szCs w:val="24"/>
        </w:rPr>
        <w:lastRenderedPageBreak/>
        <w:tab/>
      </w:r>
      <w:r w:rsidR="00427278" w:rsidRPr="00DC2FB5">
        <w:rPr>
          <w:rFonts w:ascii="Arial" w:hAnsi="Arial" w:cs="Arial"/>
          <w:sz w:val="24"/>
          <w:szCs w:val="24"/>
          <w:lang w:val="ro-RO"/>
        </w:rPr>
        <w:t>Î</w:t>
      </w:r>
      <w:r w:rsidR="00427278" w:rsidRPr="00DC2FB5">
        <w:rPr>
          <w:rFonts w:ascii="Arial" w:hAnsi="Arial" w:cs="Arial"/>
          <w:color w:val="000000"/>
          <w:sz w:val="24"/>
          <w:szCs w:val="24"/>
          <w:lang w:val="ro-RO"/>
        </w:rPr>
        <w:t>n ult</w:t>
      </w:r>
      <w:r w:rsidR="00716164" w:rsidRPr="00DC2FB5">
        <w:rPr>
          <w:rFonts w:ascii="Arial" w:hAnsi="Arial" w:cs="Arial"/>
          <w:color w:val="000000"/>
          <w:sz w:val="24"/>
          <w:szCs w:val="24"/>
          <w:lang w:val="ro-RO"/>
        </w:rPr>
        <w:t xml:space="preserve">imii patru ani, economia Chinei </w:t>
      </w:r>
      <w:r w:rsidR="00DC19AF" w:rsidRPr="00DC2FB5">
        <w:rPr>
          <w:rFonts w:ascii="Arial" w:hAnsi="Arial" w:cs="Arial"/>
          <w:color w:val="000000"/>
          <w:sz w:val="24"/>
          <w:szCs w:val="24"/>
          <w:lang w:val="ro-RO"/>
        </w:rPr>
        <w:t>şi-</w:t>
      </w:r>
      <w:r w:rsidR="00427278" w:rsidRPr="00DC2FB5">
        <w:rPr>
          <w:rFonts w:ascii="Arial" w:hAnsi="Arial" w:cs="Arial"/>
          <w:color w:val="000000"/>
          <w:sz w:val="24"/>
          <w:szCs w:val="24"/>
          <w:lang w:val="ro-RO"/>
        </w:rPr>
        <w:t>a redus rata de cre</w:t>
      </w:r>
      <w:r w:rsidR="006A407B" w:rsidRPr="00DC2FB5">
        <w:rPr>
          <w:rFonts w:ascii="Arial" w:hAnsi="Arial" w:cs="Arial"/>
          <w:color w:val="000000"/>
          <w:sz w:val="24"/>
          <w:szCs w:val="24"/>
          <w:lang w:val="ro-RO"/>
        </w:rPr>
        <w:t>ş</w:t>
      </w:r>
      <w:r w:rsidR="00427278" w:rsidRPr="00DC2FB5">
        <w:rPr>
          <w:rFonts w:ascii="Arial" w:hAnsi="Arial" w:cs="Arial"/>
          <w:color w:val="000000"/>
          <w:sz w:val="24"/>
          <w:szCs w:val="24"/>
          <w:lang w:val="ro-RO"/>
        </w:rPr>
        <w:t xml:space="preserve">tere anuală </w:t>
      </w:r>
      <w:r w:rsidR="00716164" w:rsidRPr="00DC2FB5">
        <w:rPr>
          <w:rFonts w:ascii="Arial" w:hAnsi="Arial" w:cs="Arial"/>
          <w:color w:val="000000"/>
          <w:sz w:val="24"/>
          <w:szCs w:val="24"/>
          <w:lang w:val="ro-RO"/>
        </w:rPr>
        <w:t xml:space="preserve">la o medie </w:t>
      </w:r>
      <w:r w:rsidR="00427278" w:rsidRPr="00DC2FB5">
        <w:rPr>
          <w:rFonts w:ascii="Arial" w:hAnsi="Arial" w:cs="Arial"/>
          <w:color w:val="000000"/>
          <w:sz w:val="24"/>
          <w:szCs w:val="24"/>
          <w:lang w:val="ro-RO"/>
        </w:rPr>
        <w:t>de 7,</w:t>
      </w:r>
      <w:r w:rsidR="00716164" w:rsidRPr="00DC2FB5">
        <w:rPr>
          <w:rFonts w:ascii="Arial" w:hAnsi="Arial" w:cs="Arial"/>
          <w:color w:val="000000"/>
          <w:sz w:val="24"/>
          <w:szCs w:val="24"/>
          <w:lang w:val="ro-RO"/>
        </w:rPr>
        <w:t xml:space="preserve"> </w:t>
      </w:r>
      <w:r w:rsidR="00427278" w:rsidRPr="00DC2FB5">
        <w:rPr>
          <w:rFonts w:ascii="Arial" w:hAnsi="Arial" w:cs="Arial"/>
          <w:color w:val="000000"/>
          <w:sz w:val="24"/>
          <w:szCs w:val="24"/>
          <w:lang w:val="ro-RO"/>
        </w:rPr>
        <w:t xml:space="preserve">4%, </w:t>
      </w:r>
      <w:r w:rsidR="006A407B" w:rsidRPr="00DC2FB5">
        <w:rPr>
          <w:rFonts w:ascii="Arial" w:hAnsi="Arial" w:cs="Arial"/>
          <w:color w:val="000000"/>
          <w:sz w:val="24"/>
          <w:szCs w:val="24"/>
          <w:lang w:val="ro-RO"/>
        </w:rPr>
        <w:t>ş</w:t>
      </w:r>
      <w:r w:rsidR="00427278" w:rsidRPr="00DC2FB5">
        <w:rPr>
          <w:rFonts w:ascii="Arial" w:hAnsi="Arial" w:cs="Arial"/>
          <w:color w:val="000000"/>
          <w:sz w:val="24"/>
          <w:szCs w:val="24"/>
          <w:lang w:val="ro-RO"/>
        </w:rPr>
        <w:t xml:space="preserve">i în conformitate cu </w:t>
      </w:r>
      <w:r w:rsidR="00716164" w:rsidRPr="00DC2FB5">
        <w:rPr>
          <w:rFonts w:ascii="Arial" w:hAnsi="Arial" w:cs="Arial"/>
          <w:color w:val="000000"/>
          <w:sz w:val="24"/>
          <w:szCs w:val="24"/>
          <w:lang w:val="ro-RO"/>
        </w:rPr>
        <w:t xml:space="preserve">Fondul Monetar </w:t>
      </w:r>
      <w:r w:rsidR="00427278" w:rsidRPr="00DC2FB5">
        <w:rPr>
          <w:rFonts w:ascii="Arial" w:hAnsi="Arial" w:cs="Arial"/>
          <w:color w:val="000000"/>
          <w:sz w:val="24"/>
          <w:szCs w:val="24"/>
          <w:lang w:val="ro-RO"/>
        </w:rPr>
        <w:t>Interna</w:t>
      </w:r>
      <w:r w:rsidR="00716164" w:rsidRPr="00DC2FB5">
        <w:rPr>
          <w:rFonts w:ascii="Arial" w:hAnsi="Arial" w:cs="Arial"/>
          <w:color w:val="000000"/>
          <w:sz w:val="24"/>
          <w:szCs w:val="24"/>
          <w:lang w:val="ro-RO"/>
        </w:rPr>
        <w:t xml:space="preserve">ţional </w:t>
      </w:r>
      <w:r w:rsidR="00427278" w:rsidRPr="00DC2FB5">
        <w:rPr>
          <w:rFonts w:ascii="Arial" w:hAnsi="Arial" w:cs="Arial"/>
          <w:color w:val="000000"/>
          <w:sz w:val="24"/>
          <w:szCs w:val="24"/>
          <w:lang w:val="ro-RO"/>
        </w:rPr>
        <w:t xml:space="preserve">(FMI), această </w:t>
      </w:r>
      <w:r w:rsidR="006A407B" w:rsidRPr="00DC2FB5">
        <w:rPr>
          <w:rFonts w:ascii="Arial" w:hAnsi="Arial" w:cs="Arial"/>
          <w:color w:val="000000"/>
          <w:sz w:val="24"/>
          <w:szCs w:val="24"/>
          <w:lang w:val="ro-RO"/>
        </w:rPr>
        <w:t>ţ</w:t>
      </w:r>
      <w:r w:rsidR="00716164" w:rsidRPr="00DC2FB5">
        <w:rPr>
          <w:rFonts w:ascii="Arial" w:hAnsi="Arial" w:cs="Arial"/>
          <w:color w:val="000000"/>
          <w:sz w:val="24"/>
          <w:szCs w:val="24"/>
          <w:lang w:val="ro-RO"/>
        </w:rPr>
        <w:t xml:space="preserve">ară </w:t>
      </w:r>
      <w:r w:rsidR="00427278" w:rsidRPr="00DC2FB5">
        <w:rPr>
          <w:rFonts w:ascii="Arial" w:hAnsi="Arial" w:cs="Arial"/>
          <w:color w:val="000000"/>
          <w:sz w:val="24"/>
          <w:szCs w:val="24"/>
          <w:lang w:val="ro-RO"/>
        </w:rPr>
        <w:t>va cre</w:t>
      </w:r>
      <w:r w:rsidR="006A407B" w:rsidRPr="00DC2FB5">
        <w:rPr>
          <w:rFonts w:ascii="Arial" w:hAnsi="Arial" w:cs="Arial"/>
          <w:color w:val="000000"/>
          <w:sz w:val="24"/>
          <w:szCs w:val="24"/>
          <w:lang w:val="ro-RO"/>
        </w:rPr>
        <w:t>ş</w:t>
      </w:r>
      <w:r w:rsidR="00427278" w:rsidRPr="00DC2FB5">
        <w:rPr>
          <w:rFonts w:ascii="Arial" w:hAnsi="Arial" w:cs="Arial"/>
          <w:color w:val="000000"/>
          <w:sz w:val="24"/>
          <w:szCs w:val="24"/>
          <w:lang w:val="ro-RO"/>
        </w:rPr>
        <w:t>te cu o rată medie anuală de</w:t>
      </w:r>
      <w:r w:rsidRPr="00DC2FB5">
        <w:rPr>
          <w:rFonts w:ascii="Arial" w:hAnsi="Arial" w:cs="Arial"/>
          <w:color w:val="000000"/>
          <w:sz w:val="24"/>
          <w:szCs w:val="24"/>
          <w:lang w:val="ro-RO"/>
        </w:rPr>
        <w:t xml:space="preserve"> </w:t>
      </w:r>
      <w:r w:rsidR="00427278" w:rsidRPr="00DC2FB5">
        <w:rPr>
          <w:rFonts w:ascii="Arial" w:hAnsi="Arial" w:cs="Arial"/>
          <w:color w:val="000000"/>
          <w:sz w:val="24"/>
          <w:szCs w:val="24"/>
        </w:rPr>
        <w:t>6,</w:t>
      </w:r>
      <w:r w:rsidR="00716164" w:rsidRPr="00DC2FB5">
        <w:rPr>
          <w:rFonts w:ascii="Arial" w:hAnsi="Arial" w:cs="Arial"/>
          <w:color w:val="000000"/>
          <w:sz w:val="24"/>
          <w:szCs w:val="24"/>
        </w:rPr>
        <w:t xml:space="preserve"> </w:t>
      </w:r>
      <w:r w:rsidR="00427278" w:rsidRPr="00DC2FB5">
        <w:rPr>
          <w:rFonts w:ascii="Arial" w:hAnsi="Arial" w:cs="Arial"/>
          <w:color w:val="000000"/>
          <w:sz w:val="24"/>
          <w:szCs w:val="24"/>
        </w:rPr>
        <w:t>2% în urmă</w:t>
      </w:r>
      <w:r w:rsidR="00716164" w:rsidRPr="00DC2FB5">
        <w:rPr>
          <w:rFonts w:ascii="Arial" w:hAnsi="Arial" w:cs="Arial"/>
          <w:color w:val="000000"/>
          <w:sz w:val="24"/>
          <w:szCs w:val="24"/>
        </w:rPr>
        <w:t xml:space="preserve">torii cinci ani; adică, mai jos decât </w:t>
      </w:r>
      <w:r w:rsidR="00427278" w:rsidRPr="00DC2FB5">
        <w:rPr>
          <w:rFonts w:ascii="Arial" w:hAnsi="Arial" w:cs="Arial"/>
          <w:color w:val="000000"/>
          <w:sz w:val="24"/>
          <w:szCs w:val="24"/>
        </w:rPr>
        <w:t>ratele care au influen</w:t>
      </w:r>
      <w:r w:rsidR="006A407B" w:rsidRPr="00DC2FB5">
        <w:rPr>
          <w:rFonts w:ascii="Arial" w:hAnsi="Arial" w:cs="Arial"/>
          <w:color w:val="000000"/>
          <w:sz w:val="24"/>
          <w:szCs w:val="24"/>
        </w:rPr>
        <w:t>ţ</w:t>
      </w:r>
      <w:r w:rsidR="00427278" w:rsidRPr="00DC2FB5">
        <w:rPr>
          <w:rFonts w:ascii="Arial" w:hAnsi="Arial" w:cs="Arial"/>
          <w:color w:val="000000"/>
          <w:sz w:val="24"/>
          <w:szCs w:val="24"/>
        </w:rPr>
        <w:t xml:space="preserve">at </w:t>
      </w:r>
      <w:r w:rsidR="00716164" w:rsidRPr="00DC2FB5">
        <w:rPr>
          <w:rFonts w:ascii="Arial" w:hAnsi="Arial" w:cs="Arial"/>
          <w:color w:val="000000"/>
          <w:sz w:val="24"/>
          <w:szCs w:val="24"/>
        </w:rPr>
        <w:t xml:space="preserve">reducerea </w:t>
      </w:r>
      <w:r w:rsidR="00427278" w:rsidRPr="00DC2FB5">
        <w:rPr>
          <w:rFonts w:ascii="Arial" w:hAnsi="Arial" w:cs="Arial"/>
          <w:color w:val="000000"/>
          <w:sz w:val="24"/>
          <w:szCs w:val="24"/>
        </w:rPr>
        <w:t>semnificativ</w:t>
      </w:r>
      <w:r w:rsidR="00716164" w:rsidRPr="00DC2FB5">
        <w:rPr>
          <w:rFonts w:ascii="Arial" w:hAnsi="Arial" w:cs="Arial"/>
          <w:color w:val="000000"/>
          <w:sz w:val="24"/>
          <w:szCs w:val="24"/>
        </w:rPr>
        <w:t xml:space="preserve">ă a cererii de materii prime. </w:t>
      </w:r>
    </w:p>
    <w:p w:rsidR="00C00F4E" w:rsidRPr="00DC2FB5" w:rsidRDefault="00DC2FB5" w:rsidP="00DC2FB5">
      <w:pPr>
        <w:autoSpaceDE w:val="0"/>
        <w:autoSpaceDN w:val="0"/>
        <w:adjustRightInd w:val="0"/>
        <w:spacing w:after="0"/>
        <w:jc w:val="both"/>
        <w:rPr>
          <w:rFonts w:ascii="Arial" w:hAnsi="Arial" w:cs="Arial"/>
          <w:i/>
          <w:iCs/>
          <w:sz w:val="24"/>
          <w:szCs w:val="24"/>
          <w:lang w:val="ro-RO"/>
        </w:rPr>
      </w:pPr>
      <w:r w:rsidRPr="00DC2FB5">
        <w:rPr>
          <w:rFonts w:ascii="Arial" w:hAnsi="Arial" w:cs="Arial"/>
          <w:color w:val="000000"/>
          <w:sz w:val="24"/>
          <w:szCs w:val="24"/>
          <w:lang w:val="ro-RO"/>
        </w:rPr>
        <w:tab/>
      </w:r>
      <w:r w:rsidR="00427278" w:rsidRPr="00DC2FB5">
        <w:rPr>
          <w:rFonts w:ascii="Arial" w:hAnsi="Arial" w:cs="Arial"/>
          <w:color w:val="000000"/>
          <w:sz w:val="24"/>
          <w:szCs w:val="24"/>
          <w:lang w:val="ro-RO"/>
        </w:rPr>
        <w:t>Acest lucru are implica</w:t>
      </w:r>
      <w:r w:rsidR="006A407B" w:rsidRPr="00DC2FB5">
        <w:rPr>
          <w:rFonts w:ascii="Arial" w:hAnsi="Arial" w:cs="Arial"/>
          <w:color w:val="000000"/>
          <w:sz w:val="24"/>
          <w:szCs w:val="24"/>
          <w:lang w:val="ro-RO"/>
        </w:rPr>
        <w:t>ţ</w:t>
      </w:r>
      <w:r w:rsidR="00427278" w:rsidRPr="00DC2FB5">
        <w:rPr>
          <w:rFonts w:ascii="Arial" w:hAnsi="Arial" w:cs="Arial"/>
          <w:color w:val="000000"/>
          <w:sz w:val="24"/>
          <w:szCs w:val="24"/>
          <w:lang w:val="ro-RO"/>
        </w:rPr>
        <w:t>ii importante pentru</w:t>
      </w:r>
      <w:r w:rsidR="00523362" w:rsidRPr="00DC2FB5">
        <w:rPr>
          <w:rFonts w:ascii="Arial" w:hAnsi="Arial" w:cs="Arial"/>
          <w:color w:val="000000"/>
          <w:sz w:val="24"/>
          <w:szCs w:val="24"/>
          <w:lang w:val="ro-RO"/>
        </w:rPr>
        <w:t xml:space="preserve"> </w:t>
      </w:r>
      <w:r w:rsidR="00427278" w:rsidRPr="00DC2FB5">
        <w:rPr>
          <w:rFonts w:ascii="Arial" w:hAnsi="Arial" w:cs="Arial"/>
          <w:color w:val="000000"/>
          <w:sz w:val="24"/>
          <w:szCs w:val="24"/>
          <w:lang w:val="ro-RO"/>
        </w:rPr>
        <w:t>pia</w:t>
      </w:r>
      <w:r w:rsidR="006A407B" w:rsidRPr="00DC2FB5">
        <w:rPr>
          <w:rFonts w:ascii="Arial" w:hAnsi="Arial" w:cs="Arial"/>
          <w:color w:val="000000"/>
          <w:sz w:val="24"/>
          <w:szCs w:val="24"/>
          <w:lang w:val="ro-RO"/>
        </w:rPr>
        <w:t>ţ</w:t>
      </w:r>
      <w:r w:rsidR="00427278" w:rsidRPr="00DC2FB5">
        <w:rPr>
          <w:rFonts w:ascii="Arial" w:hAnsi="Arial" w:cs="Arial"/>
          <w:color w:val="000000"/>
          <w:sz w:val="24"/>
          <w:szCs w:val="24"/>
          <w:lang w:val="ro-RO"/>
        </w:rPr>
        <w:t>a minerale</w:t>
      </w:r>
      <w:r w:rsidR="00523362" w:rsidRPr="00DC2FB5">
        <w:rPr>
          <w:rFonts w:ascii="Arial" w:hAnsi="Arial" w:cs="Arial"/>
          <w:color w:val="000000"/>
          <w:sz w:val="24"/>
          <w:szCs w:val="24"/>
          <w:lang w:val="ro-RO"/>
        </w:rPr>
        <w:t>lor</w:t>
      </w:r>
      <w:r w:rsidR="00427278" w:rsidRPr="00DC2FB5">
        <w:rPr>
          <w:rFonts w:ascii="Arial" w:hAnsi="Arial" w:cs="Arial"/>
          <w:color w:val="000000"/>
          <w:sz w:val="24"/>
          <w:szCs w:val="24"/>
          <w:lang w:val="ro-RO"/>
        </w:rPr>
        <w:t xml:space="preserve">: </w:t>
      </w:r>
      <w:r w:rsidR="00113940">
        <w:rPr>
          <w:rFonts w:ascii="Arial" w:hAnsi="Arial" w:cs="Arial"/>
          <w:color w:val="000000"/>
          <w:sz w:val="24"/>
          <w:szCs w:val="24"/>
          <w:lang w:val="ro-RO"/>
        </w:rPr>
        <w:t>S</w:t>
      </w:r>
      <w:r w:rsidR="00716164" w:rsidRPr="00DC2FB5">
        <w:rPr>
          <w:rFonts w:ascii="Arial" w:hAnsi="Arial" w:cs="Arial"/>
          <w:color w:val="000000"/>
          <w:sz w:val="24"/>
          <w:szCs w:val="24"/>
          <w:lang w:val="ro-RO"/>
        </w:rPr>
        <w:t xml:space="preserve">e deschid </w:t>
      </w:r>
      <w:r w:rsidR="00427278" w:rsidRPr="00DC2FB5">
        <w:rPr>
          <w:rFonts w:ascii="Arial" w:hAnsi="Arial" w:cs="Arial"/>
          <w:color w:val="000000"/>
          <w:sz w:val="24"/>
          <w:szCs w:val="24"/>
          <w:lang w:val="ro-RO"/>
        </w:rPr>
        <w:t xml:space="preserve">noi provocări </w:t>
      </w:r>
      <w:r w:rsidR="006A407B" w:rsidRPr="00DC2FB5">
        <w:rPr>
          <w:rFonts w:ascii="Arial" w:hAnsi="Arial" w:cs="Arial"/>
          <w:color w:val="000000"/>
          <w:sz w:val="24"/>
          <w:szCs w:val="24"/>
          <w:lang w:val="ro-RO"/>
        </w:rPr>
        <w:t>ş</w:t>
      </w:r>
      <w:r w:rsidR="00716164" w:rsidRPr="00DC2FB5">
        <w:rPr>
          <w:rFonts w:ascii="Arial" w:hAnsi="Arial" w:cs="Arial"/>
          <w:color w:val="000000"/>
          <w:sz w:val="24"/>
          <w:szCs w:val="24"/>
          <w:lang w:val="ro-RO"/>
        </w:rPr>
        <w:t xml:space="preserve">i </w:t>
      </w:r>
      <w:r w:rsidR="00427278" w:rsidRPr="00DC2FB5">
        <w:rPr>
          <w:rFonts w:ascii="Arial" w:hAnsi="Arial" w:cs="Arial"/>
          <w:color w:val="000000"/>
          <w:sz w:val="24"/>
          <w:szCs w:val="24"/>
          <w:lang w:val="ro-RO"/>
        </w:rPr>
        <w:t>oportunită</w:t>
      </w:r>
      <w:r w:rsidR="006A407B" w:rsidRPr="00DC2FB5">
        <w:rPr>
          <w:rFonts w:ascii="Arial" w:hAnsi="Arial" w:cs="Arial"/>
          <w:color w:val="000000"/>
          <w:sz w:val="24"/>
          <w:szCs w:val="24"/>
          <w:lang w:val="ro-RO"/>
        </w:rPr>
        <w:t>ţ</w:t>
      </w:r>
      <w:r w:rsidR="00427278" w:rsidRPr="00DC2FB5">
        <w:rPr>
          <w:rFonts w:ascii="Arial" w:hAnsi="Arial" w:cs="Arial"/>
          <w:color w:val="000000"/>
          <w:sz w:val="24"/>
          <w:szCs w:val="24"/>
          <w:lang w:val="ro-RO"/>
        </w:rPr>
        <w:t xml:space="preserve">i </w:t>
      </w:r>
      <w:r w:rsidR="00716164" w:rsidRPr="00DC2FB5">
        <w:rPr>
          <w:rFonts w:ascii="Arial" w:hAnsi="Arial" w:cs="Arial"/>
          <w:color w:val="000000"/>
          <w:sz w:val="24"/>
          <w:szCs w:val="24"/>
          <w:lang w:val="ro-RO"/>
        </w:rPr>
        <w:t xml:space="preserve">de </w:t>
      </w:r>
      <w:r w:rsidR="00427278" w:rsidRPr="00DC2FB5">
        <w:rPr>
          <w:rFonts w:ascii="Arial" w:hAnsi="Arial" w:cs="Arial"/>
          <w:color w:val="000000"/>
          <w:sz w:val="24"/>
          <w:szCs w:val="24"/>
          <w:lang w:val="ro-RO"/>
        </w:rPr>
        <w:t>stimula</w:t>
      </w:r>
      <w:r w:rsidR="00716164" w:rsidRPr="00DC2FB5">
        <w:rPr>
          <w:rFonts w:ascii="Arial" w:hAnsi="Arial" w:cs="Arial"/>
          <w:color w:val="000000"/>
          <w:sz w:val="24"/>
          <w:szCs w:val="24"/>
          <w:lang w:val="ro-RO"/>
        </w:rPr>
        <w:t xml:space="preserve">re a </w:t>
      </w:r>
      <w:r w:rsidR="00427278" w:rsidRPr="00DC2FB5">
        <w:rPr>
          <w:rFonts w:ascii="Arial" w:hAnsi="Arial" w:cs="Arial"/>
          <w:color w:val="000000"/>
          <w:sz w:val="24"/>
          <w:szCs w:val="24"/>
          <w:lang w:val="ro-RO"/>
        </w:rPr>
        <w:t>sectorul</w:t>
      </w:r>
      <w:r w:rsidR="00716164" w:rsidRPr="00DC2FB5">
        <w:rPr>
          <w:rFonts w:ascii="Arial" w:hAnsi="Arial" w:cs="Arial"/>
          <w:color w:val="000000"/>
          <w:sz w:val="24"/>
          <w:szCs w:val="24"/>
          <w:lang w:val="ro-RO"/>
        </w:rPr>
        <w:t>ui</w:t>
      </w:r>
      <w:r w:rsidR="00427278" w:rsidRPr="00DC2FB5">
        <w:rPr>
          <w:rFonts w:ascii="Arial" w:hAnsi="Arial" w:cs="Arial"/>
          <w:color w:val="000000"/>
          <w:sz w:val="24"/>
          <w:szCs w:val="24"/>
          <w:lang w:val="ro-RO"/>
        </w:rPr>
        <w:t xml:space="preserve">, </w:t>
      </w:r>
      <w:r w:rsidR="00716164" w:rsidRPr="00DC2FB5">
        <w:rPr>
          <w:rFonts w:ascii="Arial" w:hAnsi="Arial" w:cs="Arial"/>
          <w:color w:val="000000"/>
          <w:sz w:val="24"/>
          <w:szCs w:val="24"/>
          <w:lang w:val="ro-RO"/>
        </w:rPr>
        <w:t>i</w:t>
      </w:r>
      <w:r w:rsidR="008A3343">
        <w:rPr>
          <w:rFonts w:ascii="Arial" w:hAnsi="Arial" w:cs="Arial"/>
          <w:color w:val="000000"/>
          <w:sz w:val="24"/>
          <w:szCs w:val="24"/>
          <w:lang w:val="ro-RO"/>
        </w:rPr>
        <w:t>ar</w:t>
      </w:r>
      <w:r w:rsidR="00716164" w:rsidRPr="00DC2FB5">
        <w:rPr>
          <w:rFonts w:ascii="Arial" w:hAnsi="Arial" w:cs="Arial"/>
          <w:color w:val="000000"/>
          <w:sz w:val="24"/>
          <w:szCs w:val="24"/>
          <w:lang w:val="ro-RO"/>
        </w:rPr>
        <w:t xml:space="preserve"> ei vor </w:t>
      </w:r>
      <w:r w:rsidR="00427278" w:rsidRPr="00DC2FB5">
        <w:rPr>
          <w:rFonts w:ascii="Arial" w:hAnsi="Arial" w:cs="Arial"/>
          <w:color w:val="000000"/>
          <w:sz w:val="24"/>
          <w:szCs w:val="24"/>
          <w:lang w:val="ro-RO"/>
        </w:rPr>
        <w:t>trebuie să-</w:t>
      </w:r>
      <w:r w:rsidR="006A407B" w:rsidRPr="00DC2FB5">
        <w:rPr>
          <w:rFonts w:ascii="Arial" w:hAnsi="Arial" w:cs="Arial"/>
          <w:color w:val="000000"/>
          <w:sz w:val="24"/>
          <w:szCs w:val="24"/>
          <w:lang w:val="ro-RO"/>
        </w:rPr>
        <w:t>ş</w:t>
      </w:r>
      <w:r w:rsidR="00427278" w:rsidRPr="00DC2FB5">
        <w:rPr>
          <w:rFonts w:ascii="Arial" w:hAnsi="Arial" w:cs="Arial"/>
          <w:color w:val="000000"/>
          <w:sz w:val="24"/>
          <w:szCs w:val="24"/>
          <w:lang w:val="ro-RO"/>
        </w:rPr>
        <w:t xml:space="preserve">i reconsidere structurile comerciale </w:t>
      </w:r>
      <w:r w:rsidR="006A407B" w:rsidRPr="00DC2FB5">
        <w:rPr>
          <w:rFonts w:ascii="Arial" w:hAnsi="Arial" w:cs="Arial"/>
          <w:color w:val="000000"/>
          <w:sz w:val="24"/>
          <w:szCs w:val="24"/>
          <w:lang w:val="ro-RO"/>
        </w:rPr>
        <w:t>ş</w:t>
      </w:r>
      <w:r w:rsidR="00716164" w:rsidRPr="00DC2FB5">
        <w:rPr>
          <w:rFonts w:ascii="Arial" w:hAnsi="Arial" w:cs="Arial"/>
          <w:color w:val="000000"/>
          <w:sz w:val="24"/>
          <w:szCs w:val="24"/>
          <w:lang w:val="ro-RO"/>
        </w:rPr>
        <w:t xml:space="preserve">i </w:t>
      </w:r>
      <w:r w:rsidR="00427278" w:rsidRPr="00DC2FB5">
        <w:rPr>
          <w:rFonts w:ascii="Arial" w:hAnsi="Arial" w:cs="Arial"/>
          <w:color w:val="000000"/>
          <w:sz w:val="24"/>
          <w:szCs w:val="24"/>
          <w:lang w:val="ro-RO"/>
        </w:rPr>
        <w:t>consum</w:t>
      </w:r>
      <w:r w:rsidR="00716164" w:rsidRPr="00DC2FB5">
        <w:rPr>
          <w:rFonts w:ascii="Arial" w:hAnsi="Arial" w:cs="Arial"/>
          <w:color w:val="000000"/>
          <w:sz w:val="24"/>
          <w:szCs w:val="24"/>
          <w:lang w:val="ro-RO"/>
        </w:rPr>
        <w:t>ul</w:t>
      </w:r>
      <w:r w:rsidR="00427278" w:rsidRPr="00DC2FB5">
        <w:rPr>
          <w:rFonts w:ascii="Arial" w:hAnsi="Arial" w:cs="Arial"/>
          <w:color w:val="000000"/>
          <w:sz w:val="24"/>
          <w:szCs w:val="24"/>
          <w:lang w:val="ro-RO"/>
        </w:rPr>
        <w:t xml:space="preserve">, precum </w:t>
      </w:r>
      <w:r w:rsidR="006A407B" w:rsidRPr="00DC2FB5">
        <w:rPr>
          <w:rFonts w:ascii="Arial" w:hAnsi="Arial" w:cs="Arial"/>
          <w:color w:val="000000"/>
          <w:sz w:val="24"/>
          <w:szCs w:val="24"/>
          <w:lang w:val="ro-RO"/>
        </w:rPr>
        <w:t>ş</w:t>
      </w:r>
      <w:r w:rsidR="00427278" w:rsidRPr="00DC2FB5">
        <w:rPr>
          <w:rFonts w:ascii="Arial" w:hAnsi="Arial" w:cs="Arial"/>
          <w:color w:val="000000"/>
          <w:sz w:val="24"/>
          <w:szCs w:val="24"/>
          <w:lang w:val="ro-RO"/>
        </w:rPr>
        <w:t xml:space="preserve">i </w:t>
      </w:r>
      <w:r w:rsidR="00716164" w:rsidRPr="00DC2FB5">
        <w:rPr>
          <w:rFonts w:ascii="Arial" w:hAnsi="Arial" w:cs="Arial"/>
          <w:color w:val="000000"/>
          <w:sz w:val="24"/>
          <w:szCs w:val="24"/>
          <w:lang w:val="ro-RO"/>
        </w:rPr>
        <w:t xml:space="preserve">schemele de </w:t>
      </w:r>
      <w:r w:rsidR="00427278" w:rsidRPr="00DC2FB5">
        <w:rPr>
          <w:rFonts w:ascii="Arial" w:hAnsi="Arial" w:cs="Arial"/>
          <w:color w:val="000000"/>
          <w:sz w:val="24"/>
          <w:szCs w:val="24"/>
          <w:lang w:val="ro-RO"/>
        </w:rPr>
        <w:t>produc</w:t>
      </w:r>
      <w:r w:rsidR="006A407B" w:rsidRPr="00DC2FB5">
        <w:rPr>
          <w:rFonts w:ascii="Arial" w:hAnsi="Arial" w:cs="Arial"/>
          <w:color w:val="000000"/>
          <w:sz w:val="24"/>
          <w:szCs w:val="24"/>
          <w:lang w:val="ro-RO"/>
        </w:rPr>
        <w:t>ţ</w:t>
      </w:r>
      <w:r w:rsidR="00427278" w:rsidRPr="00DC2FB5">
        <w:rPr>
          <w:rFonts w:ascii="Arial" w:hAnsi="Arial" w:cs="Arial"/>
          <w:color w:val="000000"/>
          <w:sz w:val="24"/>
          <w:szCs w:val="24"/>
          <w:lang w:val="ro-RO"/>
        </w:rPr>
        <w:t>i</w:t>
      </w:r>
      <w:r w:rsidR="00716164" w:rsidRPr="00DC2FB5">
        <w:rPr>
          <w:rFonts w:ascii="Arial" w:hAnsi="Arial" w:cs="Arial"/>
          <w:color w:val="000000"/>
          <w:sz w:val="24"/>
          <w:szCs w:val="24"/>
          <w:lang w:val="ro-RO"/>
        </w:rPr>
        <w:t>e</w:t>
      </w:r>
      <w:r w:rsidR="00523362" w:rsidRPr="00DC2FB5">
        <w:rPr>
          <w:rFonts w:ascii="Arial" w:hAnsi="Arial" w:cs="Arial"/>
          <w:color w:val="000000"/>
          <w:sz w:val="24"/>
          <w:szCs w:val="24"/>
          <w:lang w:val="ro-RO"/>
        </w:rPr>
        <w:t xml:space="preserve"> pe baza cărora funcţionau</w:t>
      </w:r>
      <w:r w:rsidR="00716164" w:rsidRPr="00DC2FB5">
        <w:rPr>
          <w:rFonts w:ascii="Arial" w:hAnsi="Arial" w:cs="Arial"/>
          <w:color w:val="000000"/>
          <w:sz w:val="24"/>
          <w:szCs w:val="24"/>
          <w:lang w:val="ro-RO"/>
        </w:rPr>
        <w:t xml:space="preserve">, pentru a le </w:t>
      </w:r>
      <w:r w:rsidR="00427278" w:rsidRPr="00DC2FB5">
        <w:rPr>
          <w:rFonts w:ascii="Arial" w:hAnsi="Arial" w:cs="Arial"/>
          <w:color w:val="000000"/>
          <w:sz w:val="24"/>
          <w:szCs w:val="24"/>
          <w:lang w:val="ro-RO"/>
        </w:rPr>
        <w:t xml:space="preserve">face mai eficiente </w:t>
      </w:r>
      <w:r w:rsidR="006A407B" w:rsidRPr="00DC2FB5">
        <w:rPr>
          <w:rFonts w:ascii="Arial" w:hAnsi="Arial" w:cs="Arial"/>
          <w:color w:val="000000"/>
          <w:sz w:val="24"/>
          <w:szCs w:val="24"/>
          <w:lang w:val="ro-RO"/>
        </w:rPr>
        <w:t>ş</w:t>
      </w:r>
      <w:r w:rsidR="00716164" w:rsidRPr="00DC2FB5">
        <w:rPr>
          <w:rFonts w:ascii="Arial" w:hAnsi="Arial" w:cs="Arial"/>
          <w:color w:val="000000"/>
          <w:sz w:val="24"/>
          <w:szCs w:val="24"/>
          <w:lang w:val="ro-RO"/>
        </w:rPr>
        <w:t xml:space="preserve">i mai </w:t>
      </w:r>
      <w:r w:rsidR="00427278" w:rsidRPr="00DC2FB5">
        <w:rPr>
          <w:rFonts w:ascii="Arial" w:hAnsi="Arial" w:cs="Arial"/>
          <w:color w:val="000000"/>
          <w:sz w:val="24"/>
          <w:szCs w:val="24"/>
          <w:lang w:val="ro-RO"/>
        </w:rPr>
        <w:t>competitiv</w:t>
      </w:r>
      <w:r w:rsidR="00716164" w:rsidRPr="00DC2FB5">
        <w:rPr>
          <w:rFonts w:ascii="Arial" w:hAnsi="Arial" w:cs="Arial"/>
          <w:color w:val="000000"/>
          <w:sz w:val="24"/>
          <w:szCs w:val="24"/>
          <w:lang w:val="ro-RO"/>
        </w:rPr>
        <w:t>e</w:t>
      </w:r>
      <w:r w:rsidR="00427278" w:rsidRPr="00DC2FB5">
        <w:rPr>
          <w:rFonts w:ascii="Arial" w:hAnsi="Arial" w:cs="Arial"/>
          <w:color w:val="000000"/>
          <w:sz w:val="24"/>
          <w:szCs w:val="24"/>
          <w:lang w:val="ro-RO"/>
        </w:rPr>
        <w:t>.</w:t>
      </w:r>
      <w:r w:rsidR="00523362" w:rsidRPr="00DC2FB5">
        <w:rPr>
          <w:rFonts w:ascii="Arial" w:hAnsi="Arial" w:cs="Arial"/>
          <w:i/>
          <w:iCs/>
          <w:sz w:val="24"/>
          <w:szCs w:val="24"/>
          <w:lang w:val="ro-RO"/>
        </w:rPr>
        <w:t xml:space="preserve"> </w:t>
      </w:r>
    </w:p>
    <w:p w:rsidR="00DC2FB5" w:rsidRPr="00DC2FB5" w:rsidRDefault="00DC2FB5" w:rsidP="00DC2FB5">
      <w:pPr>
        <w:autoSpaceDE w:val="0"/>
        <w:autoSpaceDN w:val="0"/>
        <w:adjustRightInd w:val="0"/>
        <w:spacing w:after="0"/>
        <w:jc w:val="both"/>
        <w:rPr>
          <w:rFonts w:ascii="Arial" w:hAnsi="Arial" w:cs="Arial"/>
          <w:color w:val="000000"/>
          <w:lang w:val="ro-RO"/>
        </w:rPr>
      </w:pPr>
    </w:p>
    <w:tbl>
      <w:tblPr>
        <w:tblStyle w:val="TableGrid"/>
        <w:tblW w:w="0" w:type="auto"/>
        <w:tblLook w:val="04A0" w:firstRow="1" w:lastRow="0" w:firstColumn="1" w:lastColumn="0" w:noHBand="0" w:noVBand="1"/>
      </w:tblPr>
      <w:tblGrid>
        <w:gridCol w:w="9622"/>
      </w:tblGrid>
      <w:tr w:rsidR="00CB58A9" w:rsidRPr="00DC2FB5" w:rsidTr="00CB58A9">
        <w:tc>
          <w:tcPr>
            <w:tcW w:w="9622" w:type="dxa"/>
          </w:tcPr>
          <w:p w:rsidR="00CB58A9" w:rsidRPr="00DC2FB5" w:rsidRDefault="00CB58A9" w:rsidP="004145E3">
            <w:pPr>
              <w:spacing w:line="276" w:lineRule="auto"/>
              <w:jc w:val="both"/>
              <w:rPr>
                <w:rFonts w:ascii="Arial" w:hAnsi="Arial" w:cs="Arial"/>
                <w:i/>
                <w:iCs/>
                <w:color w:val="0070C0"/>
                <w:sz w:val="24"/>
                <w:szCs w:val="24"/>
              </w:rPr>
            </w:pPr>
            <w:r w:rsidRPr="00DC2FB5">
              <w:rPr>
                <w:rFonts w:ascii="Arial" w:hAnsi="Arial" w:cs="Arial"/>
                <w:i/>
                <w:iCs/>
                <w:color w:val="000000"/>
                <w:sz w:val="24"/>
                <w:szCs w:val="24"/>
              </w:rPr>
              <w:t>Mexicul oferă di</w:t>
            </w:r>
            <w:r w:rsidR="004145E3">
              <w:rPr>
                <w:rFonts w:ascii="Arial" w:hAnsi="Arial" w:cs="Arial"/>
                <w:i/>
                <w:iCs/>
                <w:color w:val="000000"/>
                <w:sz w:val="24"/>
                <w:szCs w:val="24"/>
              </w:rPr>
              <w:t>verse</w:t>
            </w:r>
            <w:r w:rsidRPr="00DC2FB5">
              <w:rPr>
                <w:rFonts w:ascii="Arial" w:hAnsi="Arial" w:cs="Arial"/>
                <w:i/>
                <w:iCs/>
                <w:color w:val="000000"/>
                <w:sz w:val="24"/>
                <w:szCs w:val="24"/>
              </w:rPr>
              <w:t xml:space="preserve"> opţiuni pentru dezvoltarea unor afaceri de succes în domeniul resurselor minerale. În decembr</w:t>
            </w:r>
            <w:r w:rsidR="004145E3">
              <w:rPr>
                <w:rFonts w:ascii="Arial" w:hAnsi="Arial" w:cs="Arial"/>
                <w:i/>
                <w:iCs/>
                <w:color w:val="000000"/>
                <w:sz w:val="24"/>
                <w:szCs w:val="24"/>
              </w:rPr>
              <w:t>ie 2015 au existat în total 25.</w:t>
            </w:r>
            <w:r w:rsidRPr="00DC2FB5">
              <w:rPr>
                <w:rFonts w:ascii="Arial" w:hAnsi="Arial" w:cs="Arial"/>
                <w:i/>
                <w:iCs/>
                <w:color w:val="000000"/>
                <w:sz w:val="24"/>
                <w:szCs w:val="24"/>
              </w:rPr>
              <w:t>531 de titluri de concesiune minieră în vigoare în ţară, care acoperă o suprafaţă de 23, 17 milioane de hectare, echivalent cu 11, 8% din teritoriul na</w:t>
            </w:r>
            <w:r w:rsidR="004145E3">
              <w:rPr>
                <w:rFonts w:ascii="Arial" w:hAnsi="Arial" w:cs="Arial"/>
                <w:i/>
                <w:iCs/>
                <w:color w:val="000000"/>
                <w:sz w:val="24"/>
                <w:szCs w:val="24"/>
              </w:rPr>
              <w:t>ţ</w:t>
            </w:r>
            <w:r w:rsidRPr="00DC2FB5">
              <w:rPr>
                <w:rFonts w:ascii="Arial" w:hAnsi="Arial" w:cs="Arial"/>
                <w:i/>
                <w:iCs/>
                <w:color w:val="000000"/>
                <w:sz w:val="24"/>
                <w:szCs w:val="24"/>
              </w:rPr>
              <w:t>ional.</w:t>
            </w:r>
          </w:p>
        </w:tc>
      </w:tr>
    </w:tbl>
    <w:p w:rsidR="00F964E9" w:rsidRPr="00DC2FB5" w:rsidRDefault="00F964E9" w:rsidP="00DC2FB5">
      <w:pPr>
        <w:jc w:val="both"/>
        <w:rPr>
          <w:rFonts w:ascii="Arial" w:hAnsi="Arial" w:cs="Arial"/>
          <w:b/>
          <w:iCs/>
          <w:color w:val="000000"/>
        </w:rPr>
      </w:pPr>
    </w:p>
    <w:p w:rsidR="001537B4" w:rsidRPr="00113940" w:rsidRDefault="001537B4" w:rsidP="00DC2FB5">
      <w:pPr>
        <w:autoSpaceDE w:val="0"/>
        <w:autoSpaceDN w:val="0"/>
        <w:adjustRightInd w:val="0"/>
        <w:spacing w:after="0"/>
        <w:rPr>
          <w:rFonts w:ascii="Arial" w:hAnsi="Arial" w:cs="Arial"/>
          <w:b/>
          <w:color w:val="000000"/>
        </w:rPr>
      </w:pPr>
    </w:p>
    <w:p w:rsidR="00BA32A2" w:rsidRPr="001537B4" w:rsidRDefault="00BA32A2" w:rsidP="00DC2FB5">
      <w:pPr>
        <w:autoSpaceDE w:val="0"/>
        <w:autoSpaceDN w:val="0"/>
        <w:adjustRightInd w:val="0"/>
        <w:spacing w:after="0"/>
        <w:rPr>
          <w:rFonts w:ascii="Arial" w:hAnsi="Arial" w:cs="Arial"/>
          <w:b/>
          <w:color w:val="000000"/>
          <w:sz w:val="24"/>
          <w:szCs w:val="24"/>
          <w:lang w:val="de-DE"/>
        </w:rPr>
      </w:pPr>
      <w:r w:rsidRPr="001537B4">
        <w:rPr>
          <w:rFonts w:ascii="Arial" w:hAnsi="Arial" w:cs="Arial"/>
          <w:b/>
          <w:color w:val="000000"/>
          <w:sz w:val="24"/>
          <w:szCs w:val="24"/>
          <w:lang w:val="de-DE"/>
        </w:rPr>
        <w:t xml:space="preserve">Unde să se  investească în minerit în anul 2015 </w:t>
      </w:r>
    </w:p>
    <w:p w:rsidR="00BA32A2" w:rsidRPr="00DC2FB5" w:rsidRDefault="00BA32A2" w:rsidP="00DC2FB5">
      <w:pPr>
        <w:autoSpaceDE w:val="0"/>
        <w:autoSpaceDN w:val="0"/>
        <w:adjustRightInd w:val="0"/>
        <w:spacing w:after="0"/>
        <w:rPr>
          <w:rFonts w:ascii="Arial" w:hAnsi="Arial" w:cs="Arial"/>
          <w:color w:val="000000"/>
          <w:lang w:val="de-DE"/>
        </w:rPr>
      </w:pPr>
    </w:p>
    <w:tbl>
      <w:tblPr>
        <w:tblStyle w:val="TableGrid"/>
        <w:tblW w:w="0" w:type="auto"/>
        <w:tblInd w:w="518" w:type="dxa"/>
        <w:tblLook w:val="04A0" w:firstRow="1" w:lastRow="0" w:firstColumn="1" w:lastColumn="0" w:noHBand="0" w:noVBand="1"/>
      </w:tblPr>
      <w:tblGrid>
        <w:gridCol w:w="948"/>
        <w:gridCol w:w="4230"/>
      </w:tblGrid>
      <w:tr w:rsidR="00BA32A2" w:rsidRPr="00DC2FB5" w:rsidTr="00BA32A2">
        <w:tc>
          <w:tcPr>
            <w:tcW w:w="940" w:type="dxa"/>
          </w:tcPr>
          <w:p w:rsidR="00BA32A2" w:rsidRPr="00DC2FB5" w:rsidRDefault="00BA32A2" w:rsidP="00DC2FB5">
            <w:pPr>
              <w:autoSpaceDE w:val="0"/>
              <w:autoSpaceDN w:val="0"/>
              <w:adjustRightInd w:val="0"/>
              <w:spacing w:line="276" w:lineRule="auto"/>
              <w:rPr>
                <w:rFonts w:ascii="Arial" w:hAnsi="Arial" w:cs="Arial"/>
                <w:b/>
                <w:color w:val="000000"/>
                <w:sz w:val="28"/>
                <w:szCs w:val="28"/>
              </w:rPr>
            </w:pPr>
            <w:r w:rsidRPr="00DC2FB5">
              <w:rPr>
                <w:rFonts w:ascii="Arial" w:hAnsi="Arial" w:cs="Arial"/>
                <w:b/>
                <w:color w:val="000000"/>
                <w:sz w:val="28"/>
                <w:szCs w:val="28"/>
              </w:rPr>
              <w:t xml:space="preserve">Scala   </w:t>
            </w:r>
          </w:p>
        </w:tc>
        <w:tc>
          <w:tcPr>
            <w:tcW w:w="4230" w:type="dxa"/>
          </w:tcPr>
          <w:p w:rsidR="00BA32A2" w:rsidRPr="00DC2FB5" w:rsidRDefault="00BA32A2" w:rsidP="00DC2FB5">
            <w:pPr>
              <w:autoSpaceDE w:val="0"/>
              <w:autoSpaceDN w:val="0"/>
              <w:adjustRightInd w:val="0"/>
              <w:spacing w:line="276" w:lineRule="auto"/>
              <w:rPr>
                <w:rFonts w:ascii="Arial" w:hAnsi="Arial" w:cs="Arial"/>
                <w:b/>
                <w:color w:val="000000"/>
                <w:sz w:val="28"/>
                <w:szCs w:val="28"/>
              </w:rPr>
            </w:pPr>
            <w:r w:rsidRPr="00DC2FB5">
              <w:rPr>
                <w:rFonts w:ascii="Arial" w:hAnsi="Arial" w:cs="Arial"/>
                <w:b/>
                <w:color w:val="000000"/>
                <w:sz w:val="28"/>
                <w:szCs w:val="28"/>
              </w:rPr>
              <w:t>Ţara</w:t>
            </w:r>
          </w:p>
        </w:tc>
      </w:tr>
      <w:tr w:rsidR="00BA32A2" w:rsidRPr="00DC2FB5" w:rsidTr="00BA32A2">
        <w:tc>
          <w:tcPr>
            <w:tcW w:w="940" w:type="dxa"/>
          </w:tcPr>
          <w:p w:rsidR="00BA32A2" w:rsidRPr="00DC2FB5" w:rsidRDefault="00BA32A2" w:rsidP="00DC2FB5">
            <w:pPr>
              <w:shd w:val="clear" w:color="auto" w:fill="00B050"/>
              <w:autoSpaceDE w:val="0"/>
              <w:autoSpaceDN w:val="0"/>
              <w:adjustRightInd w:val="0"/>
              <w:spacing w:line="276" w:lineRule="auto"/>
              <w:jc w:val="center"/>
              <w:rPr>
                <w:rFonts w:ascii="Arial" w:hAnsi="Arial" w:cs="Arial"/>
                <w:b/>
                <w:bCs/>
                <w:sz w:val="28"/>
                <w:szCs w:val="28"/>
              </w:rPr>
            </w:pPr>
          </w:p>
          <w:p w:rsidR="00BA32A2" w:rsidRPr="00DC2FB5" w:rsidRDefault="00BA32A2" w:rsidP="00DC2FB5">
            <w:pPr>
              <w:shd w:val="clear" w:color="auto" w:fill="00B050"/>
              <w:autoSpaceDE w:val="0"/>
              <w:autoSpaceDN w:val="0"/>
              <w:adjustRightInd w:val="0"/>
              <w:spacing w:line="276" w:lineRule="auto"/>
              <w:jc w:val="center"/>
              <w:rPr>
                <w:rFonts w:ascii="Arial" w:hAnsi="Arial" w:cs="Arial"/>
                <w:b/>
                <w:bCs/>
                <w:sz w:val="28"/>
                <w:szCs w:val="28"/>
              </w:rPr>
            </w:pPr>
            <w:r w:rsidRPr="00DC2FB5">
              <w:rPr>
                <w:rFonts w:ascii="Arial" w:hAnsi="Arial" w:cs="Arial"/>
                <w:b/>
                <w:bCs/>
                <w:sz w:val="28"/>
                <w:szCs w:val="28"/>
              </w:rPr>
              <w:t>1</w:t>
            </w:r>
          </w:p>
          <w:p w:rsidR="00BA32A2" w:rsidRPr="00DC2FB5" w:rsidRDefault="00BA32A2" w:rsidP="00DC2FB5">
            <w:pPr>
              <w:shd w:val="clear" w:color="auto" w:fill="00B050"/>
              <w:autoSpaceDE w:val="0"/>
              <w:autoSpaceDN w:val="0"/>
              <w:adjustRightInd w:val="0"/>
              <w:spacing w:line="276" w:lineRule="auto"/>
              <w:jc w:val="center"/>
              <w:rPr>
                <w:rFonts w:ascii="Arial" w:hAnsi="Arial" w:cs="Arial"/>
                <w:b/>
                <w:bCs/>
                <w:sz w:val="28"/>
                <w:szCs w:val="28"/>
              </w:rPr>
            </w:pPr>
            <w:r w:rsidRPr="00DC2FB5">
              <w:rPr>
                <w:rFonts w:ascii="Arial" w:hAnsi="Arial" w:cs="Arial"/>
                <w:b/>
                <w:bCs/>
                <w:sz w:val="28"/>
                <w:szCs w:val="28"/>
              </w:rPr>
              <w:t>2</w:t>
            </w:r>
          </w:p>
          <w:p w:rsidR="00BA32A2" w:rsidRPr="00DC2FB5" w:rsidRDefault="00BA32A2" w:rsidP="00DC2FB5">
            <w:pPr>
              <w:shd w:val="clear" w:color="auto" w:fill="00B050"/>
              <w:autoSpaceDE w:val="0"/>
              <w:autoSpaceDN w:val="0"/>
              <w:adjustRightInd w:val="0"/>
              <w:spacing w:line="276" w:lineRule="auto"/>
              <w:jc w:val="center"/>
              <w:rPr>
                <w:rFonts w:ascii="Arial" w:hAnsi="Arial" w:cs="Arial"/>
                <w:b/>
                <w:bCs/>
                <w:sz w:val="28"/>
                <w:szCs w:val="28"/>
              </w:rPr>
            </w:pPr>
            <w:r w:rsidRPr="00DC2FB5">
              <w:rPr>
                <w:rFonts w:ascii="Arial" w:hAnsi="Arial" w:cs="Arial"/>
                <w:b/>
                <w:bCs/>
                <w:sz w:val="28"/>
                <w:szCs w:val="28"/>
              </w:rPr>
              <w:t>3</w:t>
            </w:r>
          </w:p>
          <w:p w:rsidR="00BA32A2" w:rsidRPr="00DC2FB5" w:rsidRDefault="00BA32A2" w:rsidP="00DC2FB5">
            <w:pPr>
              <w:shd w:val="clear" w:color="auto" w:fill="00B050"/>
              <w:autoSpaceDE w:val="0"/>
              <w:autoSpaceDN w:val="0"/>
              <w:adjustRightInd w:val="0"/>
              <w:spacing w:line="276" w:lineRule="auto"/>
              <w:jc w:val="center"/>
              <w:rPr>
                <w:rFonts w:ascii="Arial" w:hAnsi="Arial" w:cs="Arial"/>
                <w:b/>
                <w:bCs/>
                <w:sz w:val="28"/>
                <w:szCs w:val="28"/>
              </w:rPr>
            </w:pPr>
            <w:r w:rsidRPr="00DC2FB5">
              <w:rPr>
                <w:rFonts w:ascii="Arial" w:hAnsi="Arial" w:cs="Arial"/>
                <w:b/>
                <w:bCs/>
                <w:sz w:val="28"/>
                <w:szCs w:val="28"/>
              </w:rPr>
              <w:t>4</w:t>
            </w:r>
          </w:p>
          <w:p w:rsidR="00BA32A2" w:rsidRPr="00DC2FB5" w:rsidRDefault="00BA32A2" w:rsidP="00DC2FB5">
            <w:pPr>
              <w:shd w:val="clear" w:color="auto" w:fill="00B050"/>
              <w:autoSpaceDE w:val="0"/>
              <w:autoSpaceDN w:val="0"/>
              <w:adjustRightInd w:val="0"/>
              <w:spacing w:line="276" w:lineRule="auto"/>
              <w:jc w:val="center"/>
              <w:rPr>
                <w:rFonts w:ascii="Arial" w:hAnsi="Arial" w:cs="Arial"/>
                <w:b/>
                <w:bCs/>
                <w:sz w:val="28"/>
                <w:szCs w:val="28"/>
              </w:rPr>
            </w:pPr>
            <w:r w:rsidRPr="00DC2FB5">
              <w:rPr>
                <w:rFonts w:ascii="Arial" w:hAnsi="Arial" w:cs="Arial"/>
                <w:b/>
                <w:bCs/>
                <w:sz w:val="28"/>
                <w:szCs w:val="28"/>
              </w:rPr>
              <w:t>5</w:t>
            </w:r>
          </w:p>
          <w:p w:rsidR="00BA32A2" w:rsidRPr="00DC2FB5" w:rsidRDefault="00BA32A2" w:rsidP="00DC2FB5">
            <w:pPr>
              <w:shd w:val="clear" w:color="auto" w:fill="E36C0A" w:themeFill="accent6" w:themeFillShade="BF"/>
              <w:autoSpaceDE w:val="0"/>
              <w:autoSpaceDN w:val="0"/>
              <w:adjustRightInd w:val="0"/>
              <w:spacing w:line="276" w:lineRule="auto"/>
              <w:jc w:val="center"/>
              <w:rPr>
                <w:rFonts w:ascii="Arial" w:hAnsi="Arial" w:cs="Arial"/>
                <w:b/>
                <w:bCs/>
                <w:sz w:val="28"/>
                <w:szCs w:val="28"/>
              </w:rPr>
            </w:pPr>
            <w:r w:rsidRPr="00DC2FB5">
              <w:rPr>
                <w:rFonts w:ascii="Arial" w:hAnsi="Arial" w:cs="Arial"/>
                <w:b/>
                <w:bCs/>
                <w:sz w:val="28"/>
                <w:szCs w:val="28"/>
              </w:rPr>
              <w:t>6</w:t>
            </w:r>
          </w:p>
          <w:p w:rsidR="00BA32A2" w:rsidRPr="00DC2FB5" w:rsidRDefault="00BA32A2" w:rsidP="00DC2FB5">
            <w:pPr>
              <w:shd w:val="clear" w:color="auto" w:fill="E36C0A" w:themeFill="accent6" w:themeFillShade="BF"/>
              <w:autoSpaceDE w:val="0"/>
              <w:autoSpaceDN w:val="0"/>
              <w:adjustRightInd w:val="0"/>
              <w:spacing w:line="276" w:lineRule="auto"/>
              <w:jc w:val="center"/>
              <w:rPr>
                <w:rFonts w:ascii="Arial" w:hAnsi="Arial" w:cs="Arial"/>
                <w:b/>
                <w:bCs/>
                <w:sz w:val="28"/>
                <w:szCs w:val="28"/>
              </w:rPr>
            </w:pPr>
            <w:r w:rsidRPr="00DC2FB5">
              <w:rPr>
                <w:rFonts w:ascii="Arial" w:hAnsi="Arial" w:cs="Arial"/>
                <w:b/>
                <w:bCs/>
                <w:sz w:val="28"/>
                <w:szCs w:val="28"/>
              </w:rPr>
              <w:t>7</w:t>
            </w:r>
          </w:p>
          <w:p w:rsidR="00BA32A2" w:rsidRPr="00DC2FB5" w:rsidRDefault="00BA32A2" w:rsidP="00DC2FB5">
            <w:pPr>
              <w:shd w:val="clear" w:color="auto" w:fill="E36C0A" w:themeFill="accent6" w:themeFillShade="BF"/>
              <w:autoSpaceDE w:val="0"/>
              <w:autoSpaceDN w:val="0"/>
              <w:adjustRightInd w:val="0"/>
              <w:spacing w:line="276" w:lineRule="auto"/>
              <w:jc w:val="center"/>
              <w:rPr>
                <w:rFonts w:ascii="Arial" w:hAnsi="Arial" w:cs="Arial"/>
                <w:b/>
                <w:bCs/>
                <w:sz w:val="28"/>
                <w:szCs w:val="28"/>
              </w:rPr>
            </w:pPr>
            <w:r w:rsidRPr="00DC2FB5">
              <w:rPr>
                <w:rFonts w:ascii="Arial" w:hAnsi="Arial" w:cs="Arial"/>
                <w:b/>
                <w:bCs/>
                <w:sz w:val="28"/>
                <w:szCs w:val="28"/>
              </w:rPr>
              <w:t>8</w:t>
            </w:r>
          </w:p>
          <w:p w:rsidR="00BA32A2" w:rsidRPr="00DC2FB5" w:rsidRDefault="00BA32A2" w:rsidP="00DC2FB5">
            <w:pPr>
              <w:shd w:val="clear" w:color="auto" w:fill="E36C0A" w:themeFill="accent6" w:themeFillShade="BF"/>
              <w:autoSpaceDE w:val="0"/>
              <w:autoSpaceDN w:val="0"/>
              <w:adjustRightInd w:val="0"/>
              <w:spacing w:line="276" w:lineRule="auto"/>
              <w:jc w:val="center"/>
              <w:rPr>
                <w:rFonts w:ascii="Arial" w:hAnsi="Arial" w:cs="Arial"/>
                <w:b/>
                <w:bCs/>
                <w:sz w:val="28"/>
                <w:szCs w:val="28"/>
              </w:rPr>
            </w:pPr>
            <w:r w:rsidRPr="00DC2FB5">
              <w:rPr>
                <w:rFonts w:ascii="Arial" w:hAnsi="Arial" w:cs="Arial"/>
                <w:b/>
                <w:bCs/>
                <w:sz w:val="28"/>
                <w:szCs w:val="28"/>
              </w:rPr>
              <w:t>9</w:t>
            </w:r>
          </w:p>
          <w:p w:rsidR="00BA32A2" w:rsidRPr="00DC2FB5" w:rsidRDefault="00BA32A2" w:rsidP="00DC2FB5">
            <w:pPr>
              <w:shd w:val="clear" w:color="auto" w:fill="E36C0A" w:themeFill="accent6" w:themeFillShade="BF"/>
              <w:autoSpaceDE w:val="0"/>
              <w:autoSpaceDN w:val="0"/>
              <w:adjustRightInd w:val="0"/>
              <w:spacing w:line="276" w:lineRule="auto"/>
              <w:jc w:val="center"/>
              <w:rPr>
                <w:rFonts w:ascii="Arial" w:hAnsi="Arial" w:cs="Arial"/>
                <w:color w:val="000000"/>
                <w:sz w:val="28"/>
                <w:szCs w:val="28"/>
              </w:rPr>
            </w:pPr>
            <w:r w:rsidRPr="00DC2FB5">
              <w:rPr>
                <w:rFonts w:ascii="Arial" w:hAnsi="Arial" w:cs="Arial"/>
                <w:b/>
                <w:bCs/>
                <w:sz w:val="28"/>
                <w:szCs w:val="28"/>
              </w:rPr>
              <w:t>10</w:t>
            </w:r>
          </w:p>
          <w:p w:rsidR="00BA32A2" w:rsidRPr="00DC2FB5" w:rsidRDefault="00BA32A2" w:rsidP="00DC2FB5">
            <w:pPr>
              <w:autoSpaceDE w:val="0"/>
              <w:autoSpaceDN w:val="0"/>
              <w:adjustRightInd w:val="0"/>
              <w:spacing w:line="276" w:lineRule="auto"/>
              <w:jc w:val="center"/>
              <w:rPr>
                <w:rFonts w:ascii="Arial" w:hAnsi="Arial" w:cs="Arial"/>
                <w:color w:val="000000"/>
                <w:sz w:val="28"/>
                <w:szCs w:val="28"/>
              </w:rPr>
            </w:pPr>
          </w:p>
        </w:tc>
        <w:tc>
          <w:tcPr>
            <w:tcW w:w="4230" w:type="dxa"/>
            <w:shd w:val="clear" w:color="auto" w:fill="F2F2F2" w:themeFill="background1" w:themeFillShade="F2"/>
          </w:tcPr>
          <w:p w:rsidR="00BA32A2" w:rsidRPr="00DC2FB5" w:rsidRDefault="00BA32A2" w:rsidP="00DC2FB5">
            <w:pPr>
              <w:autoSpaceDE w:val="0"/>
              <w:autoSpaceDN w:val="0"/>
              <w:adjustRightInd w:val="0"/>
              <w:spacing w:line="276" w:lineRule="auto"/>
              <w:rPr>
                <w:rFonts w:ascii="Arial" w:hAnsi="Arial" w:cs="Arial"/>
                <w:b/>
                <w:bCs/>
                <w:sz w:val="28"/>
                <w:szCs w:val="28"/>
              </w:rPr>
            </w:pPr>
          </w:p>
          <w:p w:rsidR="00BA32A2" w:rsidRPr="00DC2FB5" w:rsidRDefault="00BA32A2" w:rsidP="00DC2FB5">
            <w:pPr>
              <w:autoSpaceDE w:val="0"/>
              <w:autoSpaceDN w:val="0"/>
              <w:adjustRightInd w:val="0"/>
              <w:spacing w:line="276" w:lineRule="auto"/>
              <w:rPr>
                <w:rFonts w:ascii="Arial" w:hAnsi="Arial" w:cs="Arial"/>
                <w:b/>
                <w:bCs/>
                <w:sz w:val="28"/>
                <w:szCs w:val="28"/>
              </w:rPr>
            </w:pPr>
            <w:r w:rsidRPr="00DC2FB5">
              <w:rPr>
                <w:rFonts w:ascii="Arial" w:hAnsi="Arial" w:cs="Arial"/>
                <w:b/>
                <w:bCs/>
                <w:sz w:val="28"/>
                <w:szCs w:val="28"/>
              </w:rPr>
              <w:t>Canada</w:t>
            </w:r>
          </w:p>
          <w:p w:rsidR="00BA32A2" w:rsidRPr="00DC2FB5" w:rsidRDefault="00BA32A2" w:rsidP="00DC2FB5">
            <w:pPr>
              <w:autoSpaceDE w:val="0"/>
              <w:autoSpaceDN w:val="0"/>
              <w:adjustRightInd w:val="0"/>
              <w:spacing w:line="276" w:lineRule="auto"/>
              <w:rPr>
                <w:rFonts w:ascii="Arial" w:hAnsi="Arial" w:cs="Arial"/>
                <w:b/>
                <w:bCs/>
                <w:sz w:val="28"/>
                <w:szCs w:val="28"/>
              </w:rPr>
            </w:pPr>
            <w:r w:rsidRPr="00DC2FB5">
              <w:rPr>
                <w:rFonts w:ascii="Arial" w:hAnsi="Arial" w:cs="Arial"/>
                <w:b/>
                <w:bCs/>
                <w:sz w:val="28"/>
                <w:szCs w:val="28"/>
              </w:rPr>
              <w:t>Australia</w:t>
            </w:r>
          </w:p>
          <w:p w:rsidR="00BA32A2" w:rsidRPr="00DC2FB5" w:rsidRDefault="00BA32A2" w:rsidP="00DC2FB5">
            <w:pPr>
              <w:autoSpaceDE w:val="0"/>
              <w:autoSpaceDN w:val="0"/>
              <w:adjustRightInd w:val="0"/>
              <w:spacing w:line="276" w:lineRule="auto"/>
              <w:rPr>
                <w:rFonts w:ascii="Arial" w:hAnsi="Arial" w:cs="Arial"/>
                <w:b/>
                <w:bCs/>
                <w:sz w:val="28"/>
                <w:szCs w:val="28"/>
              </w:rPr>
            </w:pPr>
            <w:r w:rsidRPr="00DC2FB5">
              <w:rPr>
                <w:rFonts w:ascii="Arial" w:hAnsi="Arial" w:cs="Arial"/>
                <w:b/>
                <w:bCs/>
                <w:sz w:val="28"/>
                <w:szCs w:val="28"/>
              </w:rPr>
              <w:t>Statele Unite ale Americii</w:t>
            </w:r>
          </w:p>
          <w:p w:rsidR="00BA32A2" w:rsidRPr="00DC2FB5" w:rsidRDefault="00BA32A2" w:rsidP="00DC2FB5">
            <w:pPr>
              <w:autoSpaceDE w:val="0"/>
              <w:autoSpaceDN w:val="0"/>
              <w:adjustRightInd w:val="0"/>
              <w:spacing w:line="276" w:lineRule="auto"/>
              <w:rPr>
                <w:rFonts w:ascii="Arial" w:hAnsi="Arial" w:cs="Arial"/>
                <w:b/>
                <w:bCs/>
                <w:sz w:val="28"/>
                <w:szCs w:val="28"/>
              </w:rPr>
            </w:pPr>
            <w:r w:rsidRPr="00DC2FB5">
              <w:rPr>
                <w:rFonts w:ascii="Arial" w:hAnsi="Arial" w:cs="Arial"/>
                <w:b/>
                <w:bCs/>
                <w:sz w:val="28"/>
                <w:szCs w:val="28"/>
              </w:rPr>
              <w:t>Chile</w:t>
            </w:r>
          </w:p>
          <w:p w:rsidR="00BA32A2" w:rsidRPr="00DC2FB5" w:rsidRDefault="00BA32A2" w:rsidP="00DC2FB5">
            <w:pPr>
              <w:autoSpaceDE w:val="0"/>
              <w:autoSpaceDN w:val="0"/>
              <w:adjustRightInd w:val="0"/>
              <w:spacing w:line="276" w:lineRule="auto"/>
              <w:rPr>
                <w:rFonts w:ascii="Arial" w:hAnsi="Arial" w:cs="Arial"/>
                <w:b/>
                <w:bCs/>
                <w:sz w:val="28"/>
                <w:szCs w:val="28"/>
              </w:rPr>
            </w:pPr>
            <w:r w:rsidRPr="00DC2FB5">
              <w:rPr>
                <w:rFonts w:ascii="Arial" w:hAnsi="Arial" w:cs="Arial"/>
                <w:b/>
                <w:bCs/>
                <w:sz w:val="28"/>
                <w:szCs w:val="28"/>
              </w:rPr>
              <w:t>Mexic</w:t>
            </w:r>
          </w:p>
          <w:p w:rsidR="00BA32A2" w:rsidRPr="00DC2FB5" w:rsidRDefault="00BA32A2" w:rsidP="00DC2FB5">
            <w:pPr>
              <w:autoSpaceDE w:val="0"/>
              <w:autoSpaceDN w:val="0"/>
              <w:adjustRightInd w:val="0"/>
              <w:spacing w:line="276" w:lineRule="auto"/>
              <w:rPr>
                <w:rFonts w:ascii="Arial" w:hAnsi="Arial" w:cs="Arial"/>
                <w:b/>
                <w:bCs/>
                <w:sz w:val="28"/>
                <w:szCs w:val="28"/>
              </w:rPr>
            </w:pPr>
            <w:r w:rsidRPr="00DC2FB5">
              <w:rPr>
                <w:rFonts w:ascii="Arial" w:hAnsi="Arial" w:cs="Arial"/>
                <w:b/>
                <w:bCs/>
                <w:sz w:val="28"/>
                <w:szCs w:val="28"/>
              </w:rPr>
              <w:t>Peru</w:t>
            </w:r>
          </w:p>
          <w:p w:rsidR="00BA32A2" w:rsidRPr="00DC2FB5" w:rsidRDefault="00BA32A2" w:rsidP="00DC2FB5">
            <w:pPr>
              <w:autoSpaceDE w:val="0"/>
              <w:autoSpaceDN w:val="0"/>
              <w:adjustRightInd w:val="0"/>
              <w:spacing w:line="276" w:lineRule="auto"/>
              <w:rPr>
                <w:rFonts w:ascii="Arial" w:hAnsi="Arial" w:cs="Arial"/>
                <w:b/>
                <w:bCs/>
                <w:sz w:val="28"/>
                <w:szCs w:val="28"/>
              </w:rPr>
            </w:pPr>
            <w:r w:rsidRPr="00DC2FB5">
              <w:rPr>
                <w:rFonts w:ascii="Arial" w:hAnsi="Arial" w:cs="Arial"/>
                <w:b/>
                <w:bCs/>
                <w:sz w:val="28"/>
                <w:szCs w:val="28"/>
              </w:rPr>
              <w:t>Namibia</w:t>
            </w:r>
          </w:p>
          <w:p w:rsidR="00BA32A2" w:rsidRPr="00DC2FB5" w:rsidRDefault="00BA32A2" w:rsidP="00DC2FB5">
            <w:pPr>
              <w:autoSpaceDE w:val="0"/>
              <w:autoSpaceDN w:val="0"/>
              <w:adjustRightInd w:val="0"/>
              <w:spacing w:line="276" w:lineRule="auto"/>
              <w:rPr>
                <w:rFonts w:ascii="Arial" w:hAnsi="Arial" w:cs="Arial"/>
                <w:b/>
                <w:bCs/>
                <w:sz w:val="28"/>
                <w:szCs w:val="28"/>
              </w:rPr>
            </w:pPr>
            <w:r w:rsidRPr="00DC2FB5">
              <w:rPr>
                <w:rFonts w:ascii="Arial" w:hAnsi="Arial" w:cs="Arial"/>
                <w:b/>
                <w:bCs/>
                <w:sz w:val="28"/>
                <w:szCs w:val="28"/>
              </w:rPr>
              <w:t>Botswana</w:t>
            </w:r>
          </w:p>
          <w:p w:rsidR="00BA32A2" w:rsidRPr="00DC2FB5" w:rsidRDefault="00BA32A2" w:rsidP="00DC2FB5">
            <w:pPr>
              <w:autoSpaceDE w:val="0"/>
              <w:autoSpaceDN w:val="0"/>
              <w:adjustRightInd w:val="0"/>
              <w:spacing w:line="276" w:lineRule="auto"/>
              <w:rPr>
                <w:rFonts w:ascii="Arial" w:hAnsi="Arial" w:cs="Arial"/>
                <w:b/>
                <w:bCs/>
                <w:sz w:val="28"/>
                <w:szCs w:val="28"/>
              </w:rPr>
            </w:pPr>
            <w:r w:rsidRPr="00DC2FB5">
              <w:rPr>
                <w:rFonts w:ascii="Arial" w:hAnsi="Arial" w:cs="Arial"/>
                <w:b/>
                <w:bCs/>
                <w:sz w:val="28"/>
                <w:szCs w:val="28"/>
              </w:rPr>
              <w:t>Columbia</w:t>
            </w:r>
          </w:p>
          <w:p w:rsidR="00BA32A2" w:rsidRPr="00DC2FB5" w:rsidRDefault="00BA32A2" w:rsidP="00DC2FB5">
            <w:pPr>
              <w:autoSpaceDE w:val="0"/>
              <w:autoSpaceDN w:val="0"/>
              <w:adjustRightInd w:val="0"/>
              <w:spacing w:line="276" w:lineRule="auto"/>
              <w:rPr>
                <w:rFonts w:ascii="Arial" w:hAnsi="Arial" w:cs="Arial"/>
                <w:color w:val="000000"/>
                <w:sz w:val="28"/>
                <w:szCs w:val="28"/>
              </w:rPr>
            </w:pPr>
            <w:r w:rsidRPr="00DC2FB5">
              <w:rPr>
                <w:rFonts w:ascii="Arial" w:hAnsi="Arial" w:cs="Arial"/>
                <w:b/>
                <w:bCs/>
                <w:sz w:val="28"/>
                <w:szCs w:val="28"/>
              </w:rPr>
              <w:t>Ghana</w:t>
            </w:r>
          </w:p>
          <w:p w:rsidR="00BA32A2" w:rsidRPr="00DC2FB5" w:rsidRDefault="00BA32A2" w:rsidP="00DC2FB5">
            <w:pPr>
              <w:autoSpaceDE w:val="0"/>
              <w:autoSpaceDN w:val="0"/>
              <w:adjustRightInd w:val="0"/>
              <w:spacing w:line="276" w:lineRule="auto"/>
              <w:rPr>
                <w:rFonts w:ascii="Arial" w:hAnsi="Arial" w:cs="Arial"/>
                <w:i/>
                <w:color w:val="000000"/>
                <w:sz w:val="16"/>
                <w:szCs w:val="16"/>
              </w:rPr>
            </w:pPr>
            <w:r w:rsidRPr="00DC2FB5">
              <w:rPr>
                <w:rFonts w:ascii="Arial" w:hAnsi="Arial" w:cs="Arial"/>
                <w:i/>
                <w:color w:val="0070C0"/>
                <w:sz w:val="16"/>
                <w:szCs w:val="16"/>
              </w:rPr>
              <w:t xml:space="preserve">                                                      Sursa: Behre Dolbear</w:t>
            </w:r>
          </w:p>
        </w:tc>
      </w:tr>
    </w:tbl>
    <w:p w:rsidR="00BA32A2" w:rsidRPr="00DC2FB5" w:rsidRDefault="00BA32A2" w:rsidP="00DC2FB5">
      <w:pPr>
        <w:rPr>
          <w:rFonts w:ascii="Arial" w:hAnsi="Arial" w:cs="Arial"/>
          <w:color w:val="00B0F0"/>
        </w:rPr>
      </w:pPr>
    </w:p>
    <w:p w:rsidR="00E53D14" w:rsidRPr="00DC2FB5" w:rsidRDefault="00E53D14" w:rsidP="00DC2FB5">
      <w:pPr>
        <w:autoSpaceDE w:val="0"/>
        <w:autoSpaceDN w:val="0"/>
        <w:adjustRightInd w:val="0"/>
        <w:spacing w:after="0"/>
        <w:jc w:val="both"/>
        <w:rPr>
          <w:rFonts w:ascii="Arial" w:hAnsi="Arial" w:cs="Arial"/>
          <w:b/>
          <w:bCs/>
          <w:sz w:val="24"/>
          <w:szCs w:val="24"/>
        </w:rPr>
      </w:pPr>
      <w:r w:rsidRPr="00DC2FB5">
        <w:rPr>
          <w:rFonts w:ascii="Arial" w:hAnsi="Arial" w:cs="Arial"/>
          <w:b/>
          <w:sz w:val="24"/>
          <w:szCs w:val="24"/>
        </w:rPr>
        <w:t>Eficien</w:t>
      </w:r>
      <w:r w:rsidR="006A407B" w:rsidRPr="00DC2FB5">
        <w:rPr>
          <w:rFonts w:ascii="Arial" w:hAnsi="Arial" w:cs="Arial"/>
          <w:b/>
          <w:sz w:val="24"/>
          <w:szCs w:val="24"/>
        </w:rPr>
        <w:t>ţ</w:t>
      </w:r>
      <w:r w:rsidRPr="00DC2FB5">
        <w:rPr>
          <w:rFonts w:ascii="Arial" w:hAnsi="Arial" w:cs="Arial"/>
          <w:b/>
          <w:sz w:val="24"/>
          <w:szCs w:val="24"/>
        </w:rPr>
        <w:t xml:space="preserve">ă competitivă în </w:t>
      </w:r>
      <w:r w:rsidR="006C72CC" w:rsidRPr="00DC2FB5">
        <w:rPr>
          <w:rFonts w:ascii="Arial" w:hAnsi="Arial" w:cs="Arial"/>
          <w:b/>
          <w:sz w:val="24"/>
          <w:szCs w:val="24"/>
        </w:rPr>
        <w:t>mineritul din Mexic</w:t>
      </w:r>
    </w:p>
    <w:p w:rsidR="00F964E9" w:rsidRPr="00DC2FB5" w:rsidRDefault="00F964E9" w:rsidP="00DC2FB5">
      <w:pPr>
        <w:autoSpaceDE w:val="0"/>
        <w:autoSpaceDN w:val="0"/>
        <w:adjustRightInd w:val="0"/>
        <w:spacing w:after="0"/>
        <w:jc w:val="both"/>
        <w:rPr>
          <w:rFonts w:ascii="Arial" w:hAnsi="Arial" w:cs="Arial"/>
          <w:sz w:val="24"/>
          <w:szCs w:val="24"/>
        </w:rPr>
      </w:pPr>
    </w:p>
    <w:p w:rsidR="00E53D14" w:rsidRPr="004145E3" w:rsidRDefault="00E53D14" w:rsidP="00DC2FB5">
      <w:pPr>
        <w:autoSpaceDE w:val="0"/>
        <w:autoSpaceDN w:val="0"/>
        <w:adjustRightInd w:val="0"/>
        <w:spacing w:after="0"/>
        <w:jc w:val="both"/>
        <w:rPr>
          <w:rFonts w:ascii="Arial" w:hAnsi="Arial" w:cs="Arial"/>
          <w:i/>
          <w:sz w:val="24"/>
          <w:szCs w:val="24"/>
        </w:rPr>
      </w:pPr>
      <w:r w:rsidRPr="00DC2FB5">
        <w:rPr>
          <w:rFonts w:ascii="Arial" w:hAnsi="Arial" w:cs="Arial"/>
          <w:sz w:val="24"/>
          <w:szCs w:val="24"/>
        </w:rPr>
        <w:t>Mexic</w:t>
      </w:r>
      <w:r w:rsidR="006C72CC" w:rsidRPr="00DC2FB5">
        <w:rPr>
          <w:rFonts w:ascii="Arial" w:hAnsi="Arial" w:cs="Arial"/>
          <w:sz w:val="24"/>
          <w:szCs w:val="24"/>
        </w:rPr>
        <w:t>ul oferă avantaje competitive</w:t>
      </w:r>
      <w:r w:rsidR="00A07AF6" w:rsidRPr="00DC2FB5">
        <w:rPr>
          <w:rFonts w:ascii="Arial" w:hAnsi="Arial" w:cs="Arial"/>
          <w:sz w:val="24"/>
          <w:szCs w:val="24"/>
        </w:rPr>
        <w:t xml:space="preserve"> sub mai multe aspecte</w:t>
      </w:r>
      <w:r w:rsidR="00F964E9" w:rsidRPr="00DC2FB5">
        <w:rPr>
          <w:rFonts w:ascii="Arial" w:hAnsi="Arial" w:cs="Arial"/>
          <w:sz w:val="24"/>
          <w:szCs w:val="24"/>
        </w:rPr>
        <w:t>.</w:t>
      </w:r>
      <w:r w:rsidRPr="00DC2FB5">
        <w:rPr>
          <w:rFonts w:ascii="Arial" w:hAnsi="Arial" w:cs="Arial"/>
          <w:sz w:val="24"/>
          <w:szCs w:val="24"/>
        </w:rPr>
        <w:t xml:space="preserve"> În </w:t>
      </w:r>
      <w:r w:rsidR="006C72CC" w:rsidRPr="00DC2FB5">
        <w:rPr>
          <w:rFonts w:ascii="Arial" w:hAnsi="Arial" w:cs="Arial"/>
          <w:sz w:val="24"/>
          <w:szCs w:val="24"/>
        </w:rPr>
        <w:t xml:space="preserve">studiul </w:t>
      </w:r>
      <w:r w:rsidR="006C72CC" w:rsidRPr="00DC2FB5">
        <w:rPr>
          <w:rFonts w:ascii="Arial" w:hAnsi="Arial" w:cs="Arial"/>
          <w:i/>
          <w:sz w:val="24"/>
          <w:szCs w:val="24"/>
        </w:rPr>
        <w:t xml:space="preserve">Unde să </w:t>
      </w:r>
      <w:r w:rsidRPr="00DC2FB5">
        <w:rPr>
          <w:rFonts w:ascii="Arial" w:hAnsi="Arial" w:cs="Arial"/>
          <w:i/>
          <w:sz w:val="24"/>
          <w:szCs w:val="24"/>
        </w:rPr>
        <w:t>investi</w:t>
      </w:r>
      <w:r w:rsidR="006C72CC" w:rsidRPr="00DC2FB5">
        <w:rPr>
          <w:rFonts w:ascii="Arial" w:hAnsi="Arial" w:cs="Arial"/>
          <w:i/>
          <w:sz w:val="24"/>
          <w:szCs w:val="24"/>
        </w:rPr>
        <w:t xml:space="preserve">ţi în anul </w:t>
      </w:r>
      <w:r w:rsidRPr="00DC2FB5">
        <w:rPr>
          <w:rFonts w:ascii="Arial" w:hAnsi="Arial" w:cs="Arial"/>
          <w:i/>
          <w:sz w:val="24"/>
          <w:szCs w:val="24"/>
        </w:rPr>
        <w:t>2015,</w:t>
      </w:r>
      <w:r w:rsidRPr="00DC2FB5">
        <w:rPr>
          <w:rFonts w:ascii="Arial" w:hAnsi="Arial" w:cs="Arial"/>
          <w:sz w:val="24"/>
          <w:szCs w:val="24"/>
        </w:rPr>
        <w:t xml:space="preserve"> </w:t>
      </w:r>
      <w:r w:rsidR="006C72CC" w:rsidRPr="00DC2FB5">
        <w:rPr>
          <w:rFonts w:ascii="Arial" w:hAnsi="Arial" w:cs="Arial"/>
          <w:i/>
          <w:sz w:val="24"/>
          <w:szCs w:val="24"/>
        </w:rPr>
        <w:t>C</w:t>
      </w:r>
      <w:r w:rsidRPr="00DC2FB5">
        <w:rPr>
          <w:rFonts w:ascii="Arial" w:hAnsi="Arial" w:cs="Arial"/>
          <w:i/>
          <w:sz w:val="24"/>
          <w:szCs w:val="24"/>
        </w:rPr>
        <w:t xml:space="preserve">lasamentul </w:t>
      </w:r>
      <w:r w:rsidR="006A407B" w:rsidRPr="00DC2FB5">
        <w:rPr>
          <w:rFonts w:ascii="Arial" w:hAnsi="Arial" w:cs="Arial"/>
          <w:i/>
          <w:sz w:val="24"/>
          <w:szCs w:val="24"/>
        </w:rPr>
        <w:t>ţ</w:t>
      </w:r>
      <w:r w:rsidRPr="00DC2FB5">
        <w:rPr>
          <w:rFonts w:ascii="Arial" w:hAnsi="Arial" w:cs="Arial"/>
          <w:i/>
          <w:sz w:val="24"/>
          <w:szCs w:val="24"/>
        </w:rPr>
        <w:t>ărilor p</w:t>
      </w:r>
      <w:r w:rsidR="006C72CC" w:rsidRPr="00DC2FB5">
        <w:rPr>
          <w:rFonts w:ascii="Arial" w:hAnsi="Arial" w:cs="Arial"/>
          <w:i/>
          <w:sz w:val="24"/>
          <w:szCs w:val="24"/>
        </w:rPr>
        <w:t>rivind</w:t>
      </w:r>
      <w:r w:rsidRPr="00DC2FB5">
        <w:rPr>
          <w:rFonts w:ascii="Arial" w:hAnsi="Arial" w:cs="Arial"/>
          <w:i/>
          <w:sz w:val="24"/>
          <w:szCs w:val="24"/>
        </w:rPr>
        <w:t xml:space="preserve"> </w:t>
      </w:r>
      <w:r w:rsidR="006C72CC" w:rsidRPr="00DC2FB5">
        <w:rPr>
          <w:rFonts w:ascii="Arial" w:hAnsi="Arial" w:cs="Arial"/>
          <w:i/>
          <w:sz w:val="24"/>
          <w:szCs w:val="24"/>
        </w:rPr>
        <w:t>investiţiile în minerit</w:t>
      </w:r>
      <w:r w:rsidRPr="00DC2FB5">
        <w:rPr>
          <w:rFonts w:ascii="Arial" w:hAnsi="Arial" w:cs="Arial"/>
          <w:sz w:val="24"/>
          <w:szCs w:val="24"/>
        </w:rPr>
        <w:t xml:space="preserve">, studiu realizat de firma Behre </w:t>
      </w:r>
      <w:r w:rsidRPr="00DC2FB5">
        <w:rPr>
          <w:rFonts w:ascii="Arial" w:hAnsi="Arial" w:cs="Arial"/>
          <w:sz w:val="24"/>
          <w:szCs w:val="24"/>
        </w:rPr>
        <w:lastRenderedPageBreak/>
        <w:t>Dolbear,</w:t>
      </w:r>
      <w:r w:rsidR="004145E3">
        <w:rPr>
          <w:rFonts w:ascii="Arial" w:hAnsi="Arial" w:cs="Arial"/>
          <w:i/>
          <w:sz w:val="24"/>
          <w:szCs w:val="24"/>
        </w:rPr>
        <w:t xml:space="preserve"> </w:t>
      </w:r>
      <w:r w:rsidR="006A407B" w:rsidRPr="00DC2FB5">
        <w:rPr>
          <w:rFonts w:ascii="Arial" w:hAnsi="Arial" w:cs="Arial"/>
          <w:sz w:val="24"/>
          <w:szCs w:val="24"/>
        </w:rPr>
        <w:t>ţ</w:t>
      </w:r>
      <w:r w:rsidRPr="00DC2FB5">
        <w:rPr>
          <w:rFonts w:ascii="Arial" w:hAnsi="Arial" w:cs="Arial"/>
          <w:sz w:val="24"/>
          <w:szCs w:val="24"/>
        </w:rPr>
        <w:t>ara noastră apare</w:t>
      </w:r>
      <w:r w:rsidR="004145E3">
        <w:rPr>
          <w:rFonts w:ascii="Arial" w:hAnsi="Arial" w:cs="Arial"/>
          <w:sz w:val="24"/>
          <w:szCs w:val="24"/>
        </w:rPr>
        <w:t>,</w:t>
      </w:r>
      <w:r w:rsidR="00045E70">
        <w:rPr>
          <w:rFonts w:ascii="Arial" w:hAnsi="Arial" w:cs="Arial"/>
          <w:sz w:val="24"/>
          <w:szCs w:val="24"/>
        </w:rPr>
        <w:t xml:space="preserve"> iarăşi, </w:t>
      </w:r>
      <w:r w:rsidRPr="00DC2FB5">
        <w:rPr>
          <w:rFonts w:ascii="Arial" w:hAnsi="Arial" w:cs="Arial"/>
          <w:sz w:val="24"/>
          <w:szCs w:val="24"/>
        </w:rPr>
        <w:t>ca</w:t>
      </w:r>
      <w:r w:rsidR="006C72CC" w:rsidRPr="00DC2FB5">
        <w:rPr>
          <w:rFonts w:ascii="Arial" w:hAnsi="Arial" w:cs="Arial"/>
          <w:sz w:val="24"/>
          <w:szCs w:val="24"/>
        </w:rPr>
        <w:t xml:space="preserve"> </w:t>
      </w:r>
      <w:r w:rsidRPr="00DC2FB5">
        <w:rPr>
          <w:rFonts w:ascii="Arial" w:hAnsi="Arial" w:cs="Arial"/>
          <w:sz w:val="24"/>
          <w:szCs w:val="24"/>
        </w:rPr>
        <w:t xml:space="preserve">cea mai bună </w:t>
      </w:r>
      <w:r w:rsidR="006C72CC" w:rsidRPr="00DC2FB5">
        <w:rPr>
          <w:rFonts w:ascii="Arial" w:hAnsi="Arial" w:cs="Arial"/>
          <w:sz w:val="24"/>
          <w:szCs w:val="24"/>
        </w:rPr>
        <w:t xml:space="preserve">a 5-a </w:t>
      </w:r>
      <w:r w:rsidRPr="00DC2FB5">
        <w:rPr>
          <w:rFonts w:ascii="Arial" w:hAnsi="Arial" w:cs="Arial"/>
          <w:sz w:val="24"/>
          <w:szCs w:val="24"/>
        </w:rPr>
        <w:t>destina</w:t>
      </w:r>
      <w:r w:rsidR="006A407B" w:rsidRPr="00DC2FB5">
        <w:rPr>
          <w:rFonts w:ascii="Arial" w:hAnsi="Arial" w:cs="Arial"/>
          <w:sz w:val="24"/>
          <w:szCs w:val="24"/>
        </w:rPr>
        <w:t>ţ</w:t>
      </w:r>
      <w:r w:rsidRPr="00DC2FB5">
        <w:rPr>
          <w:rFonts w:ascii="Arial" w:hAnsi="Arial" w:cs="Arial"/>
          <w:sz w:val="24"/>
          <w:szCs w:val="24"/>
        </w:rPr>
        <w:t xml:space="preserve">ie </w:t>
      </w:r>
      <w:r w:rsidR="006C72CC" w:rsidRPr="00DC2FB5">
        <w:rPr>
          <w:rFonts w:ascii="Arial" w:hAnsi="Arial" w:cs="Arial"/>
          <w:sz w:val="24"/>
          <w:szCs w:val="24"/>
        </w:rPr>
        <w:t xml:space="preserve">pentru a investi în </w:t>
      </w:r>
      <w:r w:rsidRPr="00DC2FB5">
        <w:rPr>
          <w:rFonts w:ascii="Arial" w:hAnsi="Arial" w:cs="Arial"/>
          <w:sz w:val="24"/>
          <w:szCs w:val="24"/>
        </w:rPr>
        <w:t>minerit, cu un rating de 46,</w:t>
      </w:r>
      <w:r w:rsidR="006C72CC" w:rsidRPr="00DC2FB5">
        <w:rPr>
          <w:rFonts w:ascii="Arial" w:hAnsi="Arial" w:cs="Arial"/>
          <w:sz w:val="24"/>
          <w:szCs w:val="24"/>
        </w:rPr>
        <w:t xml:space="preserve"> </w:t>
      </w:r>
      <w:r w:rsidRPr="00DC2FB5">
        <w:rPr>
          <w:rFonts w:ascii="Arial" w:hAnsi="Arial" w:cs="Arial"/>
          <w:sz w:val="24"/>
          <w:szCs w:val="24"/>
        </w:rPr>
        <w:t xml:space="preserve">3, </w:t>
      </w:r>
      <w:r w:rsidR="006C72CC" w:rsidRPr="00DC2FB5">
        <w:rPr>
          <w:rFonts w:ascii="Arial" w:hAnsi="Arial" w:cs="Arial"/>
          <w:sz w:val="24"/>
          <w:szCs w:val="24"/>
        </w:rPr>
        <w:t xml:space="preserve">mai mare decât </w:t>
      </w:r>
      <w:r w:rsidRPr="00DC2FB5">
        <w:rPr>
          <w:rFonts w:ascii="Arial" w:hAnsi="Arial" w:cs="Arial"/>
          <w:sz w:val="24"/>
          <w:szCs w:val="24"/>
        </w:rPr>
        <w:t xml:space="preserve">46 puncte </w:t>
      </w:r>
      <w:r w:rsidR="006C72CC" w:rsidRPr="00DC2FB5">
        <w:rPr>
          <w:rFonts w:ascii="Arial" w:hAnsi="Arial" w:cs="Arial"/>
          <w:sz w:val="24"/>
          <w:szCs w:val="24"/>
        </w:rPr>
        <w:t>raportate</w:t>
      </w:r>
      <w:r w:rsidR="00F964E9" w:rsidRPr="00DC2FB5">
        <w:rPr>
          <w:rFonts w:ascii="Arial" w:hAnsi="Arial" w:cs="Arial"/>
          <w:sz w:val="24"/>
          <w:szCs w:val="24"/>
        </w:rPr>
        <w:t xml:space="preserve"> </w:t>
      </w:r>
      <w:r w:rsidR="006C72CC" w:rsidRPr="00DC2FB5">
        <w:rPr>
          <w:rFonts w:ascii="Arial" w:hAnsi="Arial" w:cs="Arial"/>
          <w:sz w:val="24"/>
          <w:szCs w:val="24"/>
        </w:rPr>
        <w:t>cu un an în urmă</w:t>
      </w:r>
      <w:r w:rsidR="006C72CC" w:rsidRPr="00DC2FB5">
        <w:rPr>
          <w:rStyle w:val="FootnoteReference"/>
          <w:rFonts w:ascii="Arial" w:hAnsi="Arial" w:cs="Arial"/>
          <w:sz w:val="24"/>
          <w:szCs w:val="24"/>
        </w:rPr>
        <w:footnoteReference w:id="1"/>
      </w:r>
      <w:r w:rsidR="006C72CC" w:rsidRPr="00DC2FB5">
        <w:rPr>
          <w:rFonts w:ascii="Arial" w:hAnsi="Arial" w:cs="Arial"/>
          <w:sz w:val="24"/>
          <w:szCs w:val="24"/>
        </w:rPr>
        <w:t xml:space="preserve">. </w:t>
      </w:r>
    </w:p>
    <w:p w:rsidR="00C00F4E" w:rsidRPr="00DC2FB5" w:rsidRDefault="00113DB7" w:rsidP="00DC2FB5">
      <w:pPr>
        <w:autoSpaceDE w:val="0"/>
        <w:autoSpaceDN w:val="0"/>
        <w:adjustRightInd w:val="0"/>
        <w:spacing w:after="0"/>
        <w:jc w:val="both"/>
        <w:rPr>
          <w:rFonts w:ascii="Arial" w:hAnsi="Arial" w:cs="Arial"/>
          <w:sz w:val="24"/>
          <w:szCs w:val="24"/>
        </w:rPr>
      </w:pPr>
      <w:r w:rsidRPr="00DC2FB5">
        <w:rPr>
          <w:rFonts w:ascii="Arial" w:hAnsi="Arial" w:cs="Arial"/>
        </w:rPr>
        <w:tab/>
      </w:r>
      <w:r w:rsidR="00E53D14" w:rsidRPr="00DC2FB5">
        <w:rPr>
          <w:rFonts w:ascii="Arial" w:hAnsi="Arial" w:cs="Arial"/>
          <w:sz w:val="24"/>
          <w:szCs w:val="24"/>
        </w:rPr>
        <w:t>La nivel macroeconomic, Mexic</w:t>
      </w:r>
      <w:r w:rsidR="006C72CC" w:rsidRPr="00DC2FB5">
        <w:rPr>
          <w:rFonts w:ascii="Arial" w:hAnsi="Arial" w:cs="Arial"/>
          <w:sz w:val="24"/>
          <w:szCs w:val="24"/>
        </w:rPr>
        <w:t xml:space="preserve">ul </w:t>
      </w:r>
      <w:r w:rsidR="00E53D14" w:rsidRPr="00DC2FB5">
        <w:rPr>
          <w:rFonts w:ascii="Arial" w:hAnsi="Arial" w:cs="Arial"/>
          <w:sz w:val="24"/>
          <w:szCs w:val="24"/>
        </w:rPr>
        <w:t xml:space="preserve">oferă stabilitate </w:t>
      </w:r>
      <w:r w:rsidR="006A407B" w:rsidRPr="00DC2FB5">
        <w:rPr>
          <w:rFonts w:ascii="Arial" w:hAnsi="Arial" w:cs="Arial"/>
          <w:sz w:val="24"/>
          <w:szCs w:val="24"/>
        </w:rPr>
        <w:t>ş</w:t>
      </w:r>
      <w:r w:rsidR="00E53D14" w:rsidRPr="00DC2FB5">
        <w:rPr>
          <w:rFonts w:ascii="Arial" w:hAnsi="Arial" w:cs="Arial"/>
          <w:sz w:val="24"/>
          <w:szCs w:val="24"/>
        </w:rPr>
        <w:t xml:space="preserve">i perspective </w:t>
      </w:r>
      <w:r w:rsidR="006C72CC" w:rsidRPr="00DC2FB5">
        <w:rPr>
          <w:rFonts w:ascii="Arial" w:hAnsi="Arial" w:cs="Arial"/>
          <w:sz w:val="24"/>
          <w:szCs w:val="24"/>
        </w:rPr>
        <w:t>de creştere de lungă durată</w:t>
      </w:r>
      <w:r w:rsidR="00E53D14" w:rsidRPr="00DC2FB5">
        <w:rPr>
          <w:rFonts w:ascii="Arial" w:hAnsi="Arial" w:cs="Arial"/>
          <w:sz w:val="24"/>
          <w:szCs w:val="24"/>
        </w:rPr>
        <w:t>; în 2015 infla</w:t>
      </w:r>
      <w:r w:rsidR="006A407B" w:rsidRPr="00DC2FB5">
        <w:rPr>
          <w:rFonts w:ascii="Arial" w:hAnsi="Arial" w:cs="Arial"/>
          <w:sz w:val="24"/>
          <w:szCs w:val="24"/>
        </w:rPr>
        <w:t>ţ</w:t>
      </w:r>
      <w:r w:rsidR="00E53D14" w:rsidRPr="00DC2FB5">
        <w:rPr>
          <w:rFonts w:ascii="Arial" w:hAnsi="Arial" w:cs="Arial"/>
          <w:sz w:val="24"/>
          <w:szCs w:val="24"/>
        </w:rPr>
        <w:t>i</w:t>
      </w:r>
      <w:r w:rsidR="006C72CC" w:rsidRPr="00DC2FB5">
        <w:rPr>
          <w:rFonts w:ascii="Arial" w:hAnsi="Arial" w:cs="Arial"/>
          <w:sz w:val="24"/>
          <w:szCs w:val="24"/>
        </w:rPr>
        <w:t xml:space="preserve">a, în </w:t>
      </w:r>
      <w:r w:rsidR="00E53D14" w:rsidRPr="00DC2FB5">
        <w:rPr>
          <w:rFonts w:ascii="Arial" w:hAnsi="Arial" w:cs="Arial"/>
          <w:sz w:val="24"/>
          <w:szCs w:val="24"/>
        </w:rPr>
        <w:t>economia na</w:t>
      </w:r>
      <w:r w:rsidR="006A407B" w:rsidRPr="00DC2FB5">
        <w:rPr>
          <w:rFonts w:ascii="Arial" w:hAnsi="Arial" w:cs="Arial"/>
          <w:sz w:val="24"/>
          <w:szCs w:val="24"/>
        </w:rPr>
        <w:t>ţ</w:t>
      </w:r>
      <w:r w:rsidR="00E53D14" w:rsidRPr="00DC2FB5">
        <w:rPr>
          <w:rFonts w:ascii="Arial" w:hAnsi="Arial" w:cs="Arial"/>
          <w:sz w:val="24"/>
          <w:szCs w:val="24"/>
        </w:rPr>
        <w:t xml:space="preserve">ională a </w:t>
      </w:r>
      <w:r w:rsidR="006C72CC" w:rsidRPr="00DC2FB5">
        <w:rPr>
          <w:rFonts w:ascii="Arial" w:hAnsi="Arial" w:cs="Arial"/>
          <w:sz w:val="24"/>
          <w:szCs w:val="24"/>
        </w:rPr>
        <w:t xml:space="preserve">fost de 2,1%, sub </w:t>
      </w:r>
      <w:r w:rsidR="00E53D14" w:rsidRPr="00DC2FB5">
        <w:rPr>
          <w:rFonts w:ascii="Arial" w:hAnsi="Arial" w:cs="Arial"/>
          <w:sz w:val="24"/>
          <w:szCs w:val="24"/>
        </w:rPr>
        <w:t>nivelul-</w:t>
      </w:r>
      <w:r w:rsidR="006A407B" w:rsidRPr="00DC2FB5">
        <w:rPr>
          <w:rFonts w:ascii="Arial" w:hAnsi="Arial" w:cs="Arial"/>
          <w:sz w:val="24"/>
          <w:szCs w:val="24"/>
        </w:rPr>
        <w:t>ţ</w:t>
      </w:r>
      <w:r w:rsidR="00E53D14" w:rsidRPr="00DC2FB5">
        <w:rPr>
          <w:rFonts w:ascii="Arial" w:hAnsi="Arial" w:cs="Arial"/>
          <w:sz w:val="24"/>
          <w:szCs w:val="24"/>
        </w:rPr>
        <w:t>intă st</w:t>
      </w:r>
      <w:r w:rsidR="006C72CC" w:rsidRPr="00DC2FB5">
        <w:rPr>
          <w:rFonts w:ascii="Arial" w:hAnsi="Arial" w:cs="Arial"/>
          <w:sz w:val="24"/>
          <w:szCs w:val="24"/>
        </w:rPr>
        <w:t xml:space="preserve">abilit de Banco de México </w:t>
      </w:r>
      <w:r w:rsidR="00E53D14" w:rsidRPr="00DC2FB5">
        <w:rPr>
          <w:rFonts w:ascii="Arial" w:hAnsi="Arial" w:cs="Arial"/>
          <w:sz w:val="24"/>
          <w:szCs w:val="24"/>
        </w:rPr>
        <w:t>(3%). Iar în ceea ce prive</w:t>
      </w:r>
      <w:r w:rsidR="006A407B" w:rsidRPr="00DC2FB5">
        <w:rPr>
          <w:rFonts w:ascii="Arial" w:hAnsi="Arial" w:cs="Arial"/>
          <w:sz w:val="24"/>
          <w:szCs w:val="24"/>
        </w:rPr>
        <w:t>ş</w:t>
      </w:r>
      <w:r w:rsidR="00E53D14" w:rsidRPr="00DC2FB5">
        <w:rPr>
          <w:rFonts w:ascii="Arial" w:hAnsi="Arial" w:cs="Arial"/>
          <w:sz w:val="24"/>
          <w:szCs w:val="24"/>
        </w:rPr>
        <w:t>te cre</w:t>
      </w:r>
      <w:r w:rsidR="006A407B" w:rsidRPr="00DC2FB5">
        <w:rPr>
          <w:rFonts w:ascii="Arial" w:hAnsi="Arial" w:cs="Arial"/>
          <w:sz w:val="24"/>
          <w:szCs w:val="24"/>
        </w:rPr>
        <w:t>ş</w:t>
      </w:r>
      <w:r w:rsidR="00E53D14" w:rsidRPr="00DC2FB5">
        <w:rPr>
          <w:rFonts w:ascii="Arial" w:hAnsi="Arial" w:cs="Arial"/>
          <w:sz w:val="24"/>
          <w:szCs w:val="24"/>
        </w:rPr>
        <w:t>terea, potrivit</w:t>
      </w:r>
      <w:r w:rsidR="006C72CC" w:rsidRPr="00DC2FB5">
        <w:rPr>
          <w:rFonts w:ascii="Arial" w:hAnsi="Arial" w:cs="Arial"/>
          <w:sz w:val="24"/>
          <w:szCs w:val="24"/>
        </w:rPr>
        <w:t xml:space="preserve"> celor </w:t>
      </w:r>
      <w:r w:rsidR="00E53D14" w:rsidRPr="00DC2FB5">
        <w:rPr>
          <w:rFonts w:ascii="Arial" w:hAnsi="Arial" w:cs="Arial"/>
          <w:sz w:val="24"/>
          <w:szCs w:val="24"/>
        </w:rPr>
        <w:t xml:space="preserve">mai recente previziuni ale FMI, </w:t>
      </w:r>
      <w:r w:rsidR="006A407B" w:rsidRPr="00DC2FB5">
        <w:rPr>
          <w:rFonts w:ascii="Arial" w:hAnsi="Arial" w:cs="Arial"/>
          <w:sz w:val="24"/>
          <w:szCs w:val="24"/>
        </w:rPr>
        <w:t>ţ</w:t>
      </w:r>
      <w:r w:rsidR="006C72CC" w:rsidRPr="00DC2FB5">
        <w:rPr>
          <w:rFonts w:ascii="Arial" w:hAnsi="Arial" w:cs="Arial"/>
          <w:sz w:val="24"/>
          <w:szCs w:val="24"/>
        </w:rPr>
        <w:t xml:space="preserve">ara noastră </w:t>
      </w:r>
      <w:r w:rsidR="00E53D14" w:rsidRPr="00DC2FB5">
        <w:rPr>
          <w:rFonts w:ascii="Arial" w:hAnsi="Arial" w:cs="Arial"/>
          <w:sz w:val="24"/>
          <w:szCs w:val="24"/>
        </w:rPr>
        <w:t>va cre</w:t>
      </w:r>
      <w:r w:rsidR="006A407B" w:rsidRPr="00DC2FB5">
        <w:rPr>
          <w:rFonts w:ascii="Arial" w:hAnsi="Arial" w:cs="Arial"/>
          <w:sz w:val="24"/>
          <w:szCs w:val="24"/>
        </w:rPr>
        <w:t>ş</w:t>
      </w:r>
      <w:r w:rsidR="006C72CC" w:rsidRPr="00DC2FB5">
        <w:rPr>
          <w:rFonts w:ascii="Arial" w:hAnsi="Arial" w:cs="Arial"/>
          <w:sz w:val="24"/>
          <w:szCs w:val="24"/>
        </w:rPr>
        <w:t xml:space="preserve">te cu o rată medie anuală de </w:t>
      </w:r>
      <w:r w:rsidR="00E53D14" w:rsidRPr="00DC2FB5">
        <w:rPr>
          <w:rFonts w:ascii="Arial" w:hAnsi="Arial" w:cs="Arial"/>
          <w:sz w:val="24"/>
          <w:szCs w:val="24"/>
        </w:rPr>
        <w:t>3,</w:t>
      </w:r>
      <w:r w:rsidR="006C72CC" w:rsidRPr="00DC2FB5">
        <w:rPr>
          <w:rFonts w:ascii="Arial" w:hAnsi="Arial" w:cs="Arial"/>
          <w:sz w:val="24"/>
          <w:szCs w:val="24"/>
        </w:rPr>
        <w:t xml:space="preserve"> </w:t>
      </w:r>
      <w:r w:rsidR="00E53D14" w:rsidRPr="00DC2FB5">
        <w:rPr>
          <w:rFonts w:ascii="Arial" w:hAnsi="Arial" w:cs="Arial"/>
          <w:sz w:val="24"/>
          <w:szCs w:val="24"/>
        </w:rPr>
        <w:t>2% în perioada 2016-2020, un nivel</w:t>
      </w:r>
      <w:r w:rsidR="006C72CC" w:rsidRPr="00DC2FB5">
        <w:rPr>
          <w:rFonts w:ascii="Arial" w:hAnsi="Arial" w:cs="Arial"/>
          <w:sz w:val="24"/>
          <w:szCs w:val="24"/>
        </w:rPr>
        <w:t xml:space="preserve"> deasupra celui estimat pentru regiunea Americii Latine </w:t>
      </w:r>
      <w:r w:rsidR="00E53D14" w:rsidRPr="00DC2FB5">
        <w:rPr>
          <w:rFonts w:ascii="Arial" w:hAnsi="Arial" w:cs="Arial"/>
          <w:sz w:val="24"/>
          <w:szCs w:val="24"/>
        </w:rPr>
        <w:t>în ansamblu (2,</w:t>
      </w:r>
      <w:r w:rsidR="00045E70">
        <w:rPr>
          <w:rFonts w:ascii="Arial" w:hAnsi="Arial" w:cs="Arial"/>
          <w:sz w:val="24"/>
          <w:szCs w:val="24"/>
        </w:rPr>
        <w:t xml:space="preserve"> </w:t>
      </w:r>
      <w:r w:rsidR="00E53D14" w:rsidRPr="00DC2FB5">
        <w:rPr>
          <w:rFonts w:ascii="Arial" w:hAnsi="Arial" w:cs="Arial"/>
          <w:sz w:val="24"/>
          <w:szCs w:val="24"/>
        </w:rPr>
        <w:t xml:space="preserve">2%) </w:t>
      </w:r>
      <w:r w:rsidR="006A407B" w:rsidRPr="00DC2FB5">
        <w:rPr>
          <w:rFonts w:ascii="Arial" w:hAnsi="Arial" w:cs="Arial"/>
          <w:sz w:val="24"/>
          <w:szCs w:val="24"/>
        </w:rPr>
        <w:t>ş</w:t>
      </w:r>
      <w:r w:rsidR="006C72CC" w:rsidRPr="00DC2FB5">
        <w:rPr>
          <w:rFonts w:ascii="Arial" w:hAnsi="Arial" w:cs="Arial"/>
          <w:sz w:val="24"/>
          <w:szCs w:val="24"/>
        </w:rPr>
        <w:t xml:space="preserve">i </w:t>
      </w:r>
      <w:r w:rsidR="00E53D14" w:rsidRPr="00DC2FB5">
        <w:rPr>
          <w:rFonts w:ascii="Arial" w:hAnsi="Arial" w:cs="Arial"/>
          <w:sz w:val="24"/>
          <w:szCs w:val="24"/>
        </w:rPr>
        <w:t>peste rata de cre</w:t>
      </w:r>
      <w:r w:rsidR="006A407B" w:rsidRPr="00DC2FB5">
        <w:rPr>
          <w:rFonts w:ascii="Arial" w:hAnsi="Arial" w:cs="Arial"/>
          <w:sz w:val="24"/>
          <w:szCs w:val="24"/>
        </w:rPr>
        <w:t>ş</w:t>
      </w:r>
      <w:r w:rsidR="00E53D14" w:rsidRPr="00DC2FB5">
        <w:rPr>
          <w:rFonts w:ascii="Arial" w:hAnsi="Arial" w:cs="Arial"/>
          <w:sz w:val="24"/>
          <w:szCs w:val="24"/>
        </w:rPr>
        <w:t xml:space="preserve">tere </w:t>
      </w:r>
      <w:r w:rsidR="006C72CC" w:rsidRPr="00DC2FB5">
        <w:rPr>
          <w:rFonts w:ascii="Arial" w:hAnsi="Arial" w:cs="Arial"/>
          <w:sz w:val="24"/>
          <w:szCs w:val="24"/>
        </w:rPr>
        <w:t>estim</w:t>
      </w:r>
      <w:r w:rsidR="00E53D14" w:rsidRPr="00DC2FB5">
        <w:rPr>
          <w:rFonts w:ascii="Arial" w:hAnsi="Arial" w:cs="Arial"/>
          <w:sz w:val="24"/>
          <w:szCs w:val="24"/>
        </w:rPr>
        <w:t xml:space="preserve">ată pentru </w:t>
      </w:r>
      <w:r w:rsidR="006C72CC" w:rsidRPr="00DC2FB5">
        <w:rPr>
          <w:rFonts w:ascii="Arial" w:hAnsi="Arial" w:cs="Arial"/>
          <w:sz w:val="24"/>
          <w:szCs w:val="24"/>
        </w:rPr>
        <w:t xml:space="preserve">ţările dezvoltate </w:t>
      </w:r>
      <w:r w:rsidR="00E53D14" w:rsidRPr="00DC2FB5">
        <w:rPr>
          <w:rFonts w:ascii="Arial" w:hAnsi="Arial" w:cs="Arial"/>
          <w:sz w:val="24"/>
          <w:szCs w:val="24"/>
        </w:rPr>
        <w:t>(2,</w:t>
      </w:r>
      <w:r w:rsidR="00045E70">
        <w:rPr>
          <w:rFonts w:ascii="Arial" w:hAnsi="Arial" w:cs="Arial"/>
          <w:sz w:val="24"/>
          <w:szCs w:val="24"/>
        </w:rPr>
        <w:t xml:space="preserve"> </w:t>
      </w:r>
      <w:r w:rsidR="00E53D14" w:rsidRPr="00DC2FB5">
        <w:rPr>
          <w:rFonts w:ascii="Arial" w:hAnsi="Arial" w:cs="Arial"/>
          <w:sz w:val="24"/>
          <w:szCs w:val="24"/>
        </w:rPr>
        <w:t>1%).</w:t>
      </w:r>
    </w:p>
    <w:p w:rsidR="00E53D14" w:rsidRPr="00DC2FB5" w:rsidRDefault="00113DB7" w:rsidP="00DC2FB5">
      <w:pPr>
        <w:autoSpaceDE w:val="0"/>
        <w:autoSpaceDN w:val="0"/>
        <w:adjustRightInd w:val="0"/>
        <w:spacing w:after="0"/>
        <w:jc w:val="both"/>
        <w:rPr>
          <w:rFonts w:ascii="Arial" w:hAnsi="Arial" w:cs="Arial"/>
          <w:sz w:val="24"/>
          <w:szCs w:val="24"/>
        </w:rPr>
      </w:pPr>
      <w:r w:rsidRPr="00DC2FB5">
        <w:rPr>
          <w:rFonts w:ascii="Arial" w:hAnsi="Arial" w:cs="Arial"/>
          <w:sz w:val="24"/>
          <w:szCs w:val="24"/>
        </w:rPr>
        <w:tab/>
      </w:r>
      <w:r w:rsidR="00E53D14" w:rsidRPr="00DC2FB5">
        <w:rPr>
          <w:rFonts w:ascii="Arial" w:hAnsi="Arial" w:cs="Arial"/>
          <w:sz w:val="24"/>
          <w:szCs w:val="24"/>
        </w:rPr>
        <w:t>Alte avantaje mari pe care Mexic</w:t>
      </w:r>
      <w:r w:rsidR="006C72CC" w:rsidRPr="00DC2FB5">
        <w:rPr>
          <w:rFonts w:ascii="Arial" w:hAnsi="Arial" w:cs="Arial"/>
          <w:sz w:val="24"/>
          <w:szCs w:val="24"/>
        </w:rPr>
        <w:t xml:space="preserve">ul le oferă </w:t>
      </w:r>
      <w:r w:rsidR="00E53D14" w:rsidRPr="00DC2FB5">
        <w:rPr>
          <w:rFonts w:ascii="Arial" w:hAnsi="Arial" w:cs="Arial"/>
          <w:sz w:val="24"/>
          <w:szCs w:val="24"/>
        </w:rPr>
        <w:t>sunt condi</w:t>
      </w:r>
      <w:r w:rsidR="006A407B" w:rsidRPr="00DC2FB5">
        <w:rPr>
          <w:rFonts w:ascii="Arial" w:hAnsi="Arial" w:cs="Arial"/>
          <w:sz w:val="24"/>
          <w:szCs w:val="24"/>
        </w:rPr>
        <w:t>ţ</w:t>
      </w:r>
      <w:r w:rsidR="00E53D14" w:rsidRPr="00DC2FB5">
        <w:rPr>
          <w:rFonts w:ascii="Arial" w:hAnsi="Arial" w:cs="Arial"/>
          <w:sz w:val="24"/>
          <w:szCs w:val="24"/>
        </w:rPr>
        <w:t>ii</w:t>
      </w:r>
      <w:r w:rsidR="006C72CC" w:rsidRPr="00DC2FB5">
        <w:rPr>
          <w:rFonts w:ascii="Arial" w:hAnsi="Arial" w:cs="Arial"/>
          <w:sz w:val="24"/>
          <w:szCs w:val="24"/>
        </w:rPr>
        <w:t>le</w:t>
      </w:r>
      <w:r w:rsidR="00E53D14" w:rsidRPr="00DC2FB5">
        <w:rPr>
          <w:rFonts w:ascii="Arial" w:hAnsi="Arial" w:cs="Arial"/>
          <w:sz w:val="24"/>
          <w:szCs w:val="24"/>
        </w:rPr>
        <w:t xml:space="preserve"> competitive în </w:t>
      </w:r>
      <w:r w:rsidR="006C72CC" w:rsidRPr="00DC2FB5">
        <w:rPr>
          <w:rFonts w:ascii="Arial" w:hAnsi="Arial" w:cs="Arial"/>
          <w:sz w:val="24"/>
          <w:szCs w:val="24"/>
        </w:rPr>
        <w:t xml:space="preserve">ceea ce priveşte </w:t>
      </w:r>
      <w:r w:rsidR="00E53D14" w:rsidRPr="00DC2FB5">
        <w:rPr>
          <w:rFonts w:ascii="Arial" w:hAnsi="Arial" w:cs="Arial"/>
          <w:sz w:val="24"/>
          <w:szCs w:val="24"/>
        </w:rPr>
        <w:t>costuril</w:t>
      </w:r>
      <w:r w:rsidR="006C72CC" w:rsidRPr="00DC2FB5">
        <w:rPr>
          <w:rFonts w:ascii="Arial" w:hAnsi="Arial" w:cs="Arial"/>
          <w:sz w:val="24"/>
          <w:szCs w:val="24"/>
        </w:rPr>
        <w:t>e</w:t>
      </w:r>
      <w:r w:rsidR="00E53D14" w:rsidRPr="00DC2FB5">
        <w:rPr>
          <w:rFonts w:ascii="Arial" w:hAnsi="Arial" w:cs="Arial"/>
          <w:sz w:val="24"/>
          <w:szCs w:val="24"/>
        </w:rPr>
        <w:t xml:space="preserve">. </w:t>
      </w:r>
      <w:r w:rsidR="00F964E9" w:rsidRPr="00DC2FB5">
        <w:rPr>
          <w:rFonts w:ascii="Arial" w:hAnsi="Arial" w:cs="Arial"/>
          <w:sz w:val="24"/>
          <w:szCs w:val="24"/>
        </w:rPr>
        <w:t xml:space="preserve">Analizând un </w:t>
      </w:r>
      <w:r w:rsidR="00E53D14" w:rsidRPr="00DC2FB5">
        <w:rPr>
          <w:rFonts w:ascii="Arial" w:hAnsi="Arial" w:cs="Arial"/>
          <w:sz w:val="24"/>
          <w:szCs w:val="24"/>
        </w:rPr>
        <w:t>e</w:t>
      </w:r>
      <w:r w:rsidR="006A407B" w:rsidRPr="00DC2FB5">
        <w:rPr>
          <w:rFonts w:ascii="Arial" w:hAnsi="Arial" w:cs="Arial"/>
          <w:sz w:val="24"/>
          <w:szCs w:val="24"/>
        </w:rPr>
        <w:t>ş</w:t>
      </w:r>
      <w:r w:rsidR="006C72CC" w:rsidRPr="00DC2FB5">
        <w:rPr>
          <w:rFonts w:ascii="Arial" w:hAnsi="Arial" w:cs="Arial"/>
          <w:sz w:val="24"/>
          <w:szCs w:val="24"/>
        </w:rPr>
        <w:t xml:space="preserve">antion de 19 </w:t>
      </w:r>
      <w:r w:rsidR="00E53D14" w:rsidRPr="00DC2FB5">
        <w:rPr>
          <w:rFonts w:ascii="Arial" w:hAnsi="Arial" w:cs="Arial"/>
          <w:sz w:val="24"/>
          <w:szCs w:val="24"/>
        </w:rPr>
        <w:t xml:space="preserve">mine în exploatare în diferite </w:t>
      </w:r>
      <w:r w:rsidR="006A407B" w:rsidRPr="00DC2FB5">
        <w:rPr>
          <w:rFonts w:ascii="Arial" w:hAnsi="Arial" w:cs="Arial"/>
          <w:sz w:val="24"/>
          <w:szCs w:val="24"/>
        </w:rPr>
        <w:t>ţ</w:t>
      </w:r>
      <w:r w:rsidR="001E3D49" w:rsidRPr="00DC2FB5">
        <w:rPr>
          <w:rFonts w:ascii="Arial" w:hAnsi="Arial" w:cs="Arial"/>
          <w:sz w:val="24"/>
          <w:szCs w:val="24"/>
        </w:rPr>
        <w:t xml:space="preserve">ări, </w:t>
      </w:r>
      <w:r w:rsidR="00E53D14" w:rsidRPr="00DC2FB5">
        <w:rPr>
          <w:rFonts w:ascii="Arial" w:hAnsi="Arial" w:cs="Arial"/>
          <w:sz w:val="24"/>
          <w:szCs w:val="24"/>
        </w:rPr>
        <w:t xml:space="preserve">cinci dintre ele în Mexic </w:t>
      </w:r>
      <w:r w:rsidR="001E3D49" w:rsidRPr="00DC2FB5">
        <w:rPr>
          <w:rFonts w:ascii="Arial" w:hAnsi="Arial" w:cs="Arial"/>
          <w:sz w:val="24"/>
          <w:szCs w:val="24"/>
        </w:rPr>
        <w:t xml:space="preserve">(vezi graficul de mai jos), </w:t>
      </w:r>
      <w:r w:rsidR="00E53D14" w:rsidRPr="00DC2FB5">
        <w:rPr>
          <w:rFonts w:ascii="Arial" w:hAnsi="Arial" w:cs="Arial"/>
          <w:sz w:val="24"/>
          <w:szCs w:val="24"/>
        </w:rPr>
        <w:t xml:space="preserve">putem </w:t>
      </w:r>
      <w:r w:rsidR="001E3D49" w:rsidRPr="00DC2FB5">
        <w:rPr>
          <w:rFonts w:ascii="Arial" w:hAnsi="Arial" w:cs="Arial"/>
          <w:sz w:val="24"/>
          <w:szCs w:val="24"/>
        </w:rPr>
        <w:t>observa</w:t>
      </w:r>
      <w:r w:rsidR="00E53D14" w:rsidRPr="00DC2FB5">
        <w:rPr>
          <w:rFonts w:ascii="Arial" w:hAnsi="Arial" w:cs="Arial"/>
          <w:sz w:val="24"/>
          <w:szCs w:val="24"/>
        </w:rPr>
        <w:t xml:space="preserve"> că majoritatea întreprinderilor</w:t>
      </w:r>
      <w:r w:rsidR="001E3D49" w:rsidRPr="00DC2FB5">
        <w:rPr>
          <w:rFonts w:ascii="Arial" w:hAnsi="Arial" w:cs="Arial"/>
          <w:sz w:val="24"/>
          <w:szCs w:val="24"/>
        </w:rPr>
        <w:t xml:space="preserve"> di</w:t>
      </w:r>
      <w:r w:rsidR="00E53D14" w:rsidRPr="00DC2FB5">
        <w:rPr>
          <w:rFonts w:ascii="Arial" w:hAnsi="Arial" w:cs="Arial"/>
          <w:sz w:val="24"/>
          <w:szCs w:val="24"/>
        </w:rPr>
        <w:t xml:space="preserve">n </w:t>
      </w:r>
      <w:r w:rsidR="006A407B" w:rsidRPr="00DC2FB5">
        <w:rPr>
          <w:rFonts w:ascii="Arial" w:hAnsi="Arial" w:cs="Arial"/>
          <w:sz w:val="24"/>
          <w:szCs w:val="24"/>
        </w:rPr>
        <w:t>ţ</w:t>
      </w:r>
      <w:r w:rsidR="001E3D49" w:rsidRPr="00DC2FB5">
        <w:rPr>
          <w:rFonts w:ascii="Arial" w:hAnsi="Arial" w:cs="Arial"/>
          <w:sz w:val="24"/>
          <w:szCs w:val="24"/>
        </w:rPr>
        <w:t xml:space="preserve">ara noastră </w:t>
      </w:r>
      <w:r w:rsidR="00F964E9" w:rsidRPr="00DC2FB5">
        <w:rPr>
          <w:rFonts w:ascii="Arial" w:hAnsi="Arial" w:cs="Arial"/>
          <w:sz w:val="24"/>
          <w:szCs w:val="24"/>
        </w:rPr>
        <w:t>(</w:t>
      </w:r>
      <w:r w:rsidR="00E53D14" w:rsidRPr="00DC2FB5">
        <w:rPr>
          <w:rFonts w:ascii="Arial" w:hAnsi="Arial" w:cs="Arial"/>
          <w:sz w:val="24"/>
          <w:szCs w:val="24"/>
        </w:rPr>
        <w:t>marcate în verde</w:t>
      </w:r>
      <w:r w:rsidR="00F964E9" w:rsidRPr="00DC2FB5">
        <w:rPr>
          <w:rFonts w:ascii="Arial" w:hAnsi="Arial" w:cs="Arial"/>
          <w:sz w:val="24"/>
          <w:szCs w:val="24"/>
        </w:rPr>
        <w:t xml:space="preserve">) </w:t>
      </w:r>
      <w:r w:rsidR="00E53D14" w:rsidRPr="00DC2FB5">
        <w:rPr>
          <w:rFonts w:ascii="Arial" w:hAnsi="Arial" w:cs="Arial"/>
          <w:sz w:val="24"/>
          <w:szCs w:val="24"/>
        </w:rPr>
        <w:t>sunt</w:t>
      </w:r>
      <w:r w:rsidR="001E3D49" w:rsidRPr="00DC2FB5">
        <w:rPr>
          <w:rFonts w:ascii="Arial" w:hAnsi="Arial" w:cs="Arial"/>
          <w:sz w:val="24"/>
          <w:szCs w:val="24"/>
        </w:rPr>
        <w:t xml:space="preserve"> </w:t>
      </w:r>
      <w:r w:rsidR="00E53D14" w:rsidRPr="00DC2FB5">
        <w:rPr>
          <w:rFonts w:ascii="Arial" w:hAnsi="Arial" w:cs="Arial"/>
          <w:sz w:val="24"/>
          <w:szCs w:val="24"/>
        </w:rPr>
        <w:t>printre cele cu cele mai mici costuri, în</w:t>
      </w:r>
      <w:r w:rsidR="001E3D49" w:rsidRPr="00DC2FB5">
        <w:rPr>
          <w:rFonts w:ascii="Arial" w:hAnsi="Arial" w:cs="Arial"/>
          <w:sz w:val="24"/>
          <w:szCs w:val="24"/>
        </w:rPr>
        <w:t xml:space="preserve"> </w:t>
      </w:r>
      <w:r w:rsidR="00E53D14" w:rsidRPr="00DC2FB5">
        <w:rPr>
          <w:rFonts w:ascii="Arial" w:hAnsi="Arial" w:cs="Arial"/>
          <w:sz w:val="24"/>
          <w:szCs w:val="24"/>
        </w:rPr>
        <w:t>ceea ce prive</w:t>
      </w:r>
      <w:r w:rsidR="006A407B" w:rsidRPr="00DC2FB5">
        <w:rPr>
          <w:rFonts w:ascii="Arial" w:hAnsi="Arial" w:cs="Arial"/>
          <w:sz w:val="24"/>
          <w:szCs w:val="24"/>
        </w:rPr>
        <w:t>ş</w:t>
      </w:r>
      <w:r w:rsidR="00E53D14" w:rsidRPr="00DC2FB5">
        <w:rPr>
          <w:rFonts w:ascii="Arial" w:hAnsi="Arial" w:cs="Arial"/>
          <w:sz w:val="24"/>
          <w:szCs w:val="24"/>
        </w:rPr>
        <w:t>te costu</w:t>
      </w:r>
      <w:r w:rsidR="00F964E9" w:rsidRPr="00DC2FB5">
        <w:rPr>
          <w:rFonts w:ascii="Arial" w:hAnsi="Arial" w:cs="Arial"/>
          <w:sz w:val="24"/>
          <w:szCs w:val="24"/>
        </w:rPr>
        <w:t>rile</w:t>
      </w:r>
      <w:r w:rsidR="00E53D14" w:rsidRPr="00DC2FB5">
        <w:rPr>
          <w:rFonts w:ascii="Arial" w:hAnsi="Arial" w:cs="Arial"/>
          <w:sz w:val="24"/>
          <w:szCs w:val="24"/>
        </w:rPr>
        <w:t xml:space="preserve"> </w:t>
      </w:r>
      <w:r w:rsidR="001E3D49" w:rsidRPr="00DC2FB5">
        <w:rPr>
          <w:rFonts w:ascii="Arial" w:hAnsi="Arial" w:cs="Arial"/>
          <w:sz w:val="24"/>
          <w:szCs w:val="24"/>
        </w:rPr>
        <w:t xml:space="preserve">în </w:t>
      </w:r>
      <w:r w:rsidR="00E53D14" w:rsidRPr="00DC2FB5">
        <w:rPr>
          <w:rFonts w:ascii="Arial" w:hAnsi="Arial" w:cs="Arial"/>
          <w:sz w:val="24"/>
          <w:szCs w:val="24"/>
        </w:rPr>
        <w:t>numerar.</w:t>
      </w:r>
    </w:p>
    <w:p w:rsidR="00E53D14" w:rsidRPr="00DC2FB5" w:rsidRDefault="00F964E9" w:rsidP="00DC2FB5">
      <w:pPr>
        <w:autoSpaceDE w:val="0"/>
        <w:autoSpaceDN w:val="0"/>
        <w:adjustRightInd w:val="0"/>
        <w:spacing w:after="0"/>
        <w:jc w:val="both"/>
        <w:rPr>
          <w:rFonts w:ascii="Arial" w:hAnsi="Arial" w:cs="Arial"/>
          <w:sz w:val="24"/>
          <w:szCs w:val="24"/>
        </w:rPr>
      </w:pPr>
      <w:r w:rsidRPr="00DC2FB5">
        <w:rPr>
          <w:rFonts w:ascii="Arial" w:hAnsi="Arial" w:cs="Arial"/>
          <w:sz w:val="24"/>
          <w:szCs w:val="24"/>
        </w:rPr>
        <w:tab/>
      </w:r>
      <w:r w:rsidR="00113DB7" w:rsidRPr="00DC2FB5">
        <w:rPr>
          <w:rFonts w:ascii="Arial" w:hAnsi="Arial" w:cs="Arial"/>
          <w:sz w:val="24"/>
          <w:szCs w:val="24"/>
        </w:rPr>
        <w:t xml:space="preserve">Un rezultat important </w:t>
      </w:r>
      <w:r w:rsidR="00113DB7" w:rsidRPr="00DC2FB5">
        <w:rPr>
          <w:rFonts w:ascii="Arial" w:hAnsi="Arial" w:cs="Arial"/>
          <w:sz w:val="24"/>
          <w:szCs w:val="24"/>
          <w:lang w:val="ro-RO"/>
        </w:rPr>
        <w:t>şi</w:t>
      </w:r>
      <w:r w:rsidR="00113DB7" w:rsidRPr="00DC2FB5">
        <w:rPr>
          <w:rFonts w:ascii="Arial" w:hAnsi="Arial" w:cs="Arial"/>
          <w:sz w:val="24"/>
          <w:szCs w:val="24"/>
        </w:rPr>
        <w:t xml:space="preserve"> de impact a</w:t>
      </w:r>
      <w:r w:rsidR="00E53D14" w:rsidRPr="00DC2FB5">
        <w:rPr>
          <w:rFonts w:ascii="Arial" w:hAnsi="Arial" w:cs="Arial"/>
          <w:sz w:val="24"/>
          <w:szCs w:val="24"/>
        </w:rPr>
        <w:t xml:space="preserve"> fost reducerea pre</w:t>
      </w:r>
      <w:r w:rsidR="006A407B" w:rsidRPr="00DC2FB5">
        <w:rPr>
          <w:rFonts w:ascii="Arial" w:hAnsi="Arial" w:cs="Arial"/>
          <w:sz w:val="24"/>
          <w:szCs w:val="24"/>
        </w:rPr>
        <w:t>ţ</w:t>
      </w:r>
      <w:r w:rsidR="00E53D14" w:rsidRPr="00DC2FB5">
        <w:rPr>
          <w:rFonts w:ascii="Arial" w:hAnsi="Arial" w:cs="Arial"/>
          <w:sz w:val="24"/>
          <w:szCs w:val="24"/>
        </w:rPr>
        <w:t>urilor energiei electrice,</w:t>
      </w:r>
    </w:p>
    <w:p w:rsidR="00C00F4E" w:rsidRPr="00DC2FB5" w:rsidRDefault="00E53D14" w:rsidP="00DC2FB5">
      <w:pPr>
        <w:autoSpaceDE w:val="0"/>
        <w:autoSpaceDN w:val="0"/>
        <w:adjustRightInd w:val="0"/>
        <w:spacing w:after="0"/>
        <w:jc w:val="both"/>
        <w:rPr>
          <w:rFonts w:ascii="Arial" w:hAnsi="Arial" w:cs="Arial"/>
          <w:sz w:val="24"/>
          <w:szCs w:val="24"/>
        </w:rPr>
      </w:pPr>
      <w:r w:rsidRPr="00DC2FB5">
        <w:rPr>
          <w:rFonts w:ascii="Arial" w:hAnsi="Arial" w:cs="Arial"/>
          <w:sz w:val="24"/>
          <w:szCs w:val="24"/>
        </w:rPr>
        <w:t>o contribu</w:t>
      </w:r>
      <w:r w:rsidR="006A407B" w:rsidRPr="00DC2FB5">
        <w:rPr>
          <w:rFonts w:ascii="Arial" w:hAnsi="Arial" w:cs="Arial"/>
          <w:sz w:val="24"/>
          <w:szCs w:val="24"/>
        </w:rPr>
        <w:t>ţ</w:t>
      </w:r>
      <w:r w:rsidRPr="00DC2FB5">
        <w:rPr>
          <w:rFonts w:ascii="Arial" w:hAnsi="Arial" w:cs="Arial"/>
          <w:sz w:val="24"/>
          <w:szCs w:val="24"/>
        </w:rPr>
        <w:t>ie imp</w:t>
      </w:r>
      <w:r w:rsidR="001E3D49" w:rsidRPr="00DC2FB5">
        <w:rPr>
          <w:rFonts w:ascii="Arial" w:hAnsi="Arial" w:cs="Arial"/>
          <w:sz w:val="24"/>
          <w:szCs w:val="24"/>
        </w:rPr>
        <w:t xml:space="preserve">ortantă în structura costurilor </w:t>
      </w:r>
      <w:r w:rsidRPr="00DC2FB5">
        <w:rPr>
          <w:rFonts w:ascii="Arial" w:hAnsi="Arial" w:cs="Arial"/>
          <w:sz w:val="24"/>
          <w:szCs w:val="24"/>
        </w:rPr>
        <w:t>companii</w:t>
      </w:r>
      <w:r w:rsidR="001E3D49" w:rsidRPr="00DC2FB5">
        <w:rPr>
          <w:rFonts w:ascii="Arial" w:hAnsi="Arial" w:cs="Arial"/>
          <w:sz w:val="24"/>
          <w:szCs w:val="24"/>
        </w:rPr>
        <w:t>lor</w:t>
      </w:r>
      <w:r w:rsidRPr="00DC2FB5">
        <w:rPr>
          <w:rFonts w:ascii="Arial" w:hAnsi="Arial" w:cs="Arial"/>
          <w:sz w:val="24"/>
          <w:szCs w:val="24"/>
        </w:rPr>
        <w:t xml:space="preserve"> miniere. Pre</w:t>
      </w:r>
      <w:r w:rsidR="006A407B" w:rsidRPr="00DC2FB5">
        <w:rPr>
          <w:rFonts w:ascii="Arial" w:hAnsi="Arial" w:cs="Arial"/>
          <w:sz w:val="24"/>
          <w:szCs w:val="24"/>
        </w:rPr>
        <w:t>ţ</w:t>
      </w:r>
      <w:r w:rsidRPr="00DC2FB5">
        <w:rPr>
          <w:rFonts w:ascii="Arial" w:hAnsi="Arial" w:cs="Arial"/>
          <w:sz w:val="24"/>
          <w:szCs w:val="24"/>
        </w:rPr>
        <w:t>urile medii ale</w:t>
      </w:r>
      <w:r w:rsidR="00DC2FB5" w:rsidRPr="00DC2FB5">
        <w:rPr>
          <w:rFonts w:ascii="Arial" w:hAnsi="Arial" w:cs="Arial"/>
          <w:sz w:val="24"/>
          <w:szCs w:val="24"/>
        </w:rPr>
        <w:t xml:space="preserve"> </w:t>
      </w:r>
      <w:r w:rsidR="001E3D49" w:rsidRPr="00DC2FB5">
        <w:rPr>
          <w:rFonts w:ascii="Arial" w:hAnsi="Arial" w:cs="Arial"/>
          <w:sz w:val="24"/>
          <w:szCs w:val="24"/>
        </w:rPr>
        <w:t xml:space="preserve">cotelor </w:t>
      </w:r>
      <w:r w:rsidRPr="00DC2FB5">
        <w:rPr>
          <w:rFonts w:ascii="Arial" w:hAnsi="Arial" w:cs="Arial"/>
          <w:sz w:val="24"/>
          <w:szCs w:val="24"/>
        </w:rPr>
        <w:t>energie</w:t>
      </w:r>
      <w:r w:rsidR="001E3D49" w:rsidRPr="00DC2FB5">
        <w:rPr>
          <w:rFonts w:ascii="Arial" w:hAnsi="Arial" w:cs="Arial"/>
          <w:sz w:val="24"/>
          <w:szCs w:val="24"/>
        </w:rPr>
        <w:t>i</w:t>
      </w:r>
      <w:r w:rsidRPr="00DC2FB5">
        <w:rPr>
          <w:rFonts w:ascii="Arial" w:hAnsi="Arial" w:cs="Arial"/>
          <w:sz w:val="24"/>
          <w:szCs w:val="24"/>
        </w:rPr>
        <w:t xml:space="preserve"> s-au redus cu 26,</w:t>
      </w:r>
      <w:r w:rsidR="001E3D49" w:rsidRPr="00DC2FB5">
        <w:rPr>
          <w:rFonts w:ascii="Arial" w:hAnsi="Arial" w:cs="Arial"/>
          <w:sz w:val="24"/>
          <w:szCs w:val="24"/>
        </w:rPr>
        <w:t xml:space="preserve"> 8% pentru </w:t>
      </w:r>
      <w:r w:rsidRPr="00DC2FB5">
        <w:rPr>
          <w:rFonts w:ascii="Arial" w:hAnsi="Arial" w:cs="Arial"/>
          <w:sz w:val="24"/>
          <w:szCs w:val="24"/>
        </w:rPr>
        <w:t>sector</w:t>
      </w:r>
      <w:r w:rsidR="001E3D49" w:rsidRPr="00DC2FB5">
        <w:rPr>
          <w:rFonts w:ascii="Arial" w:hAnsi="Arial" w:cs="Arial"/>
          <w:sz w:val="24"/>
          <w:szCs w:val="24"/>
        </w:rPr>
        <w:t>ul</w:t>
      </w:r>
      <w:r w:rsidRPr="00DC2FB5">
        <w:rPr>
          <w:rFonts w:ascii="Arial" w:hAnsi="Arial" w:cs="Arial"/>
          <w:sz w:val="24"/>
          <w:szCs w:val="24"/>
        </w:rPr>
        <w:t xml:space="preserve"> industrial între 2014 </w:t>
      </w:r>
      <w:r w:rsidR="006A407B" w:rsidRPr="00DC2FB5">
        <w:rPr>
          <w:rFonts w:ascii="Arial" w:hAnsi="Arial" w:cs="Arial"/>
          <w:sz w:val="24"/>
          <w:szCs w:val="24"/>
        </w:rPr>
        <w:t>ş</w:t>
      </w:r>
      <w:r w:rsidRPr="00DC2FB5">
        <w:rPr>
          <w:rFonts w:ascii="Arial" w:hAnsi="Arial" w:cs="Arial"/>
          <w:sz w:val="24"/>
          <w:szCs w:val="24"/>
        </w:rPr>
        <w:t>i 2015.</w:t>
      </w:r>
    </w:p>
    <w:p w:rsidR="00F964E9" w:rsidRPr="00DC2FB5" w:rsidRDefault="00F964E9" w:rsidP="00DC2FB5">
      <w:pPr>
        <w:autoSpaceDE w:val="0"/>
        <w:autoSpaceDN w:val="0"/>
        <w:adjustRightInd w:val="0"/>
        <w:spacing w:after="0"/>
        <w:jc w:val="both"/>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1537B4" w:rsidRDefault="001537B4" w:rsidP="00DC2FB5">
      <w:pPr>
        <w:autoSpaceDE w:val="0"/>
        <w:autoSpaceDN w:val="0"/>
        <w:adjustRightInd w:val="0"/>
        <w:spacing w:after="0"/>
        <w:jc w:val="center"/>
        <w:rPr>
          <w:rFonts w:ascii="Arial" w:hAnsi="Arial" w:cs="Arial"/>
          <w:b/>
          <w:sz w:val="24"/>
          <w:szCs w:val="24"/>
        </w:rPr>
      </w:pPr>
    </w:p>
    <w:p w:rsidR="00045E70" w:rsidRDefault="00045E70" w:rsidP="00DC2FB5">
      <w:pPr>
        <w:autoSpaceDE w:val="0"/>
        <w:autoSpaceDN w:val="0"/>
        <w:adjustRightInd w:val="0"/>
        <w:spacing w:after="0"/>
        <w:jc w:val="center"/>
        <w:rPr>
          <w:rFonts w:ascii="Arial" w:hAnsi="Arial" w:cs="Arial"/>
          <w:b/>
          <w:sz w:val="24"/>
          <w:szCs w:val="24"/>
        </w:rPr>
      </w:pPr>
    </w:p>
    <w:p w:rsidR="00CA45CC" w:rsidRPr="00DC2FB5" w:rsidRDefault="00CA45CC" w:rsidP="00DC2FB5">
      <w:pPr>
        <w:autoSpaceDE w:val="0"/>
        <w:autoSpaceDN w:val="0"/>
        <w:adjustRightInd w:val="0"/>
        <w:spacing w:after="0"/>
        <w:jc w:val="center"/>
        <w:rPr>
          <w:rFonts w:ascii="Arial" w:hAnsi="Arial" w:cs="Arial"/>
          <w:b/>
          <w:sz w:val="24"/>
          <w:szCs w:val="24"/>
        </w:rPr>
      </w:pPr>
      <w:r w:rsidRPr="00DC2FB5">
        <w:rPr>
          <w:rFonts w:ascii="Arial" w:hAnsi="Arial" w:cs="Arial"/>
          <w:b/>
          <w:sz w:val="24"/>
          <w:szCs w:val="24"/>
        </w:rPr>
        <w:lastRenderedPageBreak/>
        <w:t>COSTURI ÎN NUMERAR AL</w:t>
      </w:r>
      <w:r w:rsidR="00113DB7" w:rsidRPr="00DC2FB5">
        <w:rPr>
          <w:rFonts w:ascii="Arial" w:hAnsi="Arial" w:cs="Arial"/>
          <w:b/>
          <w:sz w:val="24"/>
          <w:szCs w:val="24"/>
        </w:rPr>
        <w:t>E</w:t>
      </w:r>
      <w:r w:rsidRPr="00DC2FB5">
        <w:rPr>
          <w:rFonts w:ascii="Arial" w:hAnsi="Arial" w:cs="Arial"/>
          <w:b/>
          <w:sz w:val="24"/>
          <w:szCs w:val="24"/>
        </w:rPr>
        <w:t xml:space="preserve"> MINELOR SELECTATE</w:t>
      </w:r>
    </w:p>
    <w:p w:rsidR="00F964E9" w:rsidRPr="00DC2FB5" w:rsidRDefault="00F964E9" w:rsidP="00DC2FB5">
      <w:pPr>
        <w:autoSpaceDE w:val="0"/>
        <w:autoSpaceDN w:val="0"/>
        <w:adjustRightInd w:val="0"/>
        <w:spacing w:after="0"/>
        <w:jc w:val="center"/>
        <w:rPr>
          <w:rFonts w:ascii="Arial" w:hAnsi="Arial" w:cs="Arial"/>
          <w:b/>
          <w:sz w:val="24"/>
          <w:szCs w:val="24"/>
        </w:rPr>
      </w:pPr>
      <w:r w:rsidRPr="00DC2FB5">
        <w:rPr>
          <w:rFonts w:ascii="Arial" w:hAnsi="Arial" w:cs="Arial"/>
          <w:b/>
          <w:sz w:val="24"/>
          <w:szCs w:val="24"/>
        </w:rPr>
        <w:t>IANUARIE –SEPTEMBRIE 2015 (</w:t>
      </w:r>
      <w:r w:rsidR="00113DB7" w:rsidRPr="00DC2FB5">
        <w:rPr>
          <w:rFonts w:ascii="Arial" w:hAnsi="Arial" w:cs="Arial"/>
          <w:b/>
          <w:sz w:val="24"/>
          <w:szCs w:val="24"/>
        </w:rPr>
        <w:t>DOLAR/UNCIA DE AUR</w:t>
      </w:r>
      <w:r w:rsidRPr="00DC2FB5">
        <w:rPr>
          <w:rFonts w:ascii="Arial" w:hAnsi="Arial" w:cs="Arial"/>
          <w:b/>
          <w:sz w:val="24"/>
          <w:szCs w:val="24"/>
        </w:rPr>
        <w:t>)</w:t>
      </w:r>
    </w:p>
    <w:p w:rsidR="00CA45CC" w:rsidRPr="00DC2FB5" w:rsidRDefault="00CA45CC" w:rsidP="00DC2FB5">
      <w:pPr>
        <w:autoSpaceDE w:val="0"/>
        <w:autoSpaceDN w:val="0"/>
        <w:adjustRightInd w:val="0"/>
        <w:spacing w:after="0"/>
        <w:jc w:val="both"/>
        <w:rPr>
          <w:rFonts w:ascii="Arial" w:hAnsi="Arial" w:cs="Arial"/>
          <w:b/>
        </w:rPr>
      </w:pPr>
    </w:p>
    <w:tbl>
      <w:tblPr>
        <w:tblStyle w:val="TableGrid"/>
        <w:tblW w:w="10008" w:type="dxa"/>
        <w:tblLayout w:type="fixed"/>
        <w:tblLook w:val="04A0" w:firstRow="1" w:lastRow="0" w:firstColumn="1" w:lastColumn="0" w:noHBand="0" w:noVBand="1"/>
      </w:tblPr>
      <w:tblGrid>
        <w:gridCol w:w="416"/>
        <w:gridCol w:w="502"/>
        <w:gridCol w:w="474"/>
        <w:gridCol w:w="516"/>
        <w:gridCol w:w="450"/>
        <w:gridCol w:w="450"/>
        <w:gridCol w:w="450"/>
        <w:gridCol w:w="540"/>
        <w:gridCol w:w="460"/>
        <w:gridCol w:w="530"/>
        <w:gridCol w:w="490"/>
        <w:gridCol w:w="500"/>
        <w:gridCol w:w="450"/>
        <w:gridCol w:w="450"/>
        <w:gridCol w:w="529"/>
        <w:gridCol w:w="551"/>
        <w:gridCol w:w="540"/>
        <w:gridCol w:w="450"/>
        <w:gridCol w:w="630"/>
        <w:gridCol w:w="630"/>
      </w:tblGrid>
      <w:tr w:rsidR="00CA45CC" w:rsidRPr="00DC2FB5" w:rsidTr="00CA45CC">
        <w:tc>
          <w:tcPr>
            <w:tcW w:w="416" w:type="dxa"/>
          </w:tcPr>
          <w:p w:rsidR="00CA45CC" w:rsidRPr="00DC2FB5" w:rsidRDefault="00CA45CC" w:rsidP="00DC2FB5">
            <w:pPr>
              <w:autoSpaceDE w:val="0"/>
              <w:autoSpaceDN w:val="0"/>
              <w:adjustRightInd w:val="0"/>
              <w:spacing w:line="276" w:lineRule="auto"/>
              <w:jc w:val="both"/>
              <w:rPr>
                <w:rFonts w:ascii="Arial" w:hAnsi="Arial" w:cs="Arial"/>
                <w:sz w:val="18"/>
                <w:szCs w:val="18"/>
              </w:rPr>
            </w:pPr>
            <w:r w:rsidRPr="00DC2FB5">
              <w:rPr>
                <w:rFonts w:ascii="Arial" w:hAnsi="Arial" w:cs="Arial"/>
                <w:sz w:val="18"/>
                <w:szCs w:val="18"/>
              </w:rPr>
              <w:t>2000</w:t>
            </w:r>
          </w:p>
        </w:tc>
        <w:tc>
          <w:tcPr>
            <w:tcW w:w="502"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74"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16"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4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6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3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9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0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29"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51"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4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63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63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r>
      <w:tr w:rsidR="00CA45CC" w:rsidRPr="00DC2FB5" w:rsidTr="00CA45CC">
        <w:tc>
          <w:tcPr>
            <w:tcW w:w="416" w:type="dxa"/>
          </w:tcPr>
          <w:p w:rsidR="00CA45CC" w:rsidRPr="00DC2FB5" w:rsidRDefault="00CA45CC" w:rsidP="00DC2FB5">
            <w:pPr>
              <w:autoSpaceDE w:val="0"/>
              <w:autoSpaceDN w:val="0"/>
              <w:adjustRightInd w:val="0"/>
              <w:spacing w:line="276" w:lineRule="auto"/>
              <w:jc w:val="both"/>
              <w:rPr>
                <w:rFonts w:ascii="Arial" w:hAnsi="Arial" w:cs="Arial"/>
                <w:sz w:val="18"/>
                <w:szCs w:val="18"/>
              </w:rPr>
            </w:pPr>
            <w:r w:rsidRPr="00DC2FB5">
              <w:rPr>
                <w:rFonts w:ascii="Arial" w:hAnsi="Arial" w:cs="Arial"/>
                <w:sz w:val="18"/>
                <w:szCs w:val="18"/>
              </w:rPr>
              <w:t>1500</w:t>
            </w:r>
          </w:p>
        </w:tc>
        <w:tc>
          <w:tcPr>
            <w:tcW w:w="502"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74"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16"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4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6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3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9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0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29"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51"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4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630" w:type="dxa"/>
          </w:tcPr>
          <w:p w:rsidR="005A3A2D" w:rsidRDefault="005A3A2D" w:rsidP="00DC2FB5">
            <w:pPr>
              <w:autoSpaceDE w:val="0"/>
              <w:autoSpaceDN w:val="0"/>
              <w:adjustRightInd w:val="0"/>
              <w:spacing w:line="276" w:lineRule="auto"/>
              <w:jc w:val="both"/>
              <w:rPr>
                <w:rFonts w:ascii="Arial" w:hAnsi="Arial" w:cs="Arial"/>
                <w:b/>
                <w:bCs/>
                <w:sz w:val="14"/>
                <w:szCs w:val="14"/>
                <w:highlight w:val="green"/>
              </w:rPr>
            </w:pPr>
          </w:p>
          <w:p w:rsidR="005A3A2D" w:rsidRDefault="005A3A2D" w:rsidP="00DC2FB5">
            <w:pPr>
              <w:autoSpaceDE w:val="0"/>
              <w:autoSpaceDN w:val="0"/>
              <w:adjustRightInd w:val="0"/>
              <w:spacing w:line="276" w:lineRule="auto"/>
              <w:jc w:val="both"/>
              <w:rPr>
                <w:rFonts w:ascii="Arial" w:hAnsi="Arial" w:cs="Arial"/>
                <w:b/>
                <w:bCs/>
                <w:sz w:val="14"/>
                <w:szCs w:val="14"/>
                <w:highlight w:val="green"/>
              </w:rPr>
            </w:pPr>
          </w:p>
          <w:p w:rsidR="00CA45CC" w:rsidRPr="00DC2FB5" w:rsidRDefault="00CA45CC" w:rsidP="00DC2FB5">
            <w:pPr>
              <w:autoSpaceDE w:val="0"/>
              <w:autoSpaceDN w:val="0"/>
              <w:adjustRightInd w:val="0"/>
              <w:spacing w:line="276" w:lineRule="auto"/>
              <w:jc w:val="both"/>
              <w:rPr>
                <w:rFonts w:ascii="Arial" w:hAnsi="Arial" w:cs="Arial"/>
                <w:b/>
                <w:bCs/>
                <w:sz w:val="14"/>
                <w:szCs w:val="14"/>
                <w:highlight w:val="green"/>
              </w:rPr>
            </w:pPr>
            <w:r w:rsidRPr="00DC2FB5">
              <w:rPr>
                <w:rFonts w:ascii="Arial" w:hAnsi="Arial" w:cs="Arial"/>
                <w:b/>
                <w:bCs/>
                <w:sz w:val="14"/>
                <w:szCs w:val="14"/>
                <w:highlight w:val="green"/>
              </w:rPr>
              <w:t>1,275</w:t>
            </w:r>
          </w:p>
          <w:p w:rsidR="00CA45CC" w:rsidRPr="00DC2FB5" w:rsidRDefault="00CA45CC" w:rsidP="00DC2FB5">
            <w:pPr>
              <w:autoSpaceDE w:val="0"/>
              <w:autoSpaceDN w:val="0"/>
              <w:adjustRightInd w:val="0"/>
              <w:spacing w:line="276" w:lineRule="auto"/>
              <w:jc w:val="both"/>
              <w:rPr>
                <w:rFonts w:ascii="Arial" w:hAnsi="Arial" w:cs="Arial"/>
                <w:b/>
                <w:sz w:val="18"/>
                <w:szCs w:val="18"/>
                <w:highlight w:val="green"/>
              </w:rPr>
            </w:pPr>
          </w:p>
        </w:tc>
        <w:tc>
          <w:tcPr>
            <w:tcW w:w="630" w:type="dxa"/>
          </w:tcPr>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r w:rsidRPr="00DC2FB5">
              <w:rPr>
                <w:rFonts w:ascii="Arial" w:hAnsi="Arial" w:cs="Arial"/>
                <w:b/>
                <w:bCs/>
                <w:sz w:val="14"/>
                <w:szCs w:val="14"/>
                <w:highlight w:val="red"/>
              </w:rPr>
              <w:t>1,504</w:t>
            </w:r>
          </w:p>
          <w:p w:rsidR="00CA45CC" w:rsidRPr="00DC2FB5" w:rsidRDefault="00CA45CC" w:rsidP="00DC2FB5">
            <w:pPr>
              <w:autoSpaceDE w:val="0"/>
              <w:autoSpaceDN w:val="0"/>
              <w:adjustRightInd w:val="0"/>
              <w:spacing w:line="276" w:lineRule="auto"/>
              <w:jc w:val="both"/>
              <w:rPr>
                <w:rFonts w:ascii="Arial" w:hAnsi="Arial" w:cs="Arial"/>
                <w:b/>
                <w:sz w:val="18"/>
                <w:szCs w:val="18"/>
                <w:highlight w:val="red"/>
              </w:rPr>
            </w:pPr>
          </w:p>
        </w:tc>
      </w:tr>
      <w:tr w:rsidR="00CA45CC" w:rsidRPr="00DC2FB5" w:rsidTr="00CA45CC">
        <w:tc>
          <w:tcPr>
            <w:tcW w:w="416" w:type="dxa"/>
          </w:tcPr>
          <w:p w:rsidR="00CA45CC" w:rsidRPr="00DC2FB5" w:rsidRDefault="00CA45CC" w:rsidP="00DC2FB5">
            <w:pPr>
              <w:autoSpaceDE w:val="0"/>
              <w:autoSpaceDN w:val="0"/>
              <w:adjustRightInd w:val="0"/>
              <w:spacing w:line="276" w:lineRule="auto"/>
              <w:jc w:val="both"/>
              <w:rPr>
                <w:rFonts w:ascii="Arial" w:hAnsi="Arial" w:cs="Arial"/>
                <w:sz w:val="18"/>
                <w:szCs w:val="18"/>
              </w:rPr>
            </w:pPr>
            <w:r w:rsidRPr="00DC2FB5">
              <w:rPr>
                <w:rFonts w:ascii="Arial" w:hAnsi="Arial" w:cs="Arial"/>
                <w:sz w:val="18"/>
                <w:szCs w:val="18"/>
              </w:rPr>
              <w:t>1000</w:t>
            </w:r>
          </w:p>
        </w:tc>
        <w:tc>
          <w:tcPr>
            <w:tcW w:w="502"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74"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16"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40" w:type="dxa"/>
            <w:shd w:val="clear" w:color="auto" w:fill="auto"/>
          </w:tcPr>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sz w:val="18"/>
                <w:szCs w:val="18"/>
              </w:rPr>
            </w:pPr>
            <w:r w:rsidRPr="005A3A2D">
              <w:rPr>
                <w:rFonts w:ascii="Arial" w:hAnsi="Arial" w:cs="Arial"/>
                <w:b/>
                <w:bCs/>
                <w:sz w:val="14"/>
                <w:szCs w:val="14"/>
                <w:highlight w:val="red"/>
              </w:rPr>
              <w:t>541</w:t>
            </w:r>
          </w:p>
        </w:tc>
        <w:tc>
          <w:tcPr>
            <w:tcW w:w="460" w:type="dxa"/>
            <w:shd w:val="clear" w:color="auto" w:fill="auto"/>
          </w:tcPr>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CA45CC" w:rsidRPr="005A3A2D" w:rsidRDefault="00CA45CC" w:rsidP="00DC2FB5">
            <w:pPr>
              <w:autoSpaceDE w:val="0"/>
              <w:autoSpaceDN w:val="0"/>
              <w:adjustRightInd w:val="0"/>
              <w:spacing w:line="276" w:lineRule="auto"/>
              <w:jc w:val="both"/>
              <w:rPr>
                <w:rFonts w:ascii="Arial" w:hAnsi="Arial" w:cs="Arial"/>
                <w:b/>
                <w:bCs/>
                <w:sz w:val="14"/>
                <w:szCs w:val="14"/>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661D63" w:rsidRDefault="00661D63" w:rsidP="00DC2FB5">
            <w:pPr>
              <w:autoSpaceDE w:val="0"/>
              <w:autoSpaceDN w:val="0"/>
              <w:adjustRightInd w:val="0"/>
              <w:spacing w:line="276" w:lineRule="auto"/>
              <w:jc w:val="both"/>
              <w:rPr>
                <w:rFonts w:ascii="Arial" w:hAnsi="Arial" w:cs="Arial"/>
                <w:b/>
                <w:bCs/>
                <w:sz w:val="14"/>
                <w:szCs w:val="14"/>
                <w:highlight w:val="red"/>
              </w:rPr>
            </w:pPr>
          </w:p>
          <w:p w:rsidR="00CA45CC" w:rsidRPr="005A3A2D" w:rsidRDefault="00CA45CC" w:rsidP="00DC2FB5">
            <w:pPr>
              <w:autoSpaceDE w:val="0"/>
              <w:autoSpaceDN w:val="0"/>
              <w:adjustRightInd w:val="0"/>
              <w:spacing w:line="276" w:lineRule="auto"/>
              <w:jc w:val="both"/>
              <w:rPr>
                <w:rFonts w:ascii="Arial" w:hAnsi="Arial" w:cs="Arial"/>
                <w:sz w:val="18"/>
                <w:szCs w:val="18"/>
              </w:rPr>
            </w:pPr>
            <w:r w:rsidRPr="005A3A2D">
              <w:rPr>
                <w:rFonts w:ascii="Arial" w:hAnsi="Arial" w:cs="Arial"/>
                <w:b/>
                <w:bCs/>
                <w:sz w:val="14"/>
                <w:szCs w:val="14"/>
                <w:highlight w:val="red"/>
              </w:rPr>
              <w:t>546</w:t>
            </w:r>
          </w:p>
        </w:tc>
        <w:tc>
          <w:tcPr>
            <w:tcW w:w="530" w:type="dxa"/>
          </w:tcPr>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661D63" w:rsidRDefault="00661D63"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sz w:val="18"/>
                <w:szCs w:val="18"/>
                <w:highlight w:val="red"/>
              </w:rPr>
            </w:pPr>
            <w:r w:rsidRPr="00DC2FB5">
              <w:rPr>
                <w:rFonts w:ascii="Arial" w:hAnsi="Arial" w:cs="Arial"/>
                <w:b/>
                <w:bCs/>
                <w:sz w:val="14"/>
                <w:szCs w:val="14"/>
                <w:highlight w:val="red"/>
              </w:rPr>
              <w:t>581</w:t>
            </w:r>
          </w:p>
        </w:tc>
        <w:tc>
          <w:tcPr>
            <w:tcW w:w="490" w:type="dxa"/>
          </w:tcPr>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661D63" w:rsidRDefault="00661D63"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sz w:val="18"/>
                <w:szCs w:val="18"/>
                <w:highlight w:val="red"/>
              </w:rPr>
            </w:pPr>
            <w:r w:rsidRPr="00DC2FB5">
              <w:rPr>
                <w:rFonts w:ascii="Arial" w:hAnsi="Arial" w:cs="Arial"/>
                <w:b/>
                <w:bCs/>
                <w:sz w:val="14"/>
                <w:szCs w:val="14"/>
                <w:highlight w:val="red"/>
              </w:rPr>
              <w:t>593</w:t>
            </w:r>
          </w:p>
        </w:tc>
        <w:tc>
          <w:tcPr>
            <w:tcW w:w="500" w:type="dxa"/>
            <w:shd w:val="clear" w:color="auto" w:fill="auto"/>
          </w:tcPr>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661D63" w:rsidRDefault="00661D63"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sz w:val="18"/>
                <w:szCs w:val="18"/>
                <w:highlight w:val="red"/>
              </w:rPr>
            </w:pPr>
            <w:r w:rsidRPr="00DC2FB5">
              <w:rPr>
                <w:rFonts w:ascii="Arial" w:hAnsi="Arial" w:cs="Arial"/>
                <w:b/>
                <w:bCs/>
                <w:sz w:val="14"/>
                <w:szCs w:val="14"/>
                <w:highlight w:val="red"/>
              </w:rPr>
              <w:t>601</w:t>
            </w:r>
          </w:p>
        </w:tc>
        <w:tc>
          <w:tcPr>
            <w:tcW w:w="450" w:type="dxa"/>
          </w:tcPr>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661D63" w:rsidRDefault="00661D63"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sz w:val="18"/>
                <w:szCs w:val="18"/>
                <w:highlight w:val="red"/>
              </w:rPr>
            </w:pPr>
            <w:r w:rsidRPr="00DC2FB5">
              <w:rPr>
                <w:rFonts w:ascii="Arial" w:hAnsi="Arial" w:cs="Arial"/>
                <w:b/>
                <w:bCs/>
                <w:sz w:val="14"/>
                <w:szCs w:val="14"/>
                <w:highlight w:val="red"/>
              </w:rPr>
              <w:t>610</w:t>
            </w:r>
          </w:p>
        </w:tc>
        <w:tc>
          <w:tcPr>
            <w:tcW w:w="450" w:type="dxa"/>
          </w:tcPr>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661D63" w:rsidRDefault="00661D63"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sz w:val="18"/>
                <w:szCs w:val="18"/>
                <w:highlight w:val="red"/>
              </w:rPr>
            </w:pPr>
            <w:r w:rsidRPr="00DC2FB5">
              <w:rPr>
                <w:rFonts w:ascii="Arial" w:hAnsi="Arial" w:cs="Arial"/>
                <w:b/>
                <w:bCs/>
                <w:sz w:val="14"/>
                <w:szCs w:val="14"/>
                <w:highlight w:val="red"/>
              </w:rPr>
              <w:t>620</w:t>
            </w:r>
          </w:p>
        </w:tc>
        <w:tc>
          <w:tcPr>
            <w:tcW w:w="529" w:type="dxa"/>
          </w:tcPr>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r w:rsidRPr="00DC2FB5">
              <w:rPr>
                <w:rFonts w:ascii="Arial" w:hAnsi="Arial" w:cs="Arial"/>
                <w:b/>
                <w:bCs/>
                <w:sz w:val="14"/>
                <w:szCs w:val="14"/>
                <w:highlight w:val="red"/>
              </w:rPr>
              <w:t>646</w:t>
            </w:r>
          </w:p>
          <w:p w:rsidR="00CA45CC" w:rsidRPr="00DC2FB5" w:rsidRDefault="00CA45CC" w:rsidP="00DC2FB5">
            <w:pPr>
              <w:autoSpaceDE w:val="0"/>
              <w:autoSpaceDN w:val="0"/>
              <w:adjustRightInd w:val="0"/>
              <w:spacing w:line="276" w:lineRule="auto"/>
              <w:jc w:val="both"/>
              <w:rPr>
                <w:rFonts w:ascii="Arial" w:hAnsi="Arial" w:cs="Arial"/>
                <w:sz w:val="18"/>
                <w:szCs w:val="18"/>
                <w:highlight w:val="red"/>
              </w:rPr>
            </w:pPr>
          </w:p>
        </w:tc>
        <w:tc>
          <w:tcPr>
            <w:tcW w:w="551" w:type="dxa"/>
          </w:tcPr>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sz w:val="18"/>
                <w:szCs w:val="18"/>
                <w:highlight w:val="red"/>
              </w:rPr>
            </w:pPr>
            <w:r w:rsidRPr="00DC2FB5">
              <w:rPr>
                <w:rFonts w:ascii="Arial" w:hAnsi="Arial" w:cs="Arial"/>
                <w:b/>
                <w:bCs/>
                <w:sz w:val="14"/>
                <w:szCs w:val="14"/>
                <w:highlight w:val="red"/>
              </w:rPr>
              <w:t>696</w:t>
            </w:r>
          </w:p>
        </w:tc>
        <w:tc>
          <w:tcPr>
            <w:tcW w:w="540" w:type="dxa"/>
          </w:tcPr>
          <w:p w:rsidR="005A3A2D" w:rsidRDefault="005A3A2D" w:rsidP="00DC2FB5">
            <w:pPr>
              <w:autoSpaceDE w:val="0"/>
              <w:autoSpaceDN w:val="0"/>
              <w:adjustRightInd w:val="0"/>
              <w:spacing w:line="276" w:lineRule="auto"/>
              <w:jc w:val="both"/>
              <w:rPr>
                <w:rFonts w:ascii="Arial" w:hAnsi="Arial" w:cs="Arial"/>
                <w:b/>
                <w:bCs/>
                <w:sz w:val="14"/>
                <w:szCs w:val="14"/>
                <w:highlight w:val="red"/>
              </w:rPr>
            </w:pPr>
          </w:p>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r w:rsidRPr="00DC2FB5">
              <w:rPr>
                <w:rFonts w:ascii="Arial" w:hAnsi="Arial" w:cs="Arial"/>
                <w:b/>
                <w:bCs/>
                <w:sz w:val="14"/>
                <w:szCs w:val="14"/>
                <w:highlight w:val="red"/>
              </w:rPr>
              <w:t>725</w:t>
            </w:r>
          </w:p>
          <w:p w:rsidR="00CA45CC" w:rsidRPr="00DC2FB5" w:rsidRDefault="00CA45CC" w:rsidP="00DC2FB5">
            <w:pPr>
              <w:autoSpaceDE w:val="0"/>
              <w:autoSpaceDN w:val="0"/>
              <w:adjustRightInd w:val="0"/>
              <w:spacing w:line="276" w:lineRule="auto"/>
              <w:jc w:val="both"/>
              <w:rPr>
                <w:rFonts w:ascii="Arial" w:hAnsi="Arial" w:cs="Arial"/>
                <w:sz w:val="18"/>
                <w:szCs w:val="18"/>
                <w:highlight w:val="red"/>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b/>
                <w:bCs/>
                <w:sz w:val="14"/>
                <w:szCs w:val="14"/>
                <w:highlight w:val="red"/>
              </w:rPr>
            </w:pPr>
            <w:r w:rsidRPr="00DC2FB5">
              <w:rPr>
                <w:rFonts w:ascii="Arial" w:hAnsi="Arial" w:cs="Arial"/>
                <w:b/>
                <w:bCs/>
                <w:sz w:val="14"/>
                <w:szCs w:val="14"/>
                <w:highlight w:val="red"/>
              </w:rPr>
              <w:t>915</w:t>
            </w:r>
          </w:p>
          <w:p w:rsidR="00CA45CC" w:rsidRPr="00DC2FB5" w:rsidRDefault="00CA45CC" w:rsidP="00DC2FB5">
            <w:pPr>
              <w:autoSpaceDE w:val="0"/>
              <w:autoSpaceDN w:val="0"/>
              <w:adjustRightInd w:val="0"/>
              <w:spacing w:line="276" w:lineRule="auto"/>
              <w:jc w:val="both"/>
              <w:rPr>
                <w:rFonts w:ascii="Arial" w:hAnsi="Arial" w:cs="Arial"/>
                <w:sz w:val="18"/>
                <w:szCs w:val="18"/>
                <w:highlight w:val="red"/>
              </w:rPr>
            </w:pPr>
          </w:p>
        </w:tc>
        <w:tc>
          <w:tcPr>
            <w:tcW w:w="63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63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r>
      <w:tr w:rsidR="00CA45CC" w:rsidRPr="00DC2FB5" w:rsidTr="00CA45CC">
        <w:trPr>
          <w:cantSplit/>
          <w:trHeight w:val="1134"/>
        </w:trPr>
        <w:tc>
          <w:tcPr>
            <w:tcW w:w="416" w:type="dxa"/>
          </w:tcPr>
          <w:p w:rsidR="00CA45CC" w:rsidRPr="00DC2FB5" w:rsidRDefault="00CA45CC" w:rsidP="00DC2FB5">
            <w:pPr>
              <w:autoSpaceDE w:val="0"/>
              <w:autoSpaceDN w:val="0"/>
              <w:adjustRightInd w:val="0"/>
              <w:spacing w:line="276" w:lineRule="auto"/>
              <w:jc w:val="both"/>
              <w:rPr>
                <w:rFonts w:ascii="Arial" w:hAnsi="Arial" w:cs="Arial"/>
                <w:sz w:val="18"/>
                <w:szCs w:val="18"/>
              </w:rPr>
            </w:pPr>
            <w:r w:rsidRPr="00DC2FB5">
              <w:rPr>
                <w:rFonts w:ascii="Arial" w:hAnsi="Arial" w:cs="Arial"/>
                <w:sz w:val="18"/>
                <w:szCs w:val="18"/>
              </w:rPr>
              <w:t xml:space="preserve">  500</w:t>
            </w:r>
          </w:p>
        </w:tc>
        <w:tc>
          <w:tcPr>
            <w:tcW w:w="502"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74" w:type="dxa"/>
          </w:tcPr>
          <w:p w:rsidR="00CA45CC" w:rsidRPr="005A3A2D" w:rsidRDefault="00CA45CC" w:rsidP="00DC2FB5">
            <w:pPr>
              <w:autoSpaceDE w:val="0"/>
              <w:autoSpaceDN w:val="0"/>
              <w:adjustRightInd w:val="0"/>
              <w:spacing w:line="276" w:lineRule="auto"/>
              <w:jc w:val="both"/>
              <w:rPr>
                <w:rFonts w:ascii="Arial" w:hAnsi="Arial" w:cs="Arial"/>
                <w:b/>
                <w:bCs/>
                <w:sz w:val="14"/>
                <w:szCs w:val="14"/>
                <w:highlight w:val="green"/>
              </w:rPr>
            </w:pPr>
          </w:p>
          <w:p w:rsidR="00CA45CC" w:rsidRPr="005A3A2D" w:rsidRDefault="00CA45CC" w:rsidP="00DC2FB5">
            <w:pPr>
              <w:autoSpaceDE w:val="0"/>
              <w:autoSpaceDN w:val="0"/>
              <w:adjustRightInd w:val="0"/>
              <w:spacing w:line="276" w:lineRule="auto"/>
              <w:jc w:val="both"/>
              <w:rPr>
                <w:rFonts w:ascii="Arial" w:hAnsi="Arial" w:cs="Arial"/>
                <w:b/>
                <w:bCs/>
                <w:sz w:val="14"/>
                <w:szCs w:val="14"/>
                <w:highlight w:val="green"/>
              </w:rPr>
            </w:pPr>
          </w:p>
          <w:p w:rsidR="00CA45CC" w:rsidRPr="005A3A2D" w:rsidRDefault="00CA45CC" w:rsidP="00DC2FB5">
            <w:pPr>
              <w:autoSpaceDE w:val="0"/>
              <w:autoSpaceDN w:val="0"/>
              <w:adjustRightInd w:val="0"/>
              <w:spacing w:line="276" w:lineRule="auto"/>
              <w:jc w:val="both"/>
              <w:rPr>
                <w:rFonts w:ascii="Arial" w:hAnsi="Arial" w:cs="Arial"/>
                <w:b/>
                <w:bCs/>
                <w:sz w:val="14"/>
                <w:szCs w:val="14"/>
                <w:highlight w:val="green"/>
              </w:rPr>
            </w:pPr>
          </w:p>
          <w:p w:rsidR="00CA45CC" w:rsidRPr="005A3A2D" w:rsidRDefault="00CA45CC" w:rsidP="00DC2FB5">
            <w:pPr>
              <w:autoSpaceDE w:val="0"/>
              <w:autoSpaceDN w:val="0"/>
              <w:adjustRightInd w:val="0"/>
              <w:spacing w:line="276" w:lineRule="auto"/>
              <w:jc w:val="both"/>
              <w:rPr>
                <w:rFonts w:ascii="Arial" w:hAnsi="Arial" w:cs="Arial"/>
                <w:b/>
                <w:bCs/>
                <w:sz w:val="14"/>
                <w:szCs w:val="14"/>
                <w:highlight w:val="green"/>
              </w:rPr>
            </w:pPr>
          </w:p>
          <w:p w:rsidR="00CA45CC" w:rsidRPr="005A3A2D" w:rsidRDefault="00CA45CC" w:rsidP="00DC2FB5">
            <w:pPr>
              <w:autoSpaceDE w:val="0"/>
              <w:autoSpaceDN w:val="0"/>
              <w:adjustRightInd w:val="0"/>
              <w:spacing w:line="276" w:lineRule="auto"/>
              <w:jc w:val="both"/>
              <w:rPr>
                <w:rFonts w:ascii="Arial" w:hAnsi="Arial" w:cs="Arial"/>
                <w:b/>
                <w:bCs/>
                <w:sz w:val="14"/>
                <w:szCs w:val="14"/>
                <w:highlight w:val="green"/>
              </w:rPr>
            </w:pPr>
          </w:p>
          <w:p w:rsidR="00CA45CC" w:rsidRPr="005A3A2D" w:rsidRDefault="00CA45CC" w:rsidP="00DC2FB5">
            <w:pPr>
              <w:shd w:val="clear" w:color="auto" w:fill="00B050"/>
              <w:autoSpaceDE w:val="0"/>
              <w:autoSpaceDN w:val="0"/>
              <w:adjustRightInd w:val="0"/>
              <w:spacing w:line="276" w:lineRule="auto"/>
              <w:jc w:val="both"/>
              <w:rPr>
                <w:rFonts w:ascii="Arial" w:hAnsi="Arial" w:cs="Arial"/>
                <w:b/>
                <w:bCs/>
                <w:sz w:val="14"/>
                <w:szCs w:val="14"/>
                <w:highlight w:val="green"/>
              </w:rPr>
            </w:pPr>
            <w:r w:rsidRPr="005A3A2D">
              <w:rPr>
                <w:rFonts w:ascii="Arial" w:hAnsi="Arial" w:cs="Arial"/>
                <w:b/>
                <w:bCs/>
                <w:sz w:val="14"/>
                <w:szCs w:val="14"/>
                <w:highlight w:val="green"/>
              </w:rPr>
              <w:t>267</w:t>
            </w:r>
          </w:p>
          <w:p w:rsidR="00CA45CC" w:rsidRPr="005A3A2D" w:rsidRDefault="00CA45CC" w:rsidP="00DC2FB5">
            <w:pPr>
              <w:autoSpaceDE w:val="0"/>
              <w:autoSpaceDN w:val="0"/>
              <w:adjustRightInd w:val="0"/>
              <w:spacing w:line="276" w:lineRule="auto"/>
              <w:jc w:val="both"/>
              <w:rPr>
                <w:rFonts w:ascii="Arial" w:hAnsi="Arial" w:cs="Arial"/>
                <w:sz w:val="18"/>
                <w:szCs w:val="18"/>
                <w:highlight w:val="green"/>
              </w:rPr>
            </w:pPr>
          </w:p>
        </w:tc>
        <w:tc>
          <w:tcPr>
            <w:tcW w:w="516" w:type="dxa"/>
          </w:tcPr>
          <w:p w:rsidR="00CA45CC" w:rsidRPr="005A3A2D" w:rsidRDefault="00CA45CC" w:rsidP="00DC2FB5">
            <w:pPr>
              <w:autoSpaceDE w:val="0"/>
              <w:autoSpaceDN w:val="0"/>
              <w:adjustRightInd w:val="0"/>
              <w:spacing w:line="276" w:lineRule="auto"/>
              <w:jc w:val="both"/>
              <w:rPr>
                <w:rFonts w:ascii="Arial" w:hAnsi="Arial" w:cs="Arial"/>
                <w:b/>
                <w:bCs/>
                <w:sz w:val="14"/>
                <w:szCs w:val="14"/>
                <w:highlight w:val="green"/>
              </w:rPr>
            </w:pPr>
          </w:p>
          <w:p w:rsidR="00CA45CC" w:rsidRPr="005A3A2D" w:rsidRDefault="00CA45CC" w:rsidP="00DC2FB5">
            <w:pPr>
              <w:autoSpaceDE w:val="0"/>
              <w:autoSpaceDN w:val="0"/>
              <w:adjustRightInd w:val="0"/>
              <w:spacing w:line="276" w:lineRule="auto"/>
              <w:jc w:val="both"/>
              <w:rPr>
                <w:rFonts w:ascii="Arial" w:hAnsi="Arial" w:cs="Arial"/>
                <w:b/>
                <w:bCs/>
                <w:sz w:val="14"/>
                <w:szCs w:val="14"/>
                <w:highlight w:val="green"/>
              </w:rPr>
            </w:pPr>
          </w:p>
          <w:p w:rsidR="00CA45CC" w:rsidRPr="005A3A2D" w:rsidRDefault="00CA45CC" w:rsidP="00DC2FB5">
            <w:pPr>
              <w:autoSpaceDE w:val="0"/>
              <w:autoSpaceDN w:val="0"/>
              <w:adjustRightInd w:val="0"/>
              <w:spacing w:line="276" w:lineRule="auto"/>
              <w:jc w:val="both"/>
              <w:rPr>
                <w:rFonts w:ascii="Arial" w:hAnsi="Arial" w:cs="Arial"/>
                <w:b/>
                <w:bCs/>
                <w:sz w:val="14"/>
                <w:szCs w:val="14"/>
                <w:highlight w:val="green"/>
              </w:rPr>
            </w:pPr>
          </w:p>
          <w:p w:rsidR="00CA45CC" w:rsidRPr="005A3A2D" w:rsidRDefault="00CA45CC" w:rsidP="00DC2FB5">
            <w:pPr>
              <w:autoSpaceDE w:val="0"/>
              <w:autoSpaceDN w:val="0"/>
              <w:adjustRightInd w:val="0"/>
              <w:spacing w:line="276" w:lineRule="auto"/>
              <w:jc w:val="both"/>
              <w:rPr>
                <w:rFonts w:ascii="Arial" w:hAnsi="Arial" w:cs="Arial"/>
                <w:b/>
                <w:bCs/>
                <w:sz w:val="14"/>
                <w:szCs w:val="14"/>
                <w:highlight w:val="green"/>
              </w:rPr>
            </w:pPr>
          </w:p>
          <w:p w:rsidR="00CA45CC" w:rsidRPr="005A3A2D" w:rsidRDefault="00CA45CC" w:rsidP="00DC2FB5">
            <w:pPr>
              <w:shd w:val="clear" w:color="auto" w:fill="92D050"/>
              <w:autoSpaceDE w:val="0"/>
              <w:autoSpaceDN w:val="0"/>
              <w:adjustRightInd w:val="0"/>
              <w:spacing w:line="276" w:lineRule="auto"/>
              <w:jc w:val="both"/>
              <w:rPr>
                <w:rFonts w:ascii="Arial" w:hAnsi="Arial" w:cs="Arial"/>
                <w:b/>
                <w:bCs/>
                <w:sz w:val="14"/>
                <w:szCs w:val="14"/>
                <w:highlight w:val="green"/>
              </w:rPr>
            </w:pPr>
            <w:r w:rsidRPr="005A3A2D">
              <w:rPr>
                <w:rFonts w:ascii="Arial" w:hAnsi="Arial" w:cs="Arial"/>
                <w:b/>
                <w:bCs/>
                <w:sz w:val="14"/>
                <w:szCs w:val="14"/>
                <w:highlight w:val="green"/>
              </w:rPr>
              <w:t>378</w:t>
            </w:r>
          </w:p>
          <w:p w:rsidR="00CA45CC" w:rsidRPr="005A3A2D" w:rsidRDefault="00CA45CC" w:rsidP="00DC2FB5">
            <w:pPr>
              <w:autoSpaceDE w:val="0"/>
              <w:autoSpaceDN w:val="0"/>
              <w:adjustRightInd w:val="0"/>
              <w:spacing w:line="276" w:lineRule="auto"/>
              <w:jc w:val="both"/>
              <w:rPr>
                <w:rFonts w:ascii="Arial" w:hAnsi="Arial" w:cs="Arial"/>
                <w:sz w:val="18"/>
                <w:szCs w:val="18"/>
                <w:highlight w:val="green"/>
              </w:rPr>
            </w:pPr>
          </w:p>
        </w:tc>
        <w:tc>
          <w:tcPr>
            <w:tcW w:w="450" w:type="dxa"/>
          </w:tcPr>
          <w:p w:rsidR="00CA45CC" w:rsidRPr="005A3A2D" w:rsidRDefault="00CA45CC" w:rsidP="00DC2FB5">
            <w:pPr>
              <w:autoSpaceDE w:val="0"/>
              <w:autoSpaceDN w:val="0"/>
              <w:adjustRightInd w:val="0"/>
              <w:spacing w:line="276" w:lineRule="auto"/>
              <w:jc w:val="both"/>
              <w:rPr>
                <w:rFonts w:ascii="Arial" w:hAnsi="Arial" w:cs="Arial"/>
                <w:b/>
                <w:sz w:val="14"/>
                <w:szCs w:val="14"/>
                <w:highlight w:val="green"/>
              </w:rPr>
            </w:pPr>
          </w:p>
          <w:p w:rsidR="00CA45CC" w:rsidRPr="005A3A2D" w:rsidRDefault="00CA45CC" w:rsidP="00DC2FB5">
            <w:pPr>
              <w:autoSpaceDE w:val="0"/>
              <w:autoSpaceDN w:val="0"/>
              <w:adjustRightInd w:val="0"/>
              <w:spacing w:line="276" w:lineRule="auto"/>
              <w:jc w:val="both"/>
              <w:rPr>
                <w:rFonts w:ascii="Arial" w:hAnsi="Arial" w:cs="Arial"/>
                <w:b/>
                <w:sz w:val="14"/>
                <w:szCs w:val="14"/>
                <w:highlight w:val="green"/>
              </w:rPr>
            </w:pPr>
          </w:p>
          <w:p w:rsidR="00CA45CC" w:rsidRPr="005A3A2D" w:rsidRDefault="00CA45CC" w:rsidP="00DC2FB5">
            <w:pPr>
              <w:autoSpaceDE w:val="0"/>
              <w:autoSpaceDN w:val="0"/>
              <w:adjustRightInd w:val="0"/>
              <w:spacing w:line="276" w:lineRule="auto"/>
              <w:jc w:val="both"/>
              <w:rPr>
                <w:rFonts w:ascii="Arial" w:hAnsi="Arial" w:cs="Arial"/>
                <w:b/>
                <w:sz w:val="14"/>
                <w:szCs w:val="14"/>
                <w:highlight w:val="green"/>
              </w:rPr>
            </w:pPr>
            <w:r w:rsidRPr="005A3A2D">
              <w:rPr>
                <w:rFonts w:ascii="Arial" w:hAnsi="Arial" w:cs="Arial"/>
                <w:b/>
                <w:sz w:val="14"/>
                <w:szCs w:val="14"/>
                <w:highlight w:val="green"/>
                <w:shd w:val="clear" w:color="auto" w:fill="92D050"/>
              </w:rPr>
              <w:t>422</w:t>
            </w:r>
          </w:p>
        </w:tc>
        <w:tc>
          <w:tcPr>
            <w:tcW w:w="450" w:type="dxa"/>
          </w:tcPr>
          <w:p w:rsidR="00CA45CC" w:rsidRPr="005A3A2D" w:rsidRDefault="00CA45CC" w:rsidP="00DC2FB5">
            <w:pPr>
              <w:autoSpaceDE w:val="0"/>
              <w:autoSpaceDN w:val="0"/>
              <w:adjustRightInd w:val="0"/>
              <w:spacing w:line="276" w:lineRule="auto"/>
              <w:jc w:val="both"/>
              <w:rPr>
                <w:rFonts w:ascii="Arial" w:hAnsi="Arial" w:cs="Arial"/>
                <w:b/>
                <w:bCs/>
                <w:sz w:val="14"/>
                <w:szCs w:val="14"/>
                <w:highlight w:val="green"/>
              </w:rPr>
            </w:pPr>
          </w:p>
          <w:p w:rsidR="00CA45CC" w:rsidRPr="005A3A2D" w:rsidRDefault="00CA45CC" w:rsidP="00DC2FB5">
            <w:pPr>
              <w:autoSpaceDE w:val="0"/>
              <w:autoSpaceDN w:val="0"/>
              <w:adjustRightInd w:val="0"/>
              <w:spacing w:line="276" w:lineRule="auto"/>
              <w:jc w:val="both"/>
              <w:rPr>
                <w:rFonts w:ascii="Arial" w:hAnsi="Arial" w:cs="Arial"/>
                <w:b/>
                <w:bCs/>
                <w:sz w:val="14"/>
                <w:szCs w:val="14"/>
                <w:highlight w:val="green"/>
              </w:rPr>
            </w:pPr>
            <w:r w:rsidRPr="005A3A2D">
              <w:rPr>
                <w:rFonts w:ascii="Arial" w:hAnsi="Arial" w:cs="Arial"/>
                <w:b/>
                <w:bCs/>
                <w:sz w:val="14"/>
                <w:szCs w:val="14"/>
                <w:highlight w:val="green"/>
              </w:rPr>
              <w:t>425</w:t>
            </w:r>
          </w:p>
          <w:p w:rsidR="00CA45CC" w:rsidRPr="005A3A2D" w:rsidRDefault="00CA45CC" w:rsidP="00DC2FB5">
            <w:pPr>
              <w:autoSpaceDE w:val="0"/>
              <w:autoSpaceDN w:val="0"/>
              <w:adjustRightInd w:val="0"/>
              <w:spacing w:line="276" w:lineRule="auto"/>
              <w:jc w:val="both"/>
              <w:rPr>
                <w:rFonts w:ascii="Arial" w:hAnsi="Arial" w:cs="Arial"/>
                <w:sz w:val="18"/>
                <w:szCs w:val="18"/>
                <w:highlight w:val="green"/>
              </w:rPr>
            </w:pPr>
          </w:p>
        </w:tc>
        <w:tc>
          <w:tcPr>
            <w:tcW w:w="450" w:type="dxa"/>
            <w:shd w:val="clear" w:color="auto" w:fill="auto"/>
          </w:tcPr>
          <w:p w:rsidR="00CA45CC" w:rsidRPr="00DC2FB5" w:rsidRDefault="00CA45CC" w:rsidP="00DC2FB5">
            <w:pPr>
              <w:autoSpaceDE w:val="0"/>
              <w:autoSpaceDN w:val="0"/>
              <w:adjustRightInd w:val="0"/>
              <w:spacing w:line="276" w:lineRule="auto"/>
              <w:jc w:val="both"/>
              <w:rPr>
                <w:rFonts w:ascii="Arial" w:hAnsi="Arial" w:cs="Arial"/>
                <w:sz w:val="18"/>
                <w:szCs w:val="18"/>
              </w:rPr>
            </w:pPr>
            <w:r w:rsidRPr="00DC2FB5">
              <w:rPr>
                <w:rFonts w:ascii="Arial" w:hAnsi="Arial" w:cs="Arial"/>
                <w:b/>
                <w:bCs/>
                <w:sz w:val="14"/>
                <w:szCs w:val="14"/>
                <w:highlight w:val="red"/>
              </w:rPr>
              <w:t>481</w:t>
            </w:r>
          </w:p>
        </w:tc>
        <w:tc>
          <w:tcPr>
            <w:tcW w:w="540" w:type="dxa"/>
            <w:shd w:val="clear" w:color="auto" w:fill="auto"/>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60" w:type="dxa"/>
            <w:shd w:val="clear" w:color="auto" w:fill="auto"/>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3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9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0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29"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51"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4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63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63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r>
      <w:tr w:rsidR="00CA45CC" w:rsidRPr="00DC2FB5" w:rsidTr="006E0961">
        <w:trPr>
          <w:cantSplit/>
          <w:trHeight w:val="580"/>
        </w:trPr>
        <w:tc>
          <w:tcPr>
            <w:tcW w:w="416" w:type="dxa"/>
          </w:tcPr>
          <w:p w:rsidR="00CA45CC" w:rsidRPr="00DC2FB5" w:rsidRDefault="00CA45CC" w:rsidP="00DC2FB5">
            <w:pPr>
              <w:autoSpaceDE w:val="0"/>
              <w:autoSpaceDN w:val="0"/>
              <w:adjustRightInd w:val="0"/>
              <w:spacing w:line="276" w:lineRule="auto"/>
              <w:jc w:val="both"/>
              <w:rPr>
                <w:rFonts w:ascii="Arial" w:hAnsi="Arial" w:cs="Arial"/>
                <w:sz w:val="18"/>
                <w:szCs w:val="18"/>
              </w:rPr>
            </w:pPr>
            <w:r w:rsidRPr="00DC2FB5">
              <w:rPr>
                <w:rFonts w:ascii="Arial" w:hAnsi="Arial" w:cs="Arial"/>
                <w:sz w:val="18"/>
                <w:szCs w:val="18"/>
              </w:rPr>
              <w:t xml:space="preserve">      </w:t>
            </w:r>
          </w:p>
          <w:p w:rsidR="00CA45CC" w:rsidRPr="00DC2FB5" w:rsidRDefault="00CA45CC" w:rsidP="00DC2FB5">
            <w:pPr>
              <w:autoSpaceDE w:val="0"/>
              <w:autoSpaceDN w:val="0"/>
              <w:adjustRightInd w:val="0"/>
              <w:spacing w:line="276" w:lineRule="auto"/>
              <w:jc w:val="both"/>
              <w:rPr>
                <w:rFonts w:ascii="Arial" w:hAnsi="Arial" w:cs="Arial"/>
                <w:sz w:val="18"/>
                <w:szCs w:val="18"/>
              </w:rPr>
            </w:pPr>
          </w:p>
          <w:p w:rsidR="00CA45CC" w:rsidRPr="00DC2FB5" w:rsidRDefault="00CA45CC" w:rsidP="00DC2FB5">
            <w:pPr>
              <w:autoSpaceDE w:val="0"/>
              <w:autoSpaceDN w:val="0"/>
              <w:adjustRightInd w:val="0"/>
              <w:spacing w:line="276" w:lineRule="auto"/>
              <w:jc w:val="both"/>
              <w:rPr>
                <w:rFonts w:ascii="Arial" w:hAnsi="Arial" w:cs="Arial"/>
                <w:sz w:val="18"/>
                <w:szCs w:val="18"/>
              </w:rPr>
            </w:pPr>
          </w:p>
          <w:p w:rsidR="00CA45CC" w:rsidRPr="00DC2FB5" w:rsidRDefault="00CA45CC" w:rsidP="00DC2FB5">
            <w:pPr>
              <w:autoSpaceDE w:val="0"/>
              <w:autoSpaceDN w:val="0"/>
              <w:adjustRightInd w:val="0"/>
              <w:spacing w:line="276" w:lineRule="auto"/>
              <w:jc w:val="both"/>
              <w:rPr>
                <w:rFonts w:ascii="Arial" w:hAnsi="Arial" w:cs="Arial"/>
                <w:sz w:val="18"/>
                <w:szCs w:val="18"/>
              </w:rPr>
            </w:pPr>
          </w:p>
          <w:p w:rsidR="00CA45CC" w:rsidRPr="00DC2FB5" w:rsidRDefault="00CA45CC" w:rsidP="00DC2FB5">
            <w:pPr>
              <w:autoSpaceDE w:val="0"/>
              <w:autoSpaceDN w:val="0"/>
              <w:adjustRightInd w:val="0"/>
              <w:spacing w:line="276" w:lineRule="auto"/>
              <w:jc w:val="both"/>
              <w:rPr>
                <w:rFonts w:ascii="Arial" w:hAnsi="Arial" w:cs="Arial"/>
                <w:sz w:val="18"/>
                <w:szCs w:val="18"/>
              </w:rPr>
            </w:pPr>
            <w:r w:rsidRPr="00DC2FB5">
              <w:rPr>
                <w:rFonts w:ascii="Arial" w:hAnsi="Arial" w:cs="Arial"/>
                <w:sz w:val="18"/>
                <w:szCs w:val="18"/>
              </w:rPr>
              <w:t>0</w:t>
            </w:r>
          </w:p>
        </w:tc>
        <w:tc>
          <w:tcPr>
            <w:tcW w:w="502" w:type="dxa"/>
          </w:tcPr>
          <w:p w:rsidR="00CA45CC" w:rsidRPr="00DC2FB5" w:rsidRDefault="00CA45CC" w:rsidP="00DC2FB5">
            <w:pPr>
              <w:autoSpaceDE w:val="0"/>
              <w:autoSpaceDN w:val="0"/>
              <w:adjustRightInd w:val="0"/>
              <w:spacing w:line="276" w:lineRule="auto"/>
              <w:jc w:val="both"/>
              <w:rPr>
                <w:rFonts w:ascii="Arial" w:hAnsi="Arial" w:cs="Arial"/>
                <w:b/>
                <w:bCs/>
                <w:sz w:val="14"/>
                <w:szCs w:val="14"/>
              </w:rPr>
            </w:pPr>
          </w:p>
          <w:p w:rsidR="00CA45CC" w:rsidRPr="00DC2FB5" w:rsidRDefault="00CA45CC" w:rsidP="00DC2FB5">
            <w:pPr>
              <w:shd w:val="clear" w:color="auto" w:fill="FFFFFF" w:themeFill="background1"/>
              <w:autoSpaceDE w:val="0"/>
              <w:autoSpaceDN w:val="0"/>
              <w:adjustRightInd w:val="0"/>
              <w:spacing w:line="276" w:lineRule="auto"/>
              <w:jc w:val="both"/>
              <w:rPr>
                <w:rFonts w:ascii="Arial" w:hAnsi="Arial" w:cs="Arial"/>
                <w:b/>
                <w:bCs/>
                <w:sz w:val="14"/>
                <w:szCs w:val="14"/>
              </w:rPr>
            </w:pPr>
          </w:p>
          <w:p w:rsidR="00CA45CC" w:rsidRPr="00DC2FB5" w:rsidRDefault="00CA45CC" w:rsidP="00DC2FB5">
            <w:pPr>
              <w:shd w:val="clear" w:color="auto" w:fill="FFFFFF" w:themeFill="background1"/>
              <w:autoSpaceDE w:val="0"/>
              <w:autoSpaceDN w:val="0"/>
              <w:adjustRightInd w:val="0"/>
              <w:spacing w:line="276" w:lineRule="auto"/>
              <w:jc w:val="both"/>
              <w:rPr>
                <w:rFonts w:ascii="Arial" w:hAnsi="Arial" w:cs="Arial"/>
                <w:b/>
                <w:bCs/>
                <w:sz w:val="14"/>
                <w:szCs w:val="14"/>
              </w:rPr>
            </w:pPr>
          </w:p>
          <w:p w:rsidR="00CA45CC" w:rsidRPr="00DC2FB5" w:rsidRDefault="00CA45CC" w:rsidP="00DC2FB5">
            <w:pPr>
              <w:shd w:val="clear" w:color="auto" w:fill="FFFFFF" w:themeFill="background1"/>
              <w:autoSpaceDE w:val="0"/>
              <w:autoSpaceDN w:val="0"/>
              <w:adjustRightInd w:val="0"/>
              <w:spacing w:line="276" w:lineRule="auto"/>
              <w:jc w:val="both"/>
              <w:rPr>
                <w:rFonts w:ascii="Arial" w:hAnsi="Arial" w:cs="Arial"/>
                <w:sz w:val="18"/>
                <w:szCs w:val="18"/>
              </w:rPr>
            </w:pPr>
            <w:r w:rsidRPr="00DC2FB5">
              <w:rPr>
                <w:rFonts w:ascii="Arial" w:hAnsi="Arial" w:cs="Arial"/>
                <w:b/>
                <w:bCs/>
                <w:sz w:val="14"/>
                <w:szCs w:val="14"/>
                <w:highlight w:val="red"/>
              </w:rPr>
              <w:t>216</w:t>
            </w:r>
          </w:p>
        </w:tc>
        <w:tc>
          <w:tcPr>
            <w:tcW w:w="474"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16"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40" w:type="dxa"/>
            <w:shd w:val="clear" w:color="auto" w:fill="auto"/>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60" w:type="dxa"/>
            <w:shd w:val="clear" w:color="auto" w:fill="auto"/>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3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9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0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29"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51"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4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45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63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630"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r>
      <w:tr w:rsidR="00CA45CC" w:rsidRPr="00DC2FB5" w:rsidTr="00CA45CC">
        <w:trPr>
          <w:cantSplit/>
          <w:trHeight w:val="1134"/>
        </w:trPr>
        <w:tc>
          <w:tcPr>
            <w:tcW w:w="416" w:type="dxa"/>
          </w:tcPr>
          <w:p w:rsidR="00CA45CC" w:rsidRPr="00DC2FB5" w:rsidRDefault="00CA45CC" w:rsidP="00DC2FB5">
            <w:pPr>
              <w:autoSpaceDE w:val="0"/>
              <w:autoSpaceDN w:val="0"/>
              <w:adjustRightInd w:val="0"/>
              <w:spacing w:line="276" w:lineRule="auto"/>
              <w:jc w:val="both"/>
              <w:rPr>
                <w:rFonts w:ascii="Arial" w:hAnsi="Arial" w:cs="Arial"/>
                <w:sz w:val="18"/>
                <w:szCs w:val="18"/>
              </w:rPr>
            </w:pPr>
          </w:p>
        </w:tc>
        <w:tc>
          <w:tcPr>
            <w:tcW w:w="502"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sz w:val="14"/>
                <w:szCs w:val="14"/>
              </w:rPr>
            </w:pPr>
            <w:r w:rsidRPr="00DC2FB5">
              <w:rPr>
                <w:rFonts w:ascii="Arial" w:hAnsi="Arial" w:cs="Arial"/>
                <w:sz w:val="14"/>
                <w:szCs w:val="14"/>
              </w:rPr>
              <w:t>Marlín</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474" w:type="dxa"/>
            <w:textDirection w:val="tbRl"/>
          </w:tcPr>
          <w:p w:rsidR="00CA45CC" w:rsidRPr="005A3A2D" w:rsidRDefault="00CA45CC" w:rsidP="00DC2FB5">
            <w:pPr>
              <w:autoSpaceDE w:val="0"/>
              <w:autoSpaceDN w:val="0"/>
              <w:adjustRightInd w:val="0"/>
              <w:spacing w:line="276" w:lineRule="auto"/>
              <w:ind w:left="113" w:right="113"/>
              <w:jc w:val="both"/>
              <w:rPr>
                <w:rFonts w:ascii="Arial" w:hAnsi="Arial" w:cs="Arial"/>
                <w:color w:val="00B050"/>
                <w:sz w:val="14"/>
                <w:szCs w:val="14"/>
              </w:rPr>
            </w:pPr>
            <w:r w:rsidRPr="005A3A2D">
              <w:rPr>
                <w:rFonts w:ascii="Arial" w:hAnsi="Arial" w:cs="Arial"/>
                <w:color w:val="00B050"/>
                <w:sz w:val="14"/>
                <w:szCs w:val="14"/>
              </w:rPr>
              <w:t>Peńasquito</w:t>
            </w:r>
          </w:p>
          <w:p w:rsidR="00CA45CC" w:rsidRPr="005A3A2D" w:rsidRDefault="00CA45CC" w:rsidP="00DC2FB5">
            <w:pPr>
              <w:autoSpaceDE w:val="0"/>
              <w:autoSpaceDN w:val="0"/>
              <w:adjustRightInd w:val="0"/>
              <w:spacing w:line="276" w:lineRule="auto"/>
              <w:ind w:left="113" w:right="113"/>
              <w:jc w:val="both"/>
              <w:rPr>
                <w:rFonts w:ascii="Arial" w:hAnsi="Arial" w:cs="Arial"/>
                <w:color w:val="00B050"/>
                <w:sz w:val="18"/>
                <w:szCs w:val="18"/>
              </w:rPr>
            </w:pPr>
          </w:p>
        </w:tc>
        <w:tc>
          <w:tcPr>
            <w:tcW w:w="516" w:type="dxa"/>
            <w:textDirection w:val="tbRl"/>
          </w:tcPr>
          <w:p w:rsidR="00CA45CC" w:rsidRPr="005A3A2D" w:rsidRDefault="00CA45CC" w:rsidP="00DC2FB5">
            <w:pPr>
              <w:autoSpaceDE w:val="0"/>
              <w:autoSpaceDN w:val="0"/>
              <w:adjustRightInd w:val="0"/>
              <w:spacing w:line="276" w:lineRule="auto"/>
              <w:ind w:left="113" w:right="113"/>
              <w:jc w:val="both"/>
              <w:rPr>
                <w:rFonts w:ascii="Arial" w:hAnsi="Arial" w:cs="Arial"/>
                <w:color w:val="00B050"/>
                <w:sz w:val="14"/>
                <w:szCs w:val="14"/>
              </w:rPr>
            </w:pPr>
            <w:r w:rsidRPr="005A3A2D">
              <w:rPr>
                <w:rFonts w:ascii="Arial" w:hAnsi="Arial" w:cs="Arial"/>
                <w:color w:val="00B050"/>
                <w:sz w:val="14"/>
                <w:szCs w:val="14"/>
              </w:rPr>
              <w:t>Pinos Altos</w:t>
            </w:r>
          </w:p>
          <w:p w:rsidR="00CA45CC" w:rsidRPr="005A3A2D" w:rsidRDefault="00CA45CC" w:rsidP="00DC2FB5">
            <w:pPr>
              <w:autoSpaceDE w:val="0"/>
              <w:autoSpaceDN w:val="0"/>
              <w:adjustRightInd w:val="0"/>
              <w:spacing w:line="276" w:lineRule="auto"/>
              <w:ind w:left="113" w:right="113"/>
              <w:jc w:val="both"/>
              <w:rPr>
                <w:rFonts w:ascii="Arial" w:hAnsi="Arial" w:cs="Arial"/>
                <w:color w:val="00B050"/>
                <w:sz w:val="18"/>
                <w:szCs w:val="18"/>
              </w:rPr>
            </w:pPr>
          </w:p>
        </w:tc>
        <w:tc>
          <w:tcPr>
            <w:tcW w:w="450" w:type="dxa"/>
            <w:textDirection w:val="tbRl"/>
          </w:tcPr>
          <w:p w:rsidR="00CA45CC" w:rsidRPr="005A3A2D" w:rsidRDefault="00CA45CC" w:rsidP="00DC2FB5">
            <w:pPr>
              <w:autoSpaceDE w:val="0"/>
              <w:autoSpaceDN w:val="0"/>
              <w:adjustRightInd w:val="0"/>
              <w:spacing w:line="276" w:lineRule="auto"/>
              <w:ind w:left="113" w:right="113"/>
              <w:jc w:val="both"/>
              <w:rPr>
                <w:rFonts w:ascii="Arial" w:hAnsi="Arial" w:cs="Arial"/>
                <w:color w:val="00B050"/>
                <w:sz w:val="14"/>
                <w:szCs w:val="14"/>
              </w:rPr>
            </w:pPr>
            <w:r w:rsidRPr="005A3A2D">
              <w:rPr>
                <w:rFonts w:ascii="Arial" w:hAnsi="Arial" w:cs="Arial"/>
                <w:color w:val="00B050"/>
                <w:sz w:val="14"/>
                <w:szCs w:val="14"/>
              </w:rPr>
              <w:t>La India</w:t>
            </w:r>
          </w:p>
          <w:p w:rsidR="00CA45CC" w:rsidRPr="005A3A2D" w:rsidRDefault="00CA45CC" w:rsidP="00DC2FB5">
            <w:pPr>
              <w:autoSpaceDE w:val="0"/>
              <w:autoSpaceDN w:val="0"/>
              <w:adjustRightInd w:val="0"/>
              <w:spacing w:line="276" w:lineRule="auto"/>
              <w:ind w:left="113" w:right="113"/>
              <w:jc w:val="both"/>
              <w:rPr>
                <w:rFonts w:ascii="Arial" w:hAnsi="Arial" w:cs="Arial"/>
                <w:color w:val="00B050"/>
                <w:sz w:val="18"/>
                <w:szCs w:val="18"/>
              </w:rPr>
            </w:pPr>
          </w:p>
        </w:tc>
        <w:tc>
          <w:tcPr>
            <w:tcW w:w="450" w:type="dxa"/>
            <w:textDirection w:val="tbRl"/>
          </w:tcPr>
          <w:p w:rsidR="00CA45CC" w:rsidRPr="005A3A2D" w:rsidRDefault="00CA45CC" w:rsidP="00DC2FB5">
            <w:pPr>
              <w:autoSpaceDE w:val="0"/>
              <w:autoSpaceDN w:val="0"/>
              <w:adjustRightInd w:val="0"/>
              <w:spacing w:line="276" w:lineRule="auto"/>
              <w:ind w:left="113" w:right="113"/>
              <w:jc w:val="both"/>
              <w:rPr>
                <w:rFonts w:ascii="Arial" w:hAnsi="Arial" w:cs="Arial"/>
                <w:color w:val="00B050"/>
                <w:sz w:val="14"/>
                <w:szCs w:val="14"/>
              </w:rPr>
            </w:pPr>
            <w:r w:rsidRPr="005A3A2D">
              <w:rPr>
                <w:rFonts w:ascii="Arial" w:hAnsi="Arial" w:cs="Arial"/>
                <w:color w:val="00B050"/>
                <w:sz w:val="14"/>
                <w:szCs w:val="14"/>
              </w:rPr>
              <w:t>Creston Mascota</w:t>
            </w:r>
          </w:p>
          <w:p w:rsidR="00CA45CC" w:rsidRPr="005A3A2D" w:rsidRDefault="00CA45CC" w:rsidP="00DC2FB5">
            <w:pPr>
              <w:autoSpaceDE w:val="0"/>
              <w:autoSpaceDN w:val="0"/>
              <w:adjustRightInd w:val="0"/>
              <w:spacing w:line="276" w:lineRule="auto"/>
              <w:ind w:left="113" w:right="113"/>
              <w:jc w:val="both"/>
              <w:rPr>
                <w:rFonts w:ascii="Arial" w:hAnsi="Arial" w:cs="Arial"/>
                <w:color w:val="00B050"/>
                <w:sz w:val="18"/>
                <w:szCs w:val="18"/>
              </w:rPr>
            </w:pPr>
          </w:p>
        </w:tc>
        <w:tc>
          <w:tcPr>
            <w:tcW w:w="450"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sz w:val="14"/>
                <w:szCs w:val="14"/>
              </w:rPr>
            </w:pPr>
            <w:r w:rsidRPr="00DC2FB5">
              <w:rPr>
                <w:rFonts w:ascii="Arial" w:hAnsi="Arial" w:cs="Arial"/>
                <w:sz w:val="14"/>
                <w:szCs w:val="14"/>
              </w:rPr>
              <w:t>Pueblo Viejo</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540"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sz w:val="14"/>
                <w:szCs w:val="14"/>
              </w:rPr>
            </w:pPr>
            <w:r w:rsidRPr="00DC2FB5">
              <w:rPr>
                <w:rFonts w:ascii="Arial" w:hAnsi="Arial" w:cs="Arial"/>
                <w:sz w:val="14"/>
                <w:szCs w:val="14"/>
              </w:rPr>
              <w:t>Musselwhite</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460"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sz w:val="14"/>
                <w:szCs w:val="14"/>
              </w:rPr>
            </w:pPr>
            <w:r w:rsidRPr="00DC2FB5">
              <w:rPr>
                <w:rFonts w:ascii="Arial" w:hAnsi="Arial" w:cs="Arial"/>
                <w:sz w:val="14"/>
                <w:szCs w:val="14"/>
              </w:rPr>
              <w:t>GoldexMine</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530"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sz w:val="14"/>
                <w:szCs w:val="14"/>
              </w:rPr>
            </w:pPr>
            <w:r w:rsidRPr="00DC2FB5">
              <w:rPr>
                <w:rFonts w:ascii="Arial" w:hAnsi="Arial" w:cs="Arial"/>
                <w:sz w:val="14"/>
                <w:szCs w:val="14"/>
              </w:rPr>
              <w:t>Lapa Mine</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490"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sz w:val="14"/>
                <w:szCs w:val="14"/>
              </w:rPr>
            </w:pPr>
            <w:r w:rsidRPr="00DC2FB5">
              <w:rPr>
                <w:rFonts w:ascii="Arial" w:hAnsi="Arial" w:cs="Arial"/>
                <w:sz w:val="14"/>
                <w:szCs w:val="14"/>
              </w:rPr>
              <w:t>Canadian Malartic</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500"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sz w:val="14"/>
                <w:szCs w:val="14"/>
              </w:rPr>
            </w:pPr>
            <w:r w:rsidRPr="00DC2FB5">
              <w:rPr>
                <w:rFonts w:ascii="Arial" w:hAnsi="Arial" w:cs="Arial"/>
                <w:sz w:val="14"/>
                <w:szCs w:val="14"/>
              </w:rPr>
              <w:t>Red Lake</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450"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sz w:val="14"/>
                <w:szCs w:val="14"/>
              </w:rPr>
            </w:pPr>
            <w:r w:rsidRPr="00DC2FB5">
              <w:rPr>
                <w:rFonts w:ascii="Arial" w:hAnsi="Arial" w:cs="Arial"/>
                <w:sz w:val="14"/>
                <w:szCs w:val="14"/>
              </w:rPr>
              <w:t>Cero Negro</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450"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sz w:val="14"/>
                <w:szCs w:val="14"/>
              </w:rPr>
            </w:pPr>
            <w:r w:rsidRPr="00DC2FB5">
              <w:rPr>
                <w:rFonts w:ascii="Arial" w:hAnsi="Arial" w:cs="Arial"/>
                <w:sz w:val="14"/>
                <w:szCs w:val="14"/>
              </w:rPr>
              <w:t>LaRonde</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529"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sz w:val="14"/>
                <w:szCs w:val="14"/>
              </w:rPr>
            </w:pPr>
            <w:r w:rsidRPr="00DC2FB5">
              <w:rPr>
                <w:rFonts w:ascii="Arial" w:hAnsi="Arial" w:cs="Arial"/>
                <w:sz w:val="14"/>
                <w:szCs w:val="14"/>
              </w:rPr>
              <w:t>Meadowbank Mine</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551"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sz w:val="14"/>
                <w:szCs w:val="14"/>
              </w:rPr>
            </w:pPr>
            <w:r w:rsidRPr="00DC2FB5">
              <w:rPr>
                <w:rFonts w:ascii="Arial" w:hAnsi="Arial" w:cs="Arial"/>
                <w:sz w:val="14"/>
                <w:szCs w:val="14"/>
              </w:rPr>
              <w:t>Kittila Mine</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540"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sz w:val="14"/>
                <w:szCs w:val="14"/>
              </w:rPr>
            </w:pPr>
            <w:r w:rsidRPr="00DC2FB5">
              <w:rPr>
                <w:rFonts w:ascii="Arial" w:hAnsi="Arial" w:cs="Arial"/>
                <w:sz w:val="14"/>
                <w:szCs w:val="14"/>
              </w:rPr>
              <w:t>Porcupine</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450"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sz w:val="14"/>
                <w:szCs w:val="14"/>
              </w:rPr>
            </w:pPr>
            <w:r w:rsidRPr="00DC2FB5">
              <w:rPr>
                <w:rFonts w:ascii="Arial" w:hAnsi="Arial" w:cs="Arial"/>
                <w:sz w:val="14"/>
                <w:szCs w:val="14"/>
              </w:rPr>
              <w:t>Eleonore</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630" w:type="dxa"/>
            <w:textDirection w:val="tbRl"/>
          </w:tcPr>
          <w:p w:rsidR="00CA45CC" w:rsidRPr="005A3A2D" w:rsidRDefault="00CA45CC" w:rsidP="00DC2FB5">
            <w:pPr>
              <w:autoSpaceDE w:val="0"/>
              <w:autoSpaceDN w:val="0"/>
              <w:adjustRightInd w:val="0"/>
              <w:spacing w:line="276" w:lineRule="auto"/>
              <w:ind w:left="113" w:right="113"/>
              <w:jc w:val="both"/>
              <w:rPr>
                <w:rFonts w:ascii="Arial" w:hAnsi="Arial" w:cs="Arial"/>
                <w:color w:val="00B050"/>
                <w:sz w:val="14"/>
                <w:szCs w:val="14"/>
              </w:rPr>
            </w:pPr>
            <w:r w:rsidRPr="005A3A2D">
              <w:rPr>
                <w:rFonts w:ascii="Arial" w:hAnsi="Arial" w:cs="Arial"/>
                <w:color w:val="00B050"/>
                <w:sz w:val="14"/>
                <w:szCs w:val="14"/>
              </w:rPr>
              <w:t>Los Filos</w:t>
            </w: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c>
          <w:tcPr>
            <w:tcW w:w="630" w:type="dxa"/>
            <w:textDirection w:val="tbRl"/>
          </w:tcPr>
          <w:p w:rsidR="00CA45CC" w:rsidRPr="00DC2FB5" w:rsidRDefault="00CA45CC" w:rsidP="00DC2FB5">
            <w:pPr>
              <w:autoSpaceDE w:val="0"/>
              <w:autoSpaceDN w:val="0"/>
              <w:adjustRightInd w:val="0"/>
              <w:spacing w:line="276" w:lineRule="auto"/>
              <w:ind w:left="113" w:right="113"/>
              <w:jc w:val="both"/>
              <w:rPr>
                <w:rFonts w:ascii="Arial" w:hAnsi="Arial" w:cs="Arial"/>
                <w:b/>
              </w:rPr>
            </w:pPr>
            <w:r w:rsidRPr="00DC2FB5">
              <w:rPr>
                <w:rFonts w:ascii="Arial" w:hAnsi="Arial" w:cs="Arial"/>
                <w:sz w:val="14"/>
                <w:szCs w:val="14"/>
              </w:rPr>
              <w:t>Alumbrera</w:t>
            </w:r>
          </w:p>
          <w:p w:rsidR="00CA45CC" w:rsidRPr="00DC2FB5" w:rsidRDefault="00CA45CC" w:rsidP="00DC2FB5">
            <w:pPr>
              <w:autoSpaceDE w:val="0"/>
              <w:autoSpaceDN w:val="0"/>
              <w:adjustRightInd w:val="0"/>
              <w:spacing w:line="276" w:lineRule="auto"/>
              <w:ind w:left="113" w:right="113"/>
              <w:jc w:val="both"/>
              <w:rPr>
                <w:rFonts w:ascii="Arial" w:hAnsi="Arial" w:cs="Arial"/>
                <w:b/>
              </w:rPr>
            </w:pPr>
          </w:p>
          <w:p w:rsidR="00CA45CC" w:rsidRPr="00DC2FB5" w:rsidRDefault="00CA45CC" w:rsidP="00DC2FB5">
            <w:pPr>
              <w:autoSpaceDE w:val="0"/>
              <w:autoSpaceDN w:val="0"/>
              <w:adjustRightInd w:val="0"/>
              <w:spacing w:line="276" w:lineRule="auto"/>
              <w:ind w:left="113" w:right="113"/>
              <w:jc w:val="both"/>
              <w:rPr>
                <w:rFonts w:ascii="Arial" w:hAnsi="Arial" w:cs="Arial"/>
                <w:sz w:val="18"/>
                <w:szCs w:val="18"/>
              </w:rPr>
            </w:pPr>
          </w:p>
        </w:tc>
      </w:tr>
    </w:tbl>
    <w:p w:rsidR="00EF2319" w:rsidRPr="00DC2FB5" w:rsidRDefault="00EF2319" w:rsidP="00DC2FB5">
      <w:pPr>
        <w:autoSpaceDE w:val="0"/>
        <w:autoSpaceDN w:val="0"/>
        <w:adjustRightInd w:val="0"/>
        <w:spacing w:after="0"/>
        <w:jc w:val="both"/>
        <w:rPr>
          <w:rFonts w:ascii="Arial" w:hAnsi="Arial" w:cs="Arial"/>
          <w:b/>
          <w:sz w:val="18"/>
          <w:szCs w:val="18"/>
        </w:rPr>
      </w:pPr>
      <w:r w:rsidRPr="00DC2FB5">
        <w:rPr>
          <w:rFonts w:ascii="Arial" w:hAnsi="Arial" w:cs="Arial"/>
          <w:b/>
          <w:sz w:val="18"/>
          <w:szCs w:val="18"/>
        </w:rPr>
        <w:t>S</w:t>
      </w:r>
      <w:r w:rsidR="00CA45CC" w:rsidRPr="00DC2FB5">
        <w:rPr>
          <w:rFonts w:ascii="Arial" w:hAnsi="Arial" w:cs="Arial"/>
          <w:b/>
          <w:sz w:val="18"/>
          <w:szCs w:val="18"/>
        </w:rPr>
        <w:t>URSA</w:t>
      </w:r>
      <w:r w:rsidRPr="00DC2FB5">
        <w:rPr>
          <w:rFonts w:ascii="Arial" w:hAnsi="Arial" w:cs="Arial"/>
          <w:b/>
          <w:sz w:val="18"/>
          <w:szCs w:val="18"/>
        </w:rPr>
        <w:t xml:space="preserve">: </w:t>
      </w:r>
      <w:r w:rsidR="00CA45CC" w:rsidRPr="00DC2FB5">
        <w:rPr>
          <w:rFonts w:ascii="Arial" w:hAnsi="Arial" w:cs="Arial"/>
          <w:b/>
          <w:sz w:val="18"/>
          <w:szCs w:val="18"/>
        </w:rPr>
        <w:t xml:space="preserve">Raporturi trimestriale ale </w:t>
      </w:r>
      <w:r w:rsidRPr="00DC2FB5">
        <w:rPr>
          <w:rFonts w:ascii="Arial" w:hAnsi="Arial" w:cs="Arial"/>
          <w:b/>
          <w:sz w:val="18"/>
          <w:szCs w:val="18"/>
        </w:rPr>
        <w:t xml:space="preserve">Agnico Eagle </w:t>
      </w:r>
      <w:r w:rsidR="00BA32A2" w:rsidRPr="00DC2FB5">
        <w:rPr>
          <w:rFonts w:ascii="Arial" w:hAnsi="Arial" w:cs="Arial"/>
          <w:b/>
          <w:sz w:val="18"/>
          <w:szCs w:val="18"/>
        </w:rPr>
        <w:t xml:space="preserve">şi </w:t>
      </w:r>
      <w:r w:rsidRPr="00DC2FB5">
        <w:rPr>
          <w:rFonts w:ascii="Arial" w:hAnsi="Arial" w:cs="Arial"/>
          <w:b/>
          <w:sz w:val="18"/>
          <w:szCs w:val="18"/>
        </w:rPr>
        <w:t>Goldcorp. Mine</w:t>
      </w:r>
      <w:r w:rsidR="00CA45CC" w:rsidRPr="00DC2FB5">
        <w:rPr>
          <w:rFonts w:ascii="Arial" w:hAnsi="Arial" w:cs="Arial"/>
          <w:b/>
          <w:sz w:val="18"/>
          <w:szCs w:val="18"/>
        </w:rPr>
        <w:t>le</w:t>
      </w:r>
      <w:r w:rsidR="00BA32A2" w:rsidRPr="00DC2FB5">
        <w:rPr>
          <w:rFonts w:ascii="Arial" w:hAnsi="Arial" w:cs="Arial"/>
          <w:b/>
          <w:sz w:val="18"/>
          <w:szCs w:val="18"/>
        </w:rPr>
        <w:t xml:space="preserve"> marcate  î</w:t>
      </w:r>
      <w:r w:rsidR="00CA45CC" w:rsidRPr="00DC2FB5">
        <w:rPr>
          <w:rFonts w:ascii="Arial" w:hAnsi="Arial" w:cs="Arial"/>
          <w:b/>
          <w:sz w:val="18"/>
          <w:szCs w:val="18"/>
        </w:rPr>
        <w:t xml:space="preserve">n verde sunt </w:t>
      </w:r>
      <w:r w:rsidR="00BA32A2" w:rsidRPr="00DC2FB5">
        <w:rPr>
          <w:rFonts w:ascii="Arial" w:hAnsi="Arial" w:cs="Arial"/>
          <w:b/>
          <w:sz w:val="18"/>
          <w:szCs w:val="18"/>
        </w:rPr>
        <w:t>situa</w:t>
      </w:r>
      <w:r w:rsidR="00CA45CC" w:rsidRPr="00DC2FB5">
        <w:rPr>
          <w:rFonts w:ascii="Arial" w:hAnsi="Arial" w:cs="Arial"/>
          <w:b/>
          <w:sz w:val="18"/>
          <w:szCs w:val="18"/>
        </w:rPr>
        <w:t xml:space="preserve">te în </w:t>
      </w:r>
      <w:r w:rsidRPr="00DC2FB5">
        <w:rPr>
          <w:rFonts w:ascii="Arial" w:hAnsi="Arial" w:cs="Arial"/>
          <w:b/>
          <w:sz w:val="18"/>
          <w:szCs w:val="18"/>
        </w:rPr>
        <w:t xml:space="preserve"> Mexic</w:t>
      </w:r>
    </w:p>
    <w:p w:rsidR="00EF2319" w:rsidRPr="00DC2FB5" w:rsidRDefault="00EF2319" w:rsidP="00DC2FB5">
      <w:pPr>
        <w:autoSpaceDE w:val="0"/>
        <w:autoSpaceDN w:val="0"/>
        <w:adjustRightInd w:val="0"/>
        <w:spacing w:after="0"/>
        <w:jc w:val="both"/>
        <w:rPr>
          <w:rFonts w:ascii="Arial" w:hAnsi="Arial" w:cs="Arial"/>
          <w:b/>
        </w:rPr>
      </w:pPr>
    </w:p>
    <w:p w:rsidR="00113DB7" w:rsidRPr="001537B4" w:rsidRDefault="00113DB7" w:rsidP="00DC2FB5">
      <w:pPr>
        <w:autoSpaceDE w:val="0"/>
        <w:autoSpaceDN w:val="0"/>
        <w:adjustRightInd w:val="0"/>
        <w:spacing w:after="0"/>
        <w:jc w:val="both"/>
        <w:rPr>
          <w:rFonts w:ascii="Arial" w:hAnsi="Arial" w:cs="Arial"/>
          <w:b/>
          <w:sz w:val="24"/>
          <w:szCs w:val="24"/>
        </w:rPr>
      </w:pPr>
      <w:r w:rsidRPr="001537B4">
        <w:rPr>
          <w:rFonts w:ascii="Arial" w:hAnsi="Arial" w:cs="Arial"/>
          <w:b/>
          <w:sz w:val="24"/>
          <w:szCs w:val="24"/>
        </w:rPr>
        <w:t>OPORTUNITĂŢI DE INVESTIŢII ÎN MEXIC</w:t>
      </w:r>
    </w:p>
    <w:p w:rsidR="00EF2319" w:rsidRPr="00DC2FB5" w:rsidRDefault="00EF2319" w:rsidP="00DC2FB5">
      <w:pPr>
        <w:autoSpaceDE w:val="0"/>
        <w:autoSpaceDN w:val="0"/>
        <w:adjustRightInd w:val="0"/>
        <w:spacing w:after="0"/>
        <w:jc w:val="both"/>
        <w:rPr>
          <w:rFonts w:ascii="Arial" w:hAnsi="Arial" w:cs="Arial"/>
          <w:b/>
          <w:sz w:val="24"/>
          <w:szCs w:val="24"/>
        </w:rPr>
      </w:pPr>
    </w:p>
    <w:p w:rsidR="00E53D14" w:rsidRPr="00DC2FB5" w:rsidRDefault="00E53D14" w:rsidP="00DC2FB5">
      <w:pPr>
        <w:autoSpaceDE w:val="0"/>
        <w:autoSpaceDN w:val="0"/>
        <w:adjustRightInd w:val="0"/>
        <w:spacing w:after="0"/>
        <w:jc w:val="both"/>
        <w:rPr>
          <w:rFonts w:ascii="Arial" w:hAnsi="Arial" w:cs="Arial"/>
          <w:sz w:val="24"/>
          <w:szCs w:val="24"/>
        </w:rPr>
      </w:pPr>
      <w:r w:rsidRPr="00DC2FB5">
        <w:rPr>
          <w:rFonts w:ascii="Arial" w:hAnsi="Arial" w:cs="Arial"/>
          <w:sz w:val="24"/>
          <w:szCs w:val="24"/>
        </w:rPr>
        <w:t>Un</w:t>
      </w:r>
      <w:r w:rsidR="001E3D49" w:rsidRPr="00DC2FB5">
        <w:rPr>
          <w:rFonts w:ascii="Arial" w:hAnsi="Arial" w:cs="Arial"/>
          <w:sz w:val="24"/>
          <w:szCs w:val="24"/>
        </w:rPr>
        <w:t>ul</w:t>
      </w:r>
      <w:r w:rsidRPr="00DC2FB5">
        <w:rPr>
          <w:rFonts w:ascii="Arial" w:hAnsi="Arial" w:cs="Arial"/>
          <w:sz w:val="24"/>
          <w:szCs w:val="24"/>
        </w:rPr>
        <w:t xml:space="preserve"> dintre </w:t>
      </w:r>
      <w:r w:rsidR="001E3D49" w:rsidRPr="00DC2FB5">
        <w:rPr>
          <w:rFonts w:ascii="Arial" w:hAnsi="Arial" w:cs="Arial"/>
          <w:sz w:val="24"/>
          <w:szCs w:val="24"/>
        </w:rPr>
        <w:t>principalele avantaje</w:t>
      </w:r>
      <w:r w:rsidRPr="00DC2FB5">
        <w:rPr>
          <w:rFonts w:ascii="Arial" w:hAnsi="Arial" w:cs="Arial"/>
          <w:sz w:val="24"/>
          <w:szCs w:val="24"/>
        </w:rPr>
        <w:t xml:space="preserve"> competitiv</w:t>
      </w:r>
      <w:r w:rsidR="001E3D49" w:rsidRPr="00DC2FB5">
        <w:rPr>
          <w:rFonts w:ascii="Arial" w:hAnsi="Arial" w:cs="Arial"/>
          <w:sz w:val="24"/>
          <w:szCs w:val="24"/>
        </w:rPr>
        <w:t xml:space="preserve">e ale sectorului minier </w:t>
      </w:r>
      <w:r w:rsidR="00113DB7" w:rsidRPr="00DC2FB5">
        <w:rPr>
          <w:rFonts w:ascii="Arial" w:hAnsi="Arial" w:cs="Arial"/>
          <w:sz w:val="24"/>
          <w:szCs w:val="24"/>
        </w:rPr>
        <w:t>m</w:t>
      </w:r>
      <w:r w:rsidR="001E3D49" w:rsidRPr="00DC2FB5">
        <w:rPr>
          <w:rFonts w:ascii="Arial" w:hAnsi="Arial" w:cs="Arial"/>
          <w:sz w:val="24"/>
          <w:szCs w:val="24"/>
        </w:rPr>
        <w:t xml:space="preserve">exican </w:t>
      </w:r>
      <w:r w:rsidRPr="00DC2FB5">
        <w:rPr>
          <w:rFonts w:ascii="Arial" w:hAnsi="Arial" w:cs="Arial"/>
          <w:sz w:val="24"/>
          <w:szCs w:val="24"/>
        </w:rPr>
        <w:t>este poten</w:t>
      </w:r>
      <w:r w:rsidR="006A407B" w:rsidRPr="00DC2FB5">
        <w:rPr>
          <w:rFonts w:ascii="Arial" w:hAnsi="Arial" w:cs="Arial"/>
          <w:sz w:val="24"/>
          <w:szCs w:val="24"/>
        </w:rPr>
        <w:t>ţ</w:t>
      </w:r>
      <w:r w:rsidRPr="00DC2FB5">
        <w:rPr>
          <w:rFonts w:ascii="Arial" w:hAnsi="Arial" w:cs="Arial"/>
          <w:sz w:val="24"/>
          <w:szCs w:val="24"/>
        </w:rPr>
        <w:t xml:space="preserve">ialul său geologic, </w:t>
      </w:r>
      <w:r w:rsidR="001E3D49" w:rsidRPr="00DC2FB5">
        <w:rPr>
          <w:rFonts w:ascii="Arial" w:hAnsi="Arial" w:cs="Arial"/>
          <w:sz w:val="24"/>
          <w:szCs w:val="24"/>
        </w:rPr>
        <w:t xml:space="preserve">întrucât bogăţia de </w:t>
      </w:r>
      <w:r w:rsidRPr="00DC2FB5">
        <w:rPr>
          <w:rFonts w:ascii="Arial" w:hAnsi="Arial" w:cs="Arial"/>
          <w:sz w:val="24"/>
          <w:szCs w:val="24"/>
        </w:rPr>
        <w:t>minerale</w:t>
      </w:r>
      <w:r w:rsidR="001E3D49" w:rsidRPr="00DC2FB5">
        <w:rPr>
          <w:rFonts w:ascii="Arial" w:hAnsi="Arial" w:cs="Arial"/>
          <w:sz w:val="24"/>
          <w:szCs w:val="24"/>
        </w:rPr>
        <w:t xml:space="preserve"> a</w:t>
      </w:r>
      <w:r w:rsidRPr="00DC2FB5">
        <w:rPr>
          <w:rFonts w:ascii="Arial" w:hAnsi="Arial" w:cs="Arial"/>
          <w:sz w:val="24"/>
          <w:szCs w:val="24"/>
        </w:rPr>
        <w:t xml:space="preserve"> Mexic</w:t>
      </w:r>
      <w:r w:rsidR="001E3D49" w:rsidRPr="00DC2FB5">
        <w:rPr>
          <w:rFonts w:ascii="Arial" w:hAnsi="Arial" w:cs="Arial"/>
          <w:sz w:val="24"/>
          <w:szCs w:val="24"/>
        </w:rPr>
        <w:t xml:space="preserve">ului </w:t>
      </w:r>
      <w:r w:rsidRPr="00DC2FB5">
        <w:rPr>
          <w:rFonts w:ascii="Arial" w:hAnsi="Arial" w:cs="Arial"/>
          <w:sz w:val="24"/>
          <w:szCs w:val="24"/>
        </w:rPr>
        <w:t xml:space="preserve">este vastă </w:t>
      </w:r>
      <w:r w:rsidR="006A407B" w:rsidRPr="00DC2FB5">
        <w:rPr>
          <w:rFonts w:ascii="Arial" w:hAnsi="Arial" w:cs="Arial"/>
          <w:sz w:val="24"/>
          <w:szCs w:val="24"/>
        </w:rPr>
        <w:t>ş</w:t>
      </w:r>
      <w:r w:rsidR="001E3D49" w:rsidRPr="00DC2FB5">
        <w:rPr>
          <w:rFonts w:ascii="Arial" w:hAnsi="Arial" w:cs="Arial"/>
          <w:sz w:val="24"/>
          <w:szCs w:val="24"/>
        </w:rPr>
        <w:t xml:space="preserve">i </w:t>
      </w:r>
      <w:r w:rsidR="00113DB7" w:rsidRPr="00DC2FB5">
        <w:rPr>
          <w:rFonts w:ascii="Arial" w:hAnsi="Arial" w:cs="Arial"/>
          <w:sz w:val="24"/>
          <w:szCs w:val="24"/>
        </w:rPr>
        <w:t>divers</w:t>
      </w:r>
      <w:r w:rsidR="001E3D49" w:rsidRPr="00DC2FB5">
        <w:rPr>
          <w:rFonts w:ascii="Arial" w:hAnsi="Arial" w:cs="Arial"/>
          <w:sz w:val="24"/>
          <w:szCs w:val="24"/>
        </w:rPr>
        <w:t xml:space="preserve">ă. În prezent, </w:t>
      </w:r>
      <w:r w:rsidRPr="00DC2FB5">
        <w:rPr>
          <w:rFonts w:ascii="Arial" w:hAnsi="Arial" w:cs="Arial"/>
          <w:sz w:val="24"/>
          <w:szCs w:val="24"/>
        </w:rPr>
        <w:t>produc</w:t>
      </w:r>
      <w:r w:rsidR="006A407B" w:rsidRPr="00DC2FB5">
        <w:rPr>
          <w:rFonts w:ascii="Arial" w:hAnsi="Arial" w:cs="Arial"/>
          <w:sz w:val="24"/>
          <w:szCs w:val="24"/>
        </w:rPr>
        <w:t>ţ</w:t>
      </w:r>
      <w:r w:rsidRPr="00DC2FB5">
        <w:rPr>
          <w:rFonts w:ascii="Arial" w:hAnsi="Arial" w:cs="Arial"/>
          <w:sz w:val="24"/>
          <w:szCs w:val="24"/>
        </w:rPr>
        <w:t>ia internă de minerale</w:t>
      </w:r>
      <w:r w:rsidR="001E3D49" w:rsidRPr="00DC2FB5">
        <w:rPr>
          <w:rFonts w:ascii="Arial" w:hAnsi="Arial" w:cs="Arial"/>
          <w:sz w:val="24"/>
          <w:szCs w:val="24"/>
        </w:rPr>
        <w:t>,</w:t>
      </w:r>
      <w:r w:rsidRPr="00DC2FB5">
        <w:rPr>
          <w:rFonts w:ascii="Arial" w:hAnsi="Arial" w:cs="Arial"/>
          <w:sz w:val="24"/>
          <w:szCs w:val="24"/>
        </w:rPr>
        <w:t xml:space="preserve"> arendabil</w:t>
      </w:r>
      <w:r w:rsidR="001E3D49" w:rsidRPr="00DC2FB5">
        <w:rPr>
          <w:rFonts w:ascii="Arial" w:hAnsi="Arial" w:cs="Arial"/>
          <w:sz w:val="24"/>
          <w:szCs w:val="24"/>
        </w:rPr>
        <w:t xml:space="preserve">ă, </w:t>
      </w:r>
      <w:r w:rsidRPr="00DC2FB5">
        <w:rPr>
          <w:rFonts w:ascii="Arial" w:hAnsi="Arial" w:cs="Arial"/>
          <w:sz w:val="24"/>
          <w:szCs w:val="24"/>
        </w:rPr>
        <w:t xml:space="preserve">cuprinde 32 de produse, </w:t>
      </w:r>
      <w:r w:rsidR="00ED189E" w:rsidRPr="00DC2FB5">
        <w:rPr>
          <w:rFonts w:ascii="Arial" w:hAnsi="Arial" w:cs="Arial"/>
          <w:sz w:val="24"/>
          <w:szCs w:val="24"/>
        </w:rPr>
        <w:t>dintre c</w:t>
      </w:r>
      <w:r w:rsidR="00045E70">
        <w:rPr>
          <w:rFonts w:ascii="Arial" w:hAnsi="Arial" w:cs="Arial"/>
          <w:sz w:val="24"/>
          <w:szCs w:val="24"/>
        </w:rPr>
        <w:t xml:space="preserve">are şaisprezece </w:t>
      </w:r>
      <w:r w:rsidR="00113DB7" w:rsidRPr="00DC2FB5">
        <w:rPr>
          <w:rFonts w:ascii="Arial" w:hAnsi="Arial" w:cs="Arial"/>
          <w:sz w:val="24"/>
          <w:szCs w:val="24"/>
        </w:rPr>
        <w:t xml:space="preserve">ale ţării </w:t>
      </w:r>
      <w:r w:rsidR="001E3D49" w:rsidRPr="00DC2FB5">
        <w:rPr>
          <w:rFonts w:ascii="Arial" w:hAnsi="Arial" w:cs="Arial"/>
          <w:sz w:val="24"/>
          <w:szCs w:val="24"/>
        </w:rPr>
        <w:t>noastr</w:t>
      </w:r>
      <w:r w:rsidR="00113DB7" w:rsidRPr="00DC2FB5">
        <w:rPr>
          <w:rFonts w:ascii="Arial" w:hAnsi="Arial" w:cs="Arial"/>
          <w:sz w:val="24"/>
          <w:szCs w:val="24"/>
        </w:rPr>
        <w:t>e</w:t>
      </w:r>
      <w:r w:rsidR="001E3D49" w:rsidRPr="00DC2FB5">
        <w:rPr>
          <w:rFonts w:ascii="Arial" w:hAnsi="Arial" w:cs="Arial"/>
          <w:sz w:val="24"/>
          <w:szCs w:val="24"/>
        </w:rPr>
        <w:t xml:space="preserve"> se află </w:t>
      </w:r>
      <w:r w:rsidRPr="00DC2FB5">
        <w:rPr>
          <w:rFonts w:ascii="Arial" w:hAnsi="Arial" w:cs="Arial"/>
          <w:sz w:val="24"/>
          <w:szCs w:val="24"/>
        </w:rPr>
        <w:t>prin</w:t>
      </w:r>
      <w:r w:rsidR="00ED189E" w:rsidRPr="00DC2FB5">
        <w:rPr>
          <w:rFonts w:ascii="Arial" w:hAnsi="Arial" w:cs="Arial"/>
          <w:sz w:val="24"/>
          <w:szCs w:val="24"/>
        </w:rPr>
        <w:t xml:space="preserve">tre primii zece producători din </w:t>
      </w:r>
      <w:r w:rsidRPr="00DC2FB5">
        <w:rPr>
          <w:rFonts w:ascii="Arial" w:hAnsi="Arial" w:cs="Arial"/>
          <w:sz w:val="24"/>
          <w:szCs w:val="24"/>
        </w:rPr>
        <w:t>lume.</w:t>
      </w:r>
    </w:p>
    <w:p w:rsidR="00113DB7" w:rsidRPr="00DC2FB5" w:rsidRDefault="00113DB7" w:rsidP="00DC2FB5">
      <w:pPr>
        <w:autoSpaceDE w:val="0"/>
        <w:autoSpaceDN w:val="0"/>
        <w:adjustRightInd w:val="0"/>
        <w:spacing w:after="0"/>
        <w:jc w:val="both"/>
        <w:rPr>
          <w:rFonts w:ascii="Arial" w:hAnsi="Arial" w:cs="Arial"/>
          <w:sz w:val="24"/>
          <w:szCs w:val="24"/>
        </w:rPr>
      </w:pPr>
      <w:r w:rsidRPr="00DC2FB5">
        <w:rPr>
          <w:rFonts w:ascii="Arial" w:hAnsi="Arial" w:cs="Arial"/>
          <w:sz w:val="24"/>
          <w:szCs w:val="24"/>
        </w:rPr>
        <w:tab/>
      </w:r>
      <w:r w:rsidR="00E53D14" w:rsidRPr="00DC2FB5">
        <w:rPr>
          <w:rFonts w:ascii="Arial" w:hAnsi="Arial" w:cs="Arial"/>
          <w:sz w:val="24"/>
          <w:szCs w:val="24"/>
        </w:rPr>
        <w:t>Mexic</w:t>
      </w:r>
      <w:r w:rsidR="00ED189E" w:rsidRPr="00DC2FB5">
        <w:rPr>
          <w:rFonts w:ascii="Arial" w:hAnsi="Arial" w:cs="Arial"/>
          <w:sz w:val="24"/>
          <w:szCs w:val="24"/>
        </w:rPr>
        <w:t>ul</w:t>
      </w:r>
      <w:r w:rsidR="00E53D14" w:rsidRPr="00DC2FB5">
        <w:rPr>
          <w:rFonts w:ascii="Arial" w:hAnsi="Arial" w:cs="Arial"/>
          <w:sz w:val="24"/>
          <w:szCs w:val="24"/>
        </w:rPr>
        <w:t xml:space="preserve"> oferă </w:t>
      </w:r>
      <w:r w:rsidR="00617F88">
        <w:rPr>
          <w:rFonts w:ascii="Arial" w:hAnsi="Arial" w:cs="Arial"/>
          <w:sz w:val="24"/>
          <w:szCs w:val="24"/>
        </w:rPr>
        <w:t xml:space="preserve">diferite </w:t>
      </w:r>
      <w:r w:rsidR="00E53D14" w:rsidRPr="00DC2FB5">
        <w:rPr>
          <w:rFonts w:ascii="Arial" w:hAnsi="Arial" w:cs="Arial"/>
          <w:sz w:val="24"/>
          <w:szCs w:val="24"/>
        </w:rPr>
        <w:t>op</w:t>
      </w:r>
      <w:r w:rsidR="006A407B" w:rsidRPr="00DC2FB5">
        <w:rPr>
          <w:rFonts w:ascii="Arial" w:hAnsi="Arial" w:cs="Arial"/>
          <w:sz w:val="24"/>
          <w:szCs w:val="24"/>
        </w:rPr>
        <w:t>ţ</w:t>
      </w:r>
      <w:r w:rsidR="00ED189E" w:rsidRPr="00DC2FB5">
        <w:rPr>
          <w:rFonts w:ascii="Arial" w:hAnsi="Arial" w:cs="Arial"/>
          <w:sz w:val="24"/>
          <w:szCs w:val="24"/>
        </w:rPr>
        <w:t xml:space="preserve">iuni pentru </w:t>
      </w:r>
      <w:r w:rsidR="00E53D14" w:rsidRPr="00DC2FB5">
        <w:rPr>
          <w:rFonts w:ascii="Arial" w:hAnsi="Arial" w:cs="Arial"/>
          <w:sz w:val="24"/>
          <w:szCs w:val="24"/>
        </w:rPr>
        <w:t xml:space="preserve">dezvoltarea afacerilor de succes în domeniul resurselor minerale. </w:t>
      </w:r>
      <w:r w:rsidR="00ED189E" w:rsidRPr="00DC2FB5">
        <w:rPr>
          <w:rFonts w:ascii="Arial" w:hAnsi="Arial" w:cs="Arial"/>
          <w:sz w:val="24"/>
          <w:szCs w:val="24"/>
        </w:rPr>
        <w:t xml:space="preserve">În decembrie </w:t>
      </w:r>
      <w:r w:rsidR="00E53D14" w:rsidRPr="00DC2FB5">
        <w:rPr>
          <w:rFonts w:ascii="Arial" w:hAnsi="Arial" w:cs="Arial"/>
          <w:sz w:val="24"/>
          <w:szCs w:val="24"/>
        </w:rPr>
        <w:t>2015</w:t>
      </w:r>
      <w:r w:rsidR="00ED189E" w:rsidRPr="00DC2FB5">
        <w:rPr>
          <w:rFonts w:ascii="Arial" w:hAnsi="Arial" w:cs="Arial"/>
          <w:sz w:val="24"/>
          <w:szCs w:val="24"/>
        </w:rPr>
        <w:t>, în ţară e</w:t>
      </w:r>
      <w:r w:rsidR="00617F88">
        <w:rPr>
          <w:rFonts w:ascii="Arial" w:hAnsi="Arial" w:cs="Arial"/>
          <w:sz w:val="24"/>
          <w:szCs w:val="24"/>
        </w:rPr>
        <w:t>ra</w:t>
      </w:r>
      <w:r w:rsidR="00ED189E" w:rsidRPr="00DC2FB5">
        <w:rPr>
          <w:rFonts w:ascii="Arial" w:hAnsi="Arial" w:cs="Arial"/>
          <w:sz w:val="24"/>
          <w:szCs w:val="24"/>
        </w:rPr>
        <w:t xml:space="preserve">u în vigoare, în total, un număr de </w:t>
      </w:r>
      <w:r w:rsidR="00E53D14" w:rsidRPr="00DC2FB5">
        <w:rPr>
          <w:rFonts w:ascii="Arial" w:hAnsi="Arial" w:cs="Arial"/>
          <w:sz w:val="24"/>
          <w:szCs w:val="24"/>
        </w:rPr>
        <w:t>25</w:t>
      </w:r>
      <w:r w:rsidR="00ED189E" w:rsidRPr="00DC2FB5">
        <w:rPr>
          <w:rFonts w:ascii="Arial" w:hAnsi="Arial" w:cs="Arial"/>
          <w:sz w:val="24"/>
          <w:szCs w:val="24"/>
        </w:rPr>
        <w:t>.</w:t>
      </w:r>
      <w:r w:rsidR="00E53D14" w:rsidRPr="00DC2FB5">
        <w:rPr>
          <w:rFonts w:ascii="Arial" w:hAnsi="Arial" w:cs="Arial"/>
          <w:sz w:val="24"/>
          <w:szCs w:val="24"/>
        </w:rPr>
        <w:t>531</w:t>
      </w:r>
      <w:r w:rsidR="00ED189E" w:rsidRPr="00DC2FB5">
        <w:rPr>
          <w:rFonts w:ascii="Arial" w:hAnsi="Arial" w:cs="Arial"/>
          <w:sz w:val="24"/>
          <w:szCs w:val="24"/>
        </w:rPr>
        <w:t xml:space="preserve"> titluri de </w:t>
      </w:r>
      <w:r w:rsidR="00E53D14" w:rsidRPr="00DC2FB5">
        <w:rPr>
          <w:rFonts w:ascii="Arial" w:hAnsi="Arial" w:cs="Arial"/>
          <w:sz w:val="24"/>
          <w:szCs w:val="24"/>
        </w:rPr>
        <w:t>concesiune minieră</w:t>
      </w:r>
      <w:r w:rsidR="00ED189E" w:rsidRPr="00DC2FB5">
        <w:rPr>
          <w:rFonts w:ascii="Arial" w:hAnsi="Arial" w:cs="Arial"/>
          <w:sz w:val="24"/>
          <w:szCs w:val="24"/>
        </w:rPr>
        <w:t xml:space="preserve">, </w:t>
      </w:r>
      <w:r w:rsidR="00E53D14" w:rsidRPr="00DC2FB5">
        <w:rPr>
          <w:rFonts w:ascii="Arial" w:hAnsi="Arial" w:cs="Arial"/>
          <w:sz w:val="24"/>
          <w:szCs w:val="24"/>
        </w:rPr>
        <w:t>care acoper</w:t>
      </w:r>
      <w:r w:rsidR="00ED189E" w:rsidRPr="00DC2FB5">
        <w:rPr>
          <w:rFonts w:ascii="Arial" w:hAnsi="Arial" w:cs="Arial"/>
          <w:sz w:val="24"/>
          <w:szCs w:val="24"/>
        </w:rPr>
        <w:t xml:space="preserve">eau </w:t>
      </w:r>
      <w:r w:rsidR="00E53D14" w:rsidRPr="00DC2FB5">
        <w:rPr>
          <w:rFonts w:ascii="Arial" w:hAnsi="Arial" w:cs="Arial"/>
          <w:sz w:val="24"/>
          <w:szCs w:val="24"/>
        </w:rPr>
        <w:t>o suprafa</w:t>
      </w:r>
      <w:r w:rsidR="006A407B" w:rsidRPr="00DC2FB5">
        <w:rPr>
          <w:rFonts w:ascii="Arial" w:hAnsi="Arial" w:cs="Arial"/>
          <w:sz w:val="24"/>
          <w:szCs w:val="24"/>
        </w:rPr>
        <w:t>ţ</w:t>
      </w:r>
      <w:r w:rsidR="00ED189E" w:rsidRPr="00DC2FB5">
        <w:rPr>
          <w:rFonts w:ascii="Arial" w:hAnsi="Arial" w:cs="Arial"/>
          <w:sz w:val="24"/>
          <w:szCs w:val="24"/>
        </w:rPr>
        <w:t xml:space="preserve">ă de 23,17 </w:t>
      </w:r>
      <w:r w:rsidR="00E53D14" w:rsidRPr="00DC2FB5">
        <w:rPr>
          <w:rFonts w:ascii="Arial" w:hAnsi="Arial" w:cs="Arial"/>
          <w:sz w:val="24"/>
          <w:szCs w:val="24"/>
        </w:rPr>
        <w:t>milioane de hectare, echivalent</w:t>
      </w:r>
      <w:r w:rsidR="00ED189E" w:rsidRPr="00DC2FB5">
        <w:rPr>
          <w:rFonts w:ascii="Arial" w:hAnsi="Arial" w:cs="Arial"/>
          <w:sz w:val="24"/>
          <w:szCs w:val="24"/>
        </w:rPr>
        <w:t xml:space="preserve">ul a 11,8% din </w:t>
      </w:r>
      <w:r w:rsidR="00E53D14" w:rsidRPr="00DC2FB5">
        <w:rPr>
          <w:rFonts w:ascii="Arial" w:hAnsi="Arial" w:cs="Arial"/>
          <w:sz w:val="24"/>
          <w:szCs w:val="24"/>
        </w:rPr>
        <w:t>teritoriul na</w:t>
      </w:r>
      <w:r w:rsidR="006A407B" w:rsidRPr="00DC2FB5">
        <w:rPr>
          <w:rFonts w:ascii="Arial" w:hAnsi="Arial" w:cs="Arial"/>
          <w:sz w:val="24"/>
          <w:szCs w:val="24"/>
        </w:rPr>
        <w:t>ţ</w:t>
      </w:r>
      <w:r w:rsidR="00E53D14" w:rsidRPr="00DC2FB5">
        <w:rPr>
          <w:rFonts w:ascii="Arial" w:hAnsi="Arial" w:cs="Arial"/>
          <w:sz w:val="24"/>
          <w:szCs w:val="24"/>
        </w:rPr>
        <w:t>ional.</w:t>
      </w:r>
      <w:r w:rsidRPr="00DC2FB5">
        <w:rPr>
          <w:rFonts w:ascii="Arial" w:hAnsi="Arial" w:cs="Arial"/>
          <w:sz w:val="24"/>
          <w:szCs w:val="24"/>
        </w:rPr>
        <w:t xml:space="preserve"> </w:t>
      </w:r>
      <w:r w:rsidR="00ED189E" w:rsidRPr="00DC2FB5">
        <w:rPr>
          <w:rFonts w:ascii="Arial" w:hAnsi="Arial" w:cs="Arial"/>
          <w:sz w:val="24"/>
          <w:szCs w:val="24"/>
        </w:rPr>
        <w:t xml:space="preserve">Aceasta înseamnă </w:t>
      </w:r>
      <w:r w:rsidR="00E53D14" w:rsidRPr="00DC2FB5">
        <w:rPr>
          <w:rFonts w:ascii="Arial" w:hAnsi="Arial" w:cs="Arial"/>
          <w:sz w:val="24"/>
          <w:szCs w:val="24"/>
        </w:rPr>
        <w:t>că există oportunită</w:t>
      </w:r>
      <w:r w:rsidR="006A407B" w:rsidRPr="00DC2FB5">
        <w:rPr>
          <w:rFonts w:ascii="Arial" w:hAnsi="Arial" w:cs="Arial"/>
          <w:sz w:val="24"/>
          <w:szCs w:val="24"/>
        </w:rPr>
        <w:t>ţ</w:t>
      </w:r>
      <w:r w:rsidR="00ED189E" w:rsidRPr="00DC2FB5">
        <w:rPr>
          <w:rFonts w:ascii="Arial" w:hAnsi="Arial" w:cs="Arial"/>
          <w:sz w:val="24"/>
          <w:szCs w:val="24"/>
        </w:rPr>
        <w:t xml:space="preserve">i ample pentru </w:t>
      </w:r>
      <w:r w:rsidR="00E53D14" w:rsidRPr="00DC2FB5">
        <w:rPr>
          <w:rFonts w:ascii="Arial" w:hAnsi="Arial" w:cs="Arial"/>
          <w:sz w:val="24"/>
          <w:szCs w:val="24"/>
        </w:rPr>
        <w:t>demararea unei afaceri miniere d</w:t>
      </w:r>
      <w:r w:rsidR="00ED189E" w:rsidRPr="00DC2FB5">
        <w:rPr>
          <w:rFonts w:ascii="Arial" w:hAnsi="Arial" w:cs="Arial"/>
          <w:sz w:val="24"/>
          <w:szCs w:val="24"/>
        </w:rPr>
        <w:t xml:space="preserve">in etapa de explorare </w:t>
      </w:r>
      <w:r w:rsidR="00E53D14" w:rsidRPr="00DC2FB5">
        <w:rPr>
          <w:rFonts w:ascii="Arial" w:hAnsi="Arial" w:cs="Arial"/>
          <w:sz w:val="24"/>
          <w:szCs w:val="24"/>
        </w:rPr>
        <w:t>prin solicitarea unei licen</w:t>
      </w:r>
      <w:r w:rsidR="006A407B" w:rsidRPr="00DC2FB5">
        <w:rPr>
          <w:rFonts w:ascii="Arial" w:hAnsi="Arial" w:cs="Arial"/>
          <w:sz w:val="24"/>
          <w:szCs w:val="24"/>
        </w:rPr>
        <w:t>ţ</w:t>
      </w:r>
      <w:r w:rsidR="00ED189E" w:rsidRPr="00DC2FB5">
        <w:rPr>
          <w:rFonts w:ascii="Arial" w:hAnsi="Arial" w:cs="Arial"/>
          <w:sz w:val="24"/>
          <w:szCs w:val="24"/>
        </w:rPr>
        <w:t xml:space="preserve">e, </w:t>
      </w:r>
      <w:r w:rsidR="00E53D14" w:rsidRPr="00DC2FB5">
        <w:rPr>
          <w:rFonts w:ascii="Arial" w:hAnsi="Arial" w:cs="Arial"/>
          <w:sz w:val="24"/>
          <w:szCs w:val="24"/>
        </w:rPr>
        <w:t>pentru care informa</w:t>
      </w:r>
      <w:r w:rsidR="006A407B" w:rsidRPr="00DC2FB5">
        <w:rPr>
          <w:rFonts w:ascii="Arial" w:hAnsi="Arial" w:cs="Arial"/>
          <w:sz w:val="24"/>
          <w:szCs w:val="24"/>
        </w:rPr>
        <w:t>ţ</w:t>
      </w:r>
      <w:r w:rsidR="00E53D14" w:rsidRPr="00DC2FB5">
        <w:rPr>
          <w:rFonts w:ascii="Arial" w:hAnsi="Arial" w:cs="Arial"/>
          <w:sz w:val="24"/>
          <w:szCs w:val="24"/>
        </w:rPr>
        <w:t>iile de cartografie</w:t>
      </w:r>
      <w:r w:rsidR="00ED189E" w:rsidRPr="00DC2FB5">
        <w:rPr>
          <w:rFonts w:ascii="Arial" w:hAnsi="Arial" w:cs="Arial"/>
          <w:sz w:val="24"/>
          <w:szCs w:val="24"/>
        </w:rPr>
        <w:t xml:space="preserve"> furnizate </w:t>
      </w:r>
      <w:r w:rsidR="00E53D14" w:rsidRPr="00DC2FB5">
        <w:rPr>
          <w:rFonts w:ascii="Arial" w:hAnsi="Arial" w:cs="Arial"/>
          <w:sz w:val="24"/>
          <w:szCs w:val="24"/>
        </w:rPr>
        <w:t xml:space="preserve">de Studiul </w:t>
      </w:r>
      <w:r w:rsidR="00ED189E" w:rsidRPr="00DC2FB5">
        <w:rPr>
          <w:rFonts w:ascii="Arial" w:hAnsi="Arial" w:cs="Arial"/>
          <w:sz w:val="24"/>
          <w:szCs w:val="24"/>
        </w:rPr>
        <w:t xml:space="preserve">de Geologie Minieră </w:t>
      </w:r>
      <w:r w:rsidR="00E53D14" w:rsidRPr="00DC2FB5">
        <w:rPr>
          <w:rFonts w:ascii="Arial" w:hAnsi="Arial" w:cs="Arial"/>
          <w:sz w:val="24"/>
          <w:szCs w:val="24"/>
        </w:rPr>
        <w:t xml:space="preserve">(AGA) </w:t>
      </w:r>
      <w:r w:rsidR="00617F88">
        <w:rPr>
          <w:rFonts w:ascii="Arial" w:hAnsi="Arial" w:cs="Arial"/>
          <w:sz w:val="24"/>
          <w:szCs w:val="24"/>
        </w:rPr>
        <w:t xml:space="preserve">sunt </w:t>
      </w:r>
      <w:r w:rsidRPr="00DC2FB5">
        <w:rPr>
          <w:rFonts w:ascii="Arial" w:hAnsi="Arial" w:cs="Arial"/>
          <w:sz w:val="24"/>
          <w:szCs w:val="24"/>
        </w:rPr>
        <w:t>inestimabil</w:t>
      </w:r>
      <w:r w:rsidR="00617F88">
        <w:rPr>
          <w:rFonts w:ascii="Arial" w:hAnsi="Arial" w:cs="Arial"/>
          <w:sz w:val="24"/>
          <w:szCs w:val="24"/>
        </w:rPr>
        <w:t>e</w:t>
      </w:r>
      <w:r w:rsidRPr="00DC2FB5">
        <w:rPr>
          <w:rFonts w:ascii="Arial" w:hAnsi="Arial" w:cs="Arial"/>
          <w:sz w:val="24"/>
          <w:szCs w:val="24"/>
        </w:rPr>
        <w:t xml:space="preserve">. </w:t>
      </w:r>
      <w:r w:rsidR="007779D4" w:rsidRPr="00DC2FB5">
        <w:rPr>
          <w:rFonts w:ascii="Arial" w:hAnsi="Arial" w:cs="Arial"/>
          <w:sz w:val="24"/>
          <w:szCs w:val="24"/>
        </w:rPr>
        <w:t xml:space="preserve"> </w:t>
      </w:r>
    </w:p>
    <w:p w:rsidR="00E53D14" w:rsidRPr="00DC2FB5" w:rsidRDefault="00113DB7" w:rsidP="00DC2FB5">
      <w:pPr>
        <w:autoSpaceDE w:val="0"/>
        <w:autoSpaceDN w:val="0"/>
        <w:adjustRightInd w:val="0"/>
        <w:spacing w:after="0"/>
        <w:jc w:val="both"/>
        <w:rPr>
          <w:rFonts w:ascii="Arial" w:hAnsi="Arial" w:cs="Arial"/>
          <w:sz w:val="24"/>
          <w:szCs w:val="24"/>
        </w:rPr>
      </w:pPr>
      <w:r w:rsidRPr="00DC2FB5">
        <w:rPr>
          <w:rFonts w:ascii="Arial" w:hAnsi="Arial" w:cs="Arial"/>
          <w:sz w:val="24"/>
          <w:szCs w:val="24"/>
        </w:rPr>
        <w:tab/>
      </w:r>
      <w:r w:rsidR="007779D4" w:rsidRPr="00DC2FB5">
        <w:rPr>
          <w:rFonts w:ascii="Arial" w:hAnsi="Arial" w:cs="Arial"/>
          <w:sz w:val="24"/>
          <w:szCs w:val="24"/>
        </w:rPr>
        <w:t>H</w:t>
      </w:r>
      <w:r w:rsidR="00ED189E" w:rsidRPr="00DC2FB5">
        <w:rPr>
          <w:rFonts w:ascii="Arial" w:hAnsi="Arial" w:cs="Arial"/>
          <w:sz w:val="24"/>
          <w:szCs w:val="24"/>
        </w:rPr>
        <w:t>ărţi</w:t>
      </w:r>
      <w:r w:rsidR="007779D4" w:rsidRPr="00DC2FB5">
        <w:rPr>
          <w:rFonts w:ascii="Arial" w:hAnsi="Arial" w:cs="Arial"/>
          <w:sz w:val="24"/>
          <w:szCs w:val="24"/>
        </w:rPr>
        <w:t>le g</w:t>
      </w:r>
      <w:r w:rsidR="00E53D14" w:rsidRPr="00DC2FB5">
        <w:rPr>
          <w:rFonts w:ascii="Arial" w:hAnsi="Arial" w:cs="Arial"/>
          <w:sz w:val="24"/>
          <w:szCs w:val="24"/>
        </w:rPr>
        <w:t>eologice-miniere la scar</w:t>
      </w:r>
      <w:r w:rsidR="007779D4" w:rsidRPr="00DC2FB5">
        <w:rPr>
          <w:rFonts w:ascii="Arial" w:hAnsi="Arial" w:cs="Arial"/>
          <w:sz w:val="24"/>
          <w:szCs w:val="24"/>
        </w:rPr>
        <w:t xml:space="preserve">a </w:t>
      </w:r>
      <w:r w:rsidR="00E53D14" w:rsidRPr="00DC2FB5">
        <w:rPr>
          <w:rFonts w:ascii="Arial" w:hAnsi="Arial" w:cs="Arial"/>
          <w:sz w:val="24"/>
          <w:szCs w:val="24"/>
        </w:rPr>
        <w:t>1: 50000 sunt esen</w:t>
      </w:r>
      <w:r w:rsidR="006A407B" w:rsidRPr="00DC2FB5">
        <w:rPr>
          <w:rFonts w:ascii="Arial" w:hAnsi="Arial" w:cs="Arial"/>
          <w:sz w:val="24"/>
          <w:szCs w:val="24"/>
        </w:rPr>
        <w:t>ţ</w:t>
      </w:r>
      <w:r w:rsidR="00E53D14" w:rsidRPr="00DC2FB5">
        <w:rPr>
          <w:rFonts w:ascii="Arial" w:hAnsi="Arial" w:cs="Arial"/>
          <w:sz w:val="24"/>
          <w:szCs w:val="24"/>
        </w:rPr>
        <w:t xml:space="preserve">iale în identificarea </w:t>
      </w:r>
      <w:r w:rsidR="007779D4" w:rsidRPr="00DC2FB5">
        <w:rPr>
          <w:rFonts w:ascii="Arial" w:hAnsi="Arial" w:cs="Arial"/>
          <w:sz w:val="24"/>
          <w:szCs w:val="24"/>
        </w:rPr>
        <w:t xml:space="preserve">obiectivelor de explorare a </w:t>
      </w:r>
      <w:r w:rsidR="00E53D14" w:rsidRPr="00DC2FB5">
        <w:rPr>
          <w:rFonts w:ascii="Arial" w:hAnsi="Arial" w:cs="Arial"/>
          <w:sz w:val="24"/>
          <w:szCs w:val="24"/>
        </w:rPr>
        <w:t>minerale</w:t>
      </w:r>
      <w:r w:rsidR="007779D4" w:rsidRPr="00DC2FB5">
        <w:rPr>
          <w:rFonts w:ascii="Arial" w:hAnsi="Arial" w:cs="Arial"/>
          <w:sz w:val="24"/>
          <w:szCs w:val="24"/>
        </w:rPr>
        <w:t xml:space="preserve">lor </w:t>
      </w:r>
      <w:r w:rsidR="00617F88">
        <w:rPr>
          <w:rFonts w:ascii="Arial" w:hAnsi="Arial" w:cs="Arial"/>
          <w:sz w:val="24"/>
          <w:szCs w:val="24"/>
        </w:rPr>
        <w:t xml:space="preserve">ce reprezintă </w:t>
      </w:r>
      <w:r w:rsidR="00E53D14" w:rsidRPr="00DC2FB5">
        <w:rPr>
          <w:rFonts w:ascii="Arial" w:hAnsi="Arial" w:cs="Arial"/>
          <w:sz w:val="24"/>
          <w:szCs w:val="24"/>
        </w:rPr>
        <w:t>op</w:t>
      </w:r>
      <w:r w:rsidR="006A407B" w:rsidRPr="00DC2FB5">
        <w:rPr>
          <w:rFonts w:ascii="Arial" w:hAnsi="Arial" w:cs="Arial"/>
          <w:sz w:val="24"/>
          <w:szCs w:val="24"/>
        </w:rPr>
        <w:t>ţ</w:t>
      </w:r>
      <w:r w:rsidR="00E53D14" w:rsidRPr="00DC2FB5">
        <w:rPr>
          <w:rFonts w:ascii="Arial" w:hAnsi="Arial" w:cs="Arial"/>
          <w:sz w:val="24"/>
          <w:szCs w:val="24"/>
        </w:rPr>
        <w:t>iuni de investi</w:t>
      </w:r>
      <w:r w:rsidR="006A407B" w:rsidRPr="00DC2FB5">
        <w:rPr>
          <w:rFonts w:ascii="Arial" w:hAnsi="Arial" w:cs="Arial"/>
          <w:sz w:val="24"/>
          <w:szCs w:val="24"/>
        </w:rPr>
        <w:t>ţ</w:t>
      </w:r>
      <w:r w:rsidR="00E53D14" w:rsidRPr="00DC2FB5">
        <w:rPr>
          <w:rFonts w:ascii="Arial" w:hAnsi="Arial" w:cs="Arial"/>
          <w:sz w:val="24"/>
          <w:szCs w:val="24"/>
        </w:rPr>
        <w:t>ii</w:t>
      </w:r>
      <w:r w:rsidR="007779D4" w:rsidRPr="00DC2FB5">
        <w:rPr>
          <w:rFonts w:ascii="Arial" w:hAnsi="Arial" w:cs="Arial"/>
          <w:sz w:val="24"/>
          <w:szCs w:val="24"/>
        </w:rPr>
        <w:t xml:space="preserve"> viabile</w:t>
      </w:r>
      <w:r w:rsidR="00E53D14" w:rsidRPr="00DC2FB5">
        <w:rPr>
          <w:rFonts w:ascii="Arial" w:hAnsi="Arial" w:cs="Arial"/>
          <w:sz w:val="24"/>
          <w:szCs w:val="24"/>
        </w:rPr>
        <w:t>. Dezvoltarea acestei activit</w:t>
      </w:r>
      <w:r w:rsidR="007779D4" w:rsidRPr="00DC2FB5">
        <w:rPr>
          <w:rFonts w:ascii="Arial" w:hAnsi="Arial" w:cs="Arial"/>
          <w:sz w:val="24"/>
          <w:szCs w:val="24"/>
        </w:rPr>
        <w:t>ăţi</w:t>
      </w:r>
      <w:r w:rsidR="00E53D14" w:rsidRPr="00DC2FB5">
        <w:rPr>
          <w:rFonts w:ascii="Arial" w:hAnsi="Arial" w:cs="Arial"/>
          <w:sz w:val="24"/>
          <w:szCs w:val="24"/>
        </w:rPr>
        <w:t xml:space="preserve"> genereaz</w:t>
      </w:r>
      <w:r w:rsidR="007779D4" w:rsidRPr="00DC2FB5">
        <w:rPr>
          <w:rFonts w:ascii="Arial" w:hAnsi="Arial" w:cs="Arial"/>
          <w:sz w:val="24"/>
          <w:szCs w:val="24"/>
        </w:rPr>
        <w:t>ă</w:t>
      </w:r>
      <w:r w:rsidR="00E53D14" w:rsidRPr="00DC2FB5">
        <w:rPr>
          <w:rFonts w:ascii="Arial" w:hAnsi="Arial" w:cs="Arial"/>
          <w:sz w:val="24"/>
          <w:szCs w:val="24"/>
        </w:rPr>
        <w:t xml:space="preserve"> informa</w:t>
      </w:r>
      <w:r w:rsidRPr="00DC2FB5">
        <w:rPr>
          <w:rFonts w:ascii="Arial" w:hAnsi="Arial" w:cs="Arial"/>
          <w:sz w:val="24"/>
          <w:szCs w:val="24"/>
        </w:rPr>
        <w:t>ţ</w:t>
      </w:r>
      <w:r w:rsidR="00E53D14" w:rsidRPr="00DC2FB5">
        <w:rPr>
          <w:rFonts w:ascii="Arial" w:hAnsi="Arial" w:cs="Arial"/>
          <w:sz w:val="24"/>
          <w:szCs w:val="24"/>
        </w:rPr>
        <w:t>ii pentru investitori</w:t>
      </w:r>
      <w:r w:rsidR="007779D4" w:rsidRPr="00DC2FB5">
        <w:rPr>
          <w:rFonts w:ascii="Arial" w:hAnsi="Arial" w:cs="Arial"/>
          <w:sz w:val="24"/>
          <w:szCs w:val="24"/>
        </w:rPr>
        <w:t xml:space="preserve">i din sectorul minier, astfel încât se facilitează </w:t>
      </w:r>
      <w:r w:rsidR="00E53D14" w:rsidRPr="00DC2FB5">
        <w:rPr>
          <w:rFonts w:ascii="Arial" w:hAnsi="Arial" w:cs="Arial"/>
          <w:sz w:val="24"/>
          <w:szCs w:val="24"/>
        </w:rPr>
        <w:t>evaluarea proiectelor</w:t>
      </w:r>
      <w:r w:rsidR="007779D4" w:rsidRPr="00DC2FB5">
        <w:rPr>
          <w:rFonts w:ascii="Arial" w:hAnsi="Arial" w:cs="Arial"/>
          <w:sz w:val="24"/>
          <w:szCs w:val="24"/>
        </w:rPr>
        <w:t>,</w:t>
      </w:r>
      <w:r w:rsidR="00E53D14" w:rsidRPr="00DC2FB5">
        <w:rPr>
          <w:rFonts w:ascii="Arial" w:hAnsi="Arial" w:cs="Arial"/>
          <w:sz w:val="24"/>
          <w:szCs w:val="24"/>
        </w:rPr>
        <w:t xml:space="preserve"> </w:t>
      </w:r>
      <w:r w:rsidR="007779D4" w:rsidRPr="00DC2FB5">
        <w:rPr>
          <w:rFonts w:ascii="Arial" w:hAnsi="Arial" w:cs="Arial"/>
          <w:sz w:val="24"/>
          <w:szCs w:val="24"/>
        </w:rPr>
        <w:t xml:space="preserve">iar </w:t>
      </w:r>
      <w:r w:rsidR="00E53D14" w:rsidRPr="00DC2FB5">
        <w:rPr>
          <w:rFonts w:ascii="Arial" w:hAnsi="Arial" w:cs="Arial"/>
          <w:sz w:val="24"/>
          <w:szCs w:val="24"/>
        </w:rPr>
        <w:t>costurile de e</w:t>
      </w:r>
      <w:r w:rsidR="007779D4" w:rsidRPr="00DC2FB5">
        <w:rPr>
          <w:rFonts w:ascii="Arial" w:hAnsi="Arial" w:cs="Arial"/>
          <w:sz w:val="24"/>
          <w:szCs w:val="24"/>
        </w:rPr>
        <w:t>xplorare</w:t>
      </w:r>
      <w:r w:rsidRPr="00DC2FB5">
        <w:rPr>
          <w:rFonts w:ascii="Arial" w:hAnsi="Arial" w:cs="Arial"/>
          <w:sz w:val="24"/>
          <w:szCs w:val="24"/>
        </w:rPr>
        <w:t xml:space="preserve"> </w:t>
      </w:r>
      <w:r w:rsidR="007779D4" w:rsidRPr="00DC2FB5">
        <w:rPr>
          <w:rFonts w:ascii="Arial" w:hAnsi="Arial" w:cs="Arial"/>
          <w:sz w:val="24"/>
          <w:szCs w:val="24"/>
        </w:rPr>
        <w:t>-</w:t>
      </w:r>
      <w:r w:rsidRPr="00DC2FB5">
        <w:rPr>
          <w:rFonts w:ascii="Arial" w:hAnsi="Arial" w:cs="Arial"/>
          <w:sz w:val="24"/>
          <w:szCs w:val="24"/>
        </w:rPr>
        <w:t xml:space="preserve"> </w:t>
      </w:r>
      <w:r w:rsidR="007779D4" w:rsidRPr="00DC2FB5">
        <w:rPr>
          <w:rFonts w:ascii="Arial" w:hAnsi="Arial" w:cs="Arial"/>
          <w:sz w:val="24"/>
          <w:szCs w:val="24"/>
        </w:rPr>
        <w:t xml:space="preserve">cele mai </w:t>
      </w:r>
      <w:r w:rsidRPr="00DC2FB5">
        <w:rPr>
          <w:rFonts w:ascii="Arial" w:hAnsi="Arial" w:cs="Arial"/>
          <w:sz w:val="24"/>
          <w:szCs w:val="24"/>
        </w:rPr>
        <w:t>importante</w:t>
      </w:r>
      <w:r w:rsidR="007779D4" w:rsidRPr="00DC2FB5">
        <w:rPr>
          <w:rFonts w:ascii="Arial" w:hAnsi="Arial" w:cs="Arial"/>
          <w:sz w:val="24"/>
          <w:szCs w:val="24"/>
        </w:rPr>
        <w:t xml:space="preserve"> c</w:t>
      </w:r>
      <w:r w:rsidRPr="00DC2FB5">
        <w:rPr>
          <w:rFonts w:ascii="Arial" w:hAnsi="Arial" w:cs="Arial"/>
          <w:sz w:val="24"/>
          <w:szCs w:val="24"/>
        </w:rPr>
        <w:t xml:space="preserve">heltuieli pre-exploatare - </w:t>
      </w:r>
      <w:r w:rsidR="007779D4" w:rsidRPr="00DC2FB5">
        <w:rPr>
          <w:rFonts w:ascii="Arial" w:hAnsi="Arial" w:cs="Arial"/>
          <w:sz w:val="24"/>
          <w:szCs w:val="24"/>
        </w:rPr>
        <w:t xml:space="preserve">se reduc. </w:t>
      </w:r>
    </w:p>
    <w:p w:rsidR="00C00F4E" w:rsidRPr="00DC2FB5" w:rsidRDefault="00E53D14" w:rsidP="00DC2FB5">
      <w:pPr>
        <w:autoSpaceDE w:val="0"/>
        <w:autoSpaceDN w:val="0"/>
        <w:adjustRightInd w:val="0"/>
        <w:spacing w:after="0"/>
        <w:jc w:val="both"/>
        <w:rPr>
          <w:rFonts w:ascii="Arial" w:hAnsi="Arial" w:cs="Arial"/>
          <w:color w:val="7030A0"/>
          <w:sz w:val="24"/>
          <w:szCs w:val="24"/>
        </w:rPr>
      </w:pPr>
      <w:r w:rsidRPr="00DC2FB5">
        <w:rPr>
          <w:rFonts w:ascii="Arial" w:hAnsi="Arial" w:cs="Arial"/>
          <w:sz w:val="24"/>
          <w:szCs w:val="24"/>
        </w:rPr>
        <w:t>Până la sfâr</w:t>
      </w:r>
      <w:r w:rsidR="006A407B" w:rsidRPr="00DC2FB5">
        <w:rPr>
          <w:rFonts w:ascii="Arial" w:hAnsi="Arial" w:cs="Arial"/>
          <w:sz w:val="24"/>
          <w:szCs w:val="24"/>
        </w:rPr>
        <w:t>ş</w:t>
      </w:r>
      <w:r w:rsidRPr="00DC2FB5">
        <w:rPr>
          <w:rFonts w:ascii="Arial" w:hAnsi="Arial" w:cs="Arial"/>
          <w:sz w:val="24"/>
          <w:szCs w:val="24"/>
        </w:rPr>
        <w:t xml:space="preserve">itul </w:t>
      </w:r>
      <w:r w:rsidR="007779D4" w:rsidRPr="00DC2FB5">
        <w:rPr>
          <w:rFonts w:ascii="Arial" w:hAnsi="Arial" w:cs="Arial"/>
          <w:sz w:val="24"/>
          <w:szCs w:val="24"/>
        </w:rPr>
        <w:t xml:space="preserve">anului 2015 GMS a înregistrat un </w:t>
      </w:r>
      <w:r w:rsidRPr="00DC2FB5">
        <w:rPr>
          <w:rFonts w:ascii="Arial" w:hAnsi="Arial" w:cs="Arial"/>
          <w:sz w:val="24"/>
          <w:szCs w:val="24"/>
        </w:rPr>
        <w:t>avans acumulat de 766</w:t>
      </w:r>
      <w:r w:rsidR="007779D4" w:rsidRPr="00DC2FB5">
        <w:rPr>
          <w:rFonts w:ascii="Arial" w:hAnsi="Arial" w:cs="Arial"/>
          <w:sz w:val="24"/>
          <w:szCs w:val="24"/>
        </w:rPr>
        <w:t xml:space="preserve">.192 </w:t>
      </w:r>
      <w:r w:rsidRPr="00DC2FB5">
        <w:rPr>
          <w:rFonts w:ascii="Arial" w:hAnsi="Arial" w:cs="Arial"/>
          <w:sz w:val="24"/>
          <w:szCs w:val="24"/>
        </w:rPr>
        <w:t>kilometri pătra</w:t>
      </w:r>
      <w:r w:rsidR="006A407B" w:rsidRPr="00DC2FB5">
        <w:rPr>
          <w:rFonts w:ascii="Arial" w:hAnsi="Arial" w:cs="Arial"/>
          <w:sz w:val="24"/>
          <w:szCs w:val="24"/>
        </w:rPr>
        <w:t>ţ</w:t>
      </w:r>
      <w:r w:rsidRPr="00DC2FB5">
        <w:rPr>
          <w:rFonts w:ascii="Arial" w:hAnsi="Arial" w:cs="Arial"/>
          <w:sz w:val="24"/>
          <w:szCs w:val="24"/>
        </w:rPr>
        <w:t xml:space="preserve">i </w:t>
      </w:r>
      <w:r w:rsidR="007779D4" w:rsidRPr="00DC2FB5">
        <w:rPr>
          <w:rFonts w:ascii="Arial" w:hAnsi="Arial" w:cs="Arial"/>
          <w:sz w:val="24"/>
          <w:szCs w:val="24"/>
        </w:rPr>
        <w:t xml:space="preserve">de </w:t>
      </w:r>
      <w:r w:rsidRPr="00DC2FB5">
        <w:rPr>
          <w:rFonts w:ascii="Arial" w:hAnsi="Arial" w:cs="Arial"/>
          <w:sz w:val="24"/>
          <w:szCs w:val="24"/>
        </w:rPr>
        <w:t>cartografiere geologică-</w:t>
      </w:r>
      <w:r w:rsidR="00042EBE" w:rsidRPr="00DC2FB5">
        <w:rPr>
          <w:rFonts w:ascii="Arial" w:hAnsi="Arial" w:cs="Arial"/>
          <w:sz w:val="24"/>
          <w:szCs w:val="24"/>
        </w:rPr>
        <w:t>minieră</w:t>
      </w:r>
      <w:r w:rsidR="00042EBE" w:rsidRPr="00DC2FB5">
        <w:rPr>
          <w:rFonts w:ascii="Arial" w:hAnsi="Arial" w:cs="Arial"/>
          <w:color w:val="7030A0"/>
          <w:sz w:val="24"/>
          <w:szCs w:val="24"/>
        </w:rPr>
        <w:t xml:space="preserve"> </w:t>
      </w:r>
      <w:r w:rsidR="00042EBE" w:rsidRPr="00617F88">
        <w:rPr>
          <w:rFonts w:ascii="Arial" w:hAnsi="Arial" w:cs="Arial"/>
          <w:sz w:val="24"/>
          <w:szCs w:val="24"/>
        </w:rPr>
        <w:t>la</w:t>
      </w:r>
      <w:r w:rsidRPr="00DC2FB5">
        <w:rPr>
          <w:rFonts w:ascii="Arial" w:hAnsi="Arial" w:cs="Arial"/>
          <w:sz w:val="24"/>
          <w:szCs w:val="24"/>
        </w:rPr>
        <w:t xml:space="preserve"> o scară de 1: 50.000 în zone</w:t>
      </w:r>
      <w:r w:rsidR="00042EBE" w:rsidRPr="00DC2FB5">
        <w:rPr>
          <w:rFonts w:ascii="Arial" w:hAnsi="Arial" w:cs="Arial"/>
          <w:color w:val="7030A0"/>
          <w:sz w:val="24"/>
          <w:szCs w:val="24"/>
        </w:rPr>
        <w:t xml:space="preserve"> </w:t>
      </w:r>
      <w:r w:rsidRPr="00DC2FB5">
        <w:rPr>
          <w:rFonts w:ascii="Arial" w:hAnsi="Arial" w:cs="Arial"/>
          <w:sz w:val="24"/>
          <w:szCs w:val="24"/>
        </w:rPr>
        <w:t>de interes minier.</w:t>
      </w:r>
    </w:p>
    <w:p w:rsidR="00E53D14" w:rsidRPr="00DC2FB5" w:rsidRDefault="008C25D6" w:rsidP="00DC2FB5">
      <w:pPr>
        <w:autoSpaceDE w:val="0"/>
        <w:autoSpaceDN w:val="0"/>
        <w:adjustRightInd w:val="0"/>
        <w:spacing w:after="0"/>
        <w:jc w:val="both"/>
        <w:rPr>
          <w:rFonts w:ascii="Arial" w:hAnsi="Arial" w:cs="Arial"/>
          <w:sz w:val="24"/>
          <w:szCs w:val="24"/>
        </w:rPr>
      </w:pPr>
      <w:r w:rsidRPr="00DC2FB5">
        <w:rPr>
          <w:rFonts w:ascii="Arial" w:hAnsi="Arial" w:cs="Arial"/>
          <w:color w:val="0070C0"/>
          <w:sz w:val="24"/>
          <w:szCs w:val="24"/>
        </w:rPr>
        <w:tab/>
      </w:r>
      <w:r w:rsidR="00113DB7" w:rsidRPr="00DC2FB5">
        <w:rPr>
          <w:rFonts w:ascii="Arial" w:hAnsi="Arial" w:cs="Arial"/>
          <w:sz w:val="24"/>
          <w:szCs w:val="24"/>
        </w:rPr>
        <w:t>D</w:t>
      </w:r>
      <w:r w:rsidR="00E53D14" w:rsidRPr="00DC2FB5">
        <w:rPr>
          <w:rFonts w:ascii="Arial" w:hAnsi="Arial" w:cs="Arial"/>
          <w:sz w:val="24"/>
          <w:szCs w:val="24"/>
        </w:rPr>
        <w:t xml:space="preserve">e asemenea, </w:t>
      </w:r>
      <w:r w:rsidRPr="00DC2FB5">
        <w:rPr>
          <w:rFonts w:ascii="Arial" w:hAnsi="Arial" w:cs="Arial"/>
          <w:sz w:val="24"/>
          <w:szCs w:val="24"/>
        </w:rPr>
        <w:t xml:space="preserve">există </w:t>
      </w:r>
      <w:r w:rsidR="00E53D14" w:rsidRPr="00DC2FB5">
        <w:rPr>
          <w:rFonts w:ascii="Arial" w:hAnsi="Arial" w:cs="Arial"/>
          <w:sz w:val="24"/>
          <w:szCs w:val="24"/>
        </w:rPr>
        <w:t>oportunită</w:t>
      </w:r>
      <w:r w:rsidR="006A407B" w:rsidRPr="00DC2FB5">
        <w:rPr>
          <w:rFonts w:ascii="Arial" w:hAnsi="Arial" w:cs="Arial"/>
          <w:sz w:val="24"/>
          <w:szCs w:val="24"/>
        </w:rPr>
        <w:t>ţ</w:t>
      </w:r>
      <w:r w:rsidR="00042EBE" w:rsidRPr="00DC2FB5">
        <w:rPr>
          <w:rFonts w:ascii="Arial" w:hAnsi="Arial" w:cs="Arial"/>
          <w:sz w:val="24"/>
          <w:szCs w:val="24"/>
        </w:rPr>
        <w:t xml:space="preserve">i </w:t>
      </w:r>
      <w:r w:rsidR="001410B3">
        <w:rPr>
          <w:rFonts w:ascii="Arial" w:hAnsi="Arial" w:cs="Arial"/>
          <w:sz w:val="24"/>
          <w:szCs w:val="24"/>
        </w:rPr>
        <w:t xml:space="preserve">de explorare </w:t>
      </w:r>
      <w:r w:rsidR="00042EBE" w:rsidRPr="00DC2FB5">
        <w:rPr>
          <w:rFonts w:ascii="Arial" w:hAnsi="Arial" w:cs="Arial"/>
          <w:sz w:val="24"/>
          <w:szCs w:val="24"/>
        </w:rPr>
        <w:t xml:space="preserve">pe </w:t>
      </w:r>
      <w:r w:rsidR="00E53D14" w:rsidRPr="00DC2FB5">
        <w:rPr>
          <w:rFonts w:ascii="Arial" w:hAnsi="Arial" w:cs="Arial"/>
          <w:sz w:val="24"/>
          <w:szCs w:val="24"/>
        </w:rPr>
        <w:t>pia</w:t>
      </w:r>
      <w:r w:rsidR="006A407B" w:rsidRPr="00DC2FB5">
        <w:rPr>
          <w:rFonts w:ascii="Arial" w:hAnsi="Arial" w:cs="Arial"/>
          <w:sz w:val="24"/>
          <w:szCs w:val="24"/>
        </w:rPr>
        <w:t>ţ</w:t>
      </w:r>
      <w:r w:rsidR="00042EBE" w:rsidRPr="00DC2FB5">
        <w:rPr>
          <w:rFonts w:ascii="Arial" w:hAnsi="Arial" w:cs="Arial"/>
          <w:sz w:val="24"/>
          <w:szCs w:val="24"/>
        </w:rPr>
        <w:t>a</w:t>
      </w:r>
      <w:r w:rsidR="00E53D14" w:rsidRPr="00DC2FB5">
        <w:rPr>
          <w:rFonts w:ascii="Arial" w:hAnsi="Arial" w:cs="Arial"/>
          <w:sz w:val="24"/>
          <w:szCs w:val="24"/>
        </w:rPr>
        <w:t xml:space="preserve"> </w:t>
      </w:r>
      <w:r w:rsidR="00042EBE" w:rsidRPr="00DC2FB5">
        <w:rPr>
          <w:rFonts w:ascii="Arial" w:hAnsi="Arial" w:cs="Arial"/>
          <w:sz w:val="24"/>
          <w:szCs w:val="24"/>
        </w:rPr>
        <w:t>proiectelor</w:t>
      </w:r>
      <w:r w:rsidR="00E53D14" w:rsidRPr="00DC2FB5">
        <w:rPr>
          <w:rFonts w:ascii="Arial" w:hAnsi="Arial" w:cs="Arial"/>
          <w:sz w:val="24"/>
          <w:szCs w:val="24"/>
        </w:rPr>
        <w:t xml:space="preserve"> </w:t>
      </w:r>
      <w:r w:rsidRPr="00DC2FB5">
        <w:rPr>
          <w:rFonts w:ascii="Arial" w:hAnsi="Arial" w:cs="Arial"/>
          <w:sz w:val="24"/>
          <w:szCs w:val="24"/>
        </w:rPr>
        <w:t>în desfăşurare</w:t>
      </w:r>
      <w:r w:rsidR="001410B3">
        <w:rPr>
          <w:rFonts w:ascii="Arial" w:hAnsi="Arial" w:cs="Arial"/>
          <w:sz w:val="24"/>
          <w:szCs w:val="24"/>
        </w:rPr>
        <w:t>,</w:t>
      </w:r>
      <w:r w:rsidRPr="00DC2FB5">
        <w:rPr>
          <w:rFonts w:ascii="Arial" w:hAnsi="Arial" w:cs="Arial"/>
          <w:sz w:val="24"/>
          <w:szCs w:val="24"/>
        </w:rPr>
        <w:t xml:space="preserve"> </w:t>
      </w:r>
      <w:r w:rsidR="00E53D14" w:rsidRPr="00DC2FB5">
        <w:rPr>
          <w:rFonts w:ascii="Arial" w:hAnsi="Arial" w:cs="Arial"/>
          <w:sz w:val="24"/>
          <w:szCs w:val="24"/>
        </w:rPr>
        <w:t>în mai multe</w:t>
      </w:r>
      <w:r w:rsidRPr="00DC2FB5">
        <w:rPr>
          <w:rFonts w:ascii="Arial" w:hAnsi="Arial" w:cs="Arial"/>
          <w:sz w:val="24"/>
          <w:szCs w:val="24"/>
        </w:rPr>
        <w:t xml:space="preserve"> ţări</w:t>
      </w:r>
      <w:r w:rsidR="00E53D14" w:rsidRPr="00DC2FB5">
        <w:rPr>
          <w:rFonts w:ascii="Arial" w:hAnsi="Arial" w:cs="Arial"/>
          <w:sz w:val="24"/>
          <w:szCs w:val="24"/>
        </w:rPr>
        <w:t xml:space="preserve">, </w:t>
      </w:r>
      <w:r w:rsidR="00042EBE" w:rsidRPr="00DC2FB5">
        <w:rPr>
          <w:rFonts w:ascii="Arial" w:hAnsi="Arial" w:cs="Arial"/>
          <w:sz w:val="24"/>
          <w:szCs w:val="24"/>
        </w:rPr>
        <w:t xml:space="preserve">dintre </w:t>
      </w:r>
      <w:r w:rsidR="00E53D14" w:rsidRPr="00DC2FB5">
        <w:rPr>
          <w:rFonts w:ascii="Arial" w:hAnsi="Arial" w:cs="Arial"/>
          <w:sz w:val="24"/>
          <w:szCs w:val="24"/>
        </w:rPr>
        <w:t xml:space="preserve">care </w:t>
      </w:r>
      <w:r w:rsidR="00042EBE" w:rsidRPr="00DC2FB5">
        <w:rPr>
          <w:rFonts w:ascii="Arial" w:hAnsi="Arial" w:cs="Arial"/>
          <w:sz w:val="24"/>
          <w:szCs w:val="24"/>
        </w:rPr>
        <w:t xml:space="preserve">unele </w:t>
      </w:r>
      <w:r w:rsidR="00E53D14" w:rsidRPr="00DC2FB5">
        <w:rPr>
          <w:rFonts w:ascii="Arial" w:hAnsi="Arial" w:cs="Arial"/>
          <w:sz w:val="24"/>
          <w:szCs w:val="24"/>
        </w:rPr>
        <w:t>neces</w:t>
      </w:r>
      <w:r w:rsidR="00042EBE" w:rsidRPr="00DC2FB5">
        <w:rPr>
          <w:rFonts w:ascii="Arial" w:hAnsi="Arial" w:cs="Arial"/>
          <w:sz w:val="24"/>
          <w:szCs w:val="24"/>
        </w:rPr>
        <w:t xml:space="preserve">ită alternative de </w:t>
      </w:r>
      <w:r w:rsidR="00113DB7" w:rsidRPr="00DC2FB5">
        <w:rPr>
          <w:rFonts w:ascii="Arial" w:hAnsi="Arial" w:cs="Arial"/>
          <w:sz w:val="24"/>
          <w:szCs w:val="24"/>
        </w:rPr>
        <w:t xml:space="preserve">capitalizare </w:t>
      </w:r>
      <w:r w:rsidR="00042EBE" w:rsidRPr="00DC2FB5">
        <w:rPr>
          <w:rFonts w:ascii="Arial" w:hAnsi="Arial" w:cs="Arial"/>
          <w:sz w:val="24"/>
          <w:szCs w:val="24"/>
        </w:rPr>
        <w:t xml:space="preserve">pentru a </w:t>
      </w:r>
      <w:r w:rsidR="00113DB7" w:rsidRPr="00DC2FB5">
        <w:rPr>
          <w:rFonts w:ascii="Arial" w:hAnsi="Arial" w:cs="Arial"/>
          <w:sz w:val="24"/>
          <w:szCs w:val="24"/>
        </w:rPr>
        <w:t xml:space="preserve">fi </w:t>
      </w:r>
      <w:r w:rsidR="00E53D14" w:rsidRPr="00DC2FB5">
        <w:rPr>
          <w:rFonts w:ascii="Arial" w:hAnsi="Arial" w:cs="Arial"/>
          <w:sz w:val="24"/>
          <w:szCs w:val="24"/>
        </w:rPr>
        <w:t>consolid</w:t>
      </w:r>
      <w:r w:rsidR="00042EBE" w:rsidRPr="00DC2FB5">
        <w:rPr>
          <w:rFonts w:ascii="Arial" w:hAnsi="Arial" w:cs="Arial"/>
          <w:sz w:val="24"/>
          <w:szCs w:val="24"/>
        </w:rPr>
        <w:t>a</w:t>
      </w:r>
      <w:r w:rsidR="00113DB7" w:rsidRPr="00DC2FB5">
        <w:rPr>
          <w:rFonts w:ascii="Arial" w:hAnsi="Arial" w:cs="Arial"/>
          <w:sz w:val="24"/>
          <w:szCs w:val="24"/>
        </w:rPr>
        <w:t>te</w:t>
      </w:r>
      <w:r w:rsidR="00042EBE" w:rsidRPr="00DC2FB5">
        <w:rPr>
          <w:rFonts w:ascii="Arial" w:hAnsi="Arial" w:cs="Arial"/>
          <w:sz w:val="24"/>
          <w:szCs w:val="24"/>
        </w:rPr>
        <w:t xml:space="preserve"> şi a intra în etapele următoare. Î</w:t>
      </w:r>
      <w:r w:rsidR="00E53D14" w:rsidRPr="00DC2FB5">
        <w:rPr>
          <w:rFonts w:ascii="Arial" w:hAnsi="Arial" w:cs="Arial"/>
          <w:sz w:val="24"/>
          <w:szCs w:val="24"/>
        </w:rPr>
        <w:t xml:space="preserve">n prezent, </w:t>
      </w:r>
      <w:r w:rsidR="00042EBE" w:rsidRPr="00DC2FB5">
        <w:rPr>
          <w:rFonts w:ascii="Arial" w:hAnsi="Arial" w:cs="Arial"/>
          <w:sz w:val="24"/>
          <w:szCs w:val="24"/>
        </w:rPr>
        <w:t xml:space="preserve">au fost identificate </w:t>
      </w:r>
      <w:r w:rsidR="00E53D14" w:rsidRPr="00DC2FB5">
        <w:rPr>
          <w:rFonts w:ascii="Arial" w:hAnsi="Arial" w:cs="Arial"/>
          <w:sz w:val="24"/>
          <w:szCs w:val="24"/>
        </w:rPr>
        <w:t xml:space="preserve">630 de proiecte </w:t>
      </w:r>
      <w:r w:rsidR="00042EBE" w:rsidRPr="00DC2FB5">
        <w:rPr>
          <w:rFonts w:ascii="Arial" w:hAnsi="Arial" w:cs="Arial"/>
          <w:sz w:val="24"/>
          <w:szCs w:val="24"/>
        </w:rPr>
        <w:t xml:space="preserve">aflate în </w:t>
      </w:r>
      <w:r w:rsidR="001410B3">
        <w:rPr>
          <w:rFonts w:ascii="Arial" w:hAnsi="Arial" w:cs="Arial"/>
          <w:sz w:val="24"/>
          <w:szCs w:val="24"/>
        </w:rPr>
        <w:t>explorare</w:t>
      </w:r>
      <w:r w:rsidR="00042EBE" w:rsidRPr="00DC2FB5">
        <w:rPr>
          <w:rFonts w:ascii="Arial" w:hAnsi="Arial" w:cs="Arial"/>
          <w:sz w:val="24"/>
          <w:szCs w:val="24"/>
        </w:rPr>
        <w:t xml:space="preserve">, cu o gamă largă de </w:t>
      </w:r>
      <w:r w:rsidR="00E53D14" w:rsidRPr="00DC2FB5">
        <w:rPr>
          <w:rFonts w:ascii="Arial" w:hAnsi="Arial" w:cs="Arial"/>
          <w:sz w:val="24"/>
          <w:szCs w:val="24"/>
        </w:rPr>
        <w:t>minerale care con</w:t>
      </w:r>
      <w:r w:rsidR="006A407B" w:rsidRPr="00DC2FB5">
        <w:rPr>
          <w:rFonts w:ascii="Arial" w:hAnsi="Arial" w:cs="Arial"/>
          <w:sz w:val="24"/>
          <w:szCs w:val="24"/>
        </w:rPr>
        <w:t>ţ</w:t>
      </w:r>
      <w:r w:rsidR="00042EBE" w:rsidRPr="00DC2FB5">
        <w:rPr>
          <w:rFonts w:ascii="Arial" w:hAnsi="Arial" w:cs="Arial"/>
          <w:sz w:val="24"/>
          <w:szCs w:val="24"/>
        </w:rPr>
        <w:t xml:space="preserve">in aur, argint, cupru, </w:t>
      </w:r>
      <w:r w:rsidR="00E53D14" w:rsidRPr="00DC2FB5">
        <w:rPr>
          <w:rFonts w:ascii="Arial" w:hAnsi="Arial" w:cs="Arial"/>
          <w:sz w:val="24"/>
          <w:szCs w:val="24"/>
        </w:rPr>
        <w:t xml:space="preserve">fier, plumb, zinc, molibden </w:t>
      </w:r>
      <w:r w:rsidR="006A407B" w:rsidRPr="00DC2FB5">
        <w:rPr>
          <w:rFonts w:ascii="Arial" w:hAnsi="Arial" w:cs="Arial"/>
          <w:sz w:val="24"/>
          <w:szCs w:val="24"/>
        </w:rPr>
        <w:t>ş</w:t>
      </w:r>
      <w:r w:rsidR="00042EBE" w:rsidRPr="00DC2FB5">
        <w:rPr>
          <w:rFonts w:ascii="Arial" w:hAnsi="Arial" w:cs="Arial"/>
          <w:sz w:val="24"/>
          <w:szCs w:val="24"/>
        </w:rPr>
        <w:t>i titan</w:t>
      </w:r>
      <w:r w:rsidRPr="00DC2FB5">
        <w:rPr>
          <w:rFonts w:ascii="Arial" w:hAnsi="Arial" w:cs="Arial"/>
          <w:sz w:val="24"/>
          <w:szCs w:val="24"/>
        </w:rPr>
        <w:t>,</w:t>
      </w:r>
      <w:r w:rsidR="00042EBE" w:rsidRPr="00DC2FB5">
        <w:rPr>
          <w:rFonts w:ascii="Arial" w:hAnsi="Arial" w:cs="Arial"/>
          <w:sz w:val="24"/>
          <w:szCs w:val="24"/>
        </w:rPr>
        <w:t xml:space="preserve"> </w:t>
      </w:r>
      <w:r w:rsidR="00E53D14" w:rsidRPr="00DC2FB5">
        <w:rPr>
          <w:rFonts w:ascii="Arial" w:hAnsi="Arial" w:cs="Arial"/>
          <w:sz w:val="24"/>
          <w:szCs w:val="24"/>
        </w:rPr>
        <w:t>printre al</w:t>
      </w:r>
      <w:r w:rsidR="00042EBE" w:rsidRPr="00DC2FB5">
        <w:rPr>
          <w:rFonts w:ascii="Arial" w:hAnsi="Arial" w:cs="Arial"/>
          <w:sz w:val="24"/>
          <w:szCs w:val="24"/>
        </w:rPr>
        <w:t xml:space="preserve">tele. </w:t>
      </w:r>
    </w:p>
    <w:p w:rsidR="00C00F4E" w:rsidRPr="00DC2FB5" w:rsidRDefault="00281793" w:rsidP="00DC2FB5">
      <w:pPr>
        <w:autoSpaceDE w:val="0"/>
        <w:autoSpaceDN w:val="0"/>
        <w:adjustRightInd w:val="0"/>
        <w:spacing w:after="0"/>
        <w:jc w:val="both"/>
        <w:rPr>
          <w:rFonts w:ascii="Arial" w:hAnsi="Arial" w:cs="Arial"/>
          <w:color w:val="0070C0"/>
          <w:sz w:val="24"/>
          <w:szCs w:val="24"/>
        </w:rPr>
      </w:pPr>
      <w:r w:rsidRPr="00DC2FB5">
        <w:rPr>
          <w:rFonts w:ascii="Arial" w:hAnsi="Arial" w:cs="Arial"/>
          <w:sz w:val="24"/>
          <w:szCs w:val="24"/>
        </w:rPr>
        <w:tab/>
      </w:r>
      <w:r w:rsidR="00E53D14" w:rsidRPr="00DC2FB5">
        <w:rPr>
          <w:rFonts w:ascii="Arial" w:hAnsi="Arial" w:cs="Arial"/>
          <w:sz w:val="24"/>
          <w:szCs w:val="24"/>
        </w:rPr>
        <w:t>O alternativă este Direc</w:t>
      </w:r>
      <w:r w:rsidR="006A407B" w:rsidRPr="00DC2FB5">
        <w:rPr>
          <w:rFonts w:ascii="Arial" w:hAnsi="Arial" w:cs="Arial"/>
          <w:sz w:val="24"/>
          <w:szCs w:val="24"/>
        </w:rPr>
        <w:t>ţ</w:t>
      </w:r>
      <w:r w:rsidR="00E53D14" w:rsidRPr="00DC2FB5">
        <w:rPr>
          <w:rFonts w:ascii="Arial" w:hAnsi="Arial" w:cs="Arial"/>
          <w:sz w:val="24"/>
          <w:szCs w:val="24"/>
        </w:rPr>
        <w:t>ia Generală</w:t>
      </w:r>
      <w:r w:rsidR="00042EBE" w:rsidRPr="00DC2FB5">
        <w:rPr>
          <w:rFonts w:ascii="Arial" w:hAnsi="Arial" w:cs="Arial"/>
          <w:sz w:val="24"/>
          <w:szCs w:val="24"/>
        </w:rPr>
        <w:t xml:space="preserve"> de Dezvoltare a Portofoliului Minier</w:t>
      </w:r>
      <w:r w:rsidR="00E53D14" w:rsidRPr="00DC2FB5">
        <w:rPr>
          <w:rFonts w:ascii="Arial" w:hAnsi="Arial" w:cs="Arial"/>
          <w:sz w:val="24"/>
          <w:szCs w:val="24"/>
        </w:rPr>
        <w:t xml:space="preserve">, care </w:t>
      </w:r>
      <w:r w:rsidR="00042EBE" w:rsidRPr="00DC2FB5">
        <w:rPr>
          <w:rFonts w:ascii="Arial" w:hAnsi="Arial" w:cs="Arial"/>
          <w:sz w:val="24"/>
          <w:szCs w:val="24"/>
        </w:rPr>
        <w:t>cuprin</w:t>
      </w:r>
      <w:r w:rsidR="00E53D14" w:rsidRPr="00DC2FB5">
        <w:rPr>
          <w:rFonts w:ascii="Arial" w:hAnsi="Arial" w:cs="Arial"/>
          <w:sz w:val="24"/>
          <w:szCs w:val="24"/>
        </w:rPr>
        <w:t>de</w:t>
      </w:r>
      <w:r w:rsidR="00042EBE" w:rsidRPr="00DC2FB5">
        <w:rPr>
          <w:rFonts w:ascii="Arial" w:hAnsi="Arial" w:cs="Arial"/>
          <w:sz w:val="24"/>
          <w:szCs w:val="24"/>
        </w:rPr>
        <w:t xml:space="preserve"> </w:t>
      </w:r>
      <w:r w:rsidR="00E53D14" w:rsidRPr="00DC2FB5">
        <w:rPr>
          <w:rFonts w:ascii="Arial" w:hAnsi="Arial" w:cs="Arial"/>
          <w:sz w:val="24"/>
          <w:szCs w:val="24"/>
        </w:rPr>
        <w:t>70 de proiecte</w:t>
      </w:r>
      <w:r w:rsidR="00042EBE" w:rsidRPr="00DC2FB5">
        <w:rPr>
          <w:rFonts w:ascii="Arial" w:hAnsi="Arial" w:cs="Arial"/>
          <w:sz w:val="24"/>
          <w:szCs w:val="24"/>
        </w:rPr>
        <w:t xml:space="preserve">. Acest instrument </w:t>
      </w:r>
      <w:r w:rsidR="001C2062" w:rsidRPr="00DC2FB5">
        <w:rPr>
          <w:rFonts w:ascii="Arial" w:hAnsi="Arial" w:cs="Arial"/>
          <w:sz w:val="24"/>
          <w:szCs w:val="24"/>
        </w:rPr>
        <w:t xml:space="preserve">furnizează </w:t>
      </w:r>
      <w:r w:rsidR="00E53D14" w:rsidRPr="00DC2FB5">
        <w:rPr>
          <w:rFonts w:ascii="Arial" w:hAnsi="Arial" w:cs="Arial"/>
          <w:sz w:val="24"/>
          <w:szCs w:val="24"/>
        </w:rPr>
        <w:t>investitorilor informa</w:t>
      </w:r>
      <w:r w:rsidR="006A407B" w:rsidRPr="00DC2FB5">
        <w:rPr>
          <w:rFonts w:ascii="Arial" w:hAnsi="Arial" w:cs="Arial"/>
          <w:sz w:val="24"/>
          <w:szCs w:val="24"/>
        </w:rPr>
        <w:t>ţ</w:t>
      </w:r>
      <w:r w:rsidR="00042EBE" w:rsidRPr="00DC2FB5">
        <w:rPr>
          <w:rFonts w:ascii="Arial" w:hAnsi="Arial" w:cs="Arial"/>
          <w:sz w:val="24"/>
          <w:szCs w:val="24"/>
        </w:rPr>
        <w:t xml:space="preserve">ii tehnice cu privire la </w:t>
      </w:r>
      <w:r w:rsidR="001C2062" w:rsidRPr="00DC2FB5">
        <w:rPr>
          <w:rFonts w:ascii="Arial" w:hAnsi="Arial" w:cs="Arial"/>
          <w:sz w:val="24"/>
          <w:szCs w:val="24"/>
        </w:rPr>
        <w:t xml:space="preserve">perspectivele de </w:t>
      </w:r>
      <w:r w:rsidR="00E53D14" w:rsidRPr="00DC2FB5">
        <w:rPr>
          <w:rFonts w:ascii="Arial" w:hAnsi="Arial" w:cs="Arial"/>
          <w:sz w:val="24"/>
          <w:szCs w:val="24"/>
        </w:rPr>
        <w:t xml:space="preserve">exploatare, </w:t>
      </w:r>
      <w:r w:rsidR="001C2062" w:rsidRPr="00DC2FB5">
        <w:rPr>
          <w:rFonts w:ascii="Arial" w:hAnsi="Arial" w:cs="Arial"/>
          <w:sz w:val="24"/>
          <w:szCs w:val="24"/>
        </w:rPr>
        <w:t xml:space="preserve">oferind </w:t>
      </w:r>
      <w:r w:rsidR="00042EBE" w:rsidRPr="00DC2FB5">
        <w:rPr>
          <w:rFonts w:ascii="Arial" w:hAnsi="Arial" w:cs="Arial"/>
          <w:sz w:val="24"/>
          <w:szCs w:val="24"/>
        </w:rPr>
        <w:t xml:space="preserve">proprietarilor de </w:t>
      </w:r>
      <w:r w:rsidR="00E53D14" w:rsidRPr="00DC2FB5">
        <w:rPr>
          <w:rFonts w:ascii="Arial" w:hAnsi="Arial" w:cs="Arial"/>
          <w:sz w:val="24"/>
          <w:szCs w:val="24"/>
        </w:rPr>
        <w:t>concesiuni</w:t>
      </w:r>
      <w:r w:rsidR="001C2062" w:rsidRPr="00DC2FB5">
        <w:rPr>
          <w:rFonts w:ascii="Arial" w:hAnsi="Arial" w:cs="Arial"/>
          <w:sz w:val="24"/>
          <w:szCs w:val="24"/>
        </w:rPr>
        <w:t xml:space="preserve"> miniere posibilitatea de a </w:t>
      </w:r>
      <w:r w:rsidR="00E53D14" w:rsidRPr="00DC2FB5">
        <w:rPr>
          <w:rFonts w:ascii="Arial" w:hAnsi="Arial" w:cs="Arial"/>
          <w:sz w:val="24"/>
          <w:szCs w:val="24"/>
        </w:rPr>
        <w:t>le promov</w:t>
      </w:r>
      <w:r w:rsidR="001C2062" w:rsidRPr="00DC2FB5">
        <w:rPr>
          <w:rFonts w:ascii="Arial" w:hAnsi="Arial" w:cs="Arial"/>
          <w:sz w:val="24"/>
          <w:szCs w:val="24"/>
        </w:rPr>
        <w:t xml:space="preserve">a pentru a </w:t>
      </w:r>
      <w:r w:rsidR="00E53D14" w:rsidRPr="00DC2FB5">
        <w:rPr>
          <w:rFonts w:ascii="Arial" w:hAnsi="Arial" w:cs="Arial"/>
          <w:sz w:val="24"/>
          <w:szCs w:val="24"/>
        </w:rPr>
        <w:t xml:space="preserve">detecta </w:t>
      </w:r>
      <w:r w:rsidR="001C2062" w:rsidRPr="00DC2FB5">
        <w:rPr>
          <w:rFonts w:ascii="Arial" w:hAnsi="Arial" w:cs="Arial"/>
          <w:sz w:val="24"/>
          <w:szCs w:val="24"/>
        </w:rPr>
        <w:t xml:space="preserve">opţiuni de afaceri. </w:t>
      </w:r>
    </w:p>
    <w:p w:rsidR="00032FBB" w:rsidRDefault="00032FBB" w:rsidP="00DC2FB5">
      <w:pPr>
        <w:autoSpaceDE w:val="0"/>
        <w:autoSpaceDN w:val="0"/>
        <w:adjustRightInd w:val="0"/>
        <w:spacing w:after="0"/>
        <w:jc w:val="both"/>
        <w:rPr>
          <w:rFonts w:ascii="Arial" w:hAnsi="Arial" w:cs="Arial"/>
          <w:b/>
          <w:sz w:val="24"/>
          <w:szCs w:val="24"/>
        </w:rPr>
      </w:pPr>
    </w:p>
    <w:p w:rsidR="00E53D14" w:rsidRPr="00DC2FB5" w:rsidRDefault="001C2062" w:rsidP="00DC2FB5">
      <w:pPr>
        <w:autoSpaceDE w:val="0"/>
        <w:autoSpaceDN w:val="0"/>
        <w:adjustRightInd w:val="0"/>
        <w:spacing w:after="0"/>
        <w:jc w:val="both"/>
        <w:rPr>
          <w:rFonts w:ascii="Arial" w:hAnsi="Arial" w:cs="Arial"/>
          <w:color w:val="0070C0"/>
          <w:sz w:val="24"/>
          <w:szCs w:val="24"/>
        </w:rPr>
      </w:pPr>
      <w:r w:rsidRPr="00DC2FB5">
        <w:rPr>
          <w:rFonts w:ascii="Arial" w:hAnsi="Arial" w:cs="Arial"/>
          <w:b/>
          <w:sz w:val="24"/>
          <w:szCs w:val="24"/>
        </w:rPr>
        <w:t>F</w:t>
      </w:r>
      <w:r w:rsidR="00E53D14" w:rsidRPr="00DC2FB5">
        <w:rPr>
          <w:rFonts w:ascii="Arial" w:hAnsi="Arial" w:cs="Arial"/>
          <w:b/>
          <w:sz w:val="24"/>
          <w:szCs w:val="24"/>
        </w:rPr>
        <w:t>ond</w:t>
      </w:r>
      <w:r w:rsidR="008C25D6" w:rsidRPr="00DC2FB5">
        <w:rPr>
          <w:rFonts w:ascii="Arial" w:hAnsi="Arial" w:cs="Arial"/>
          <w:b/>
          <w:sz w:val="24"/>
          <w:szCs w:val="24"/>
        </w:rPr>
        <w:t>ul</w:t>
      </w:r>
      <w:r w:rsidR="00E53D14" w:rsidRPr="00DC2FB5">
        <w:rPr>
          <w:rFonts w:ascii="Arial" w:hAnsi="Arial" w:cs="Arial"/>
          <w:b/>
          <w:sz w:val="24"/>
          <w:szCs w:val="24"/>
        </w:rPr>
        <w:t xml:space="preserve"> pentru </w:t>
      </w:r>
      <w:r w:rsidRPr="00DC2FB5">
        <w:rPr>
          <w:rFonts w:ascii="Arial" w:hAnsi="Arial" w:cs="Arial"/>
          <w:b/>
          <w:sz w:val="24"/>
          <w:szCs w:val="24"/>
        </w:rPr>
        <w:t>De</w:t>
      </w:r>
      <w:r w:rsidR="00DD675D" w:rsidRPr="00DC2FB5">
        <w:rPr>
          <w:rFonts w:ascii="Arial" w:hAnsi="Arial" w:cs="Arial"/>
          <w:b/>
          <w:sz w:val="24"/>
          <w:szCs w:val="24"/>
        </w:rPr>
        <w:t>z</w:t>
      </w:r>
      <w:r w:rsidRPr="00DC2FB5">
        <w:rPr>
          <w:rFonts w:ascii="Arial" w:hAnsi="Arial" w:cs="Arial"/>
          <w:b/>
          <w:sz w:val="24"/>
          <w:szCs w:val="24"/>
        </w:rPr>
        <w:t xml:space="preserve">voltarea </w:t>
      </w:r>
      <w:r w:rsidR="0070228F" w:rsidRPr="00DC2FB5">
        <w:rPr>
          <w:rFonts w:ascii="Arial" w:hAnsi="Arial" w:cs="Arial"/>
          <w:b/>
          <w:sz w:val="24"/>
          <w:szCs w:val="24"/>
        </w:rPr>
        <w:t>R</w:t>
      </w:r>
      <w:r w:rsidRPr="00DC2FB5">
        <w:rPr>
          <w:rFonts w:ascii="Arial" w:hAnsi="Arial" w:cs="Arial"/>
          <w:b/>
          <w:sz w:val="24"/>
          <w:szCs w:val="24"/>
        </w:rPr>
        <w:t>egional</w:t>
      </w:r>
      <w:r w:rsidR="0070228F" w:rsidRPr="00DC2FB5">
        <w:rPr>
          <w:rFonts w:ascii="Arial" w:hAnsi="Arial" w:cs="Arial"/>
          <w:b/>
          <w:sz w:val="24"/>
          <w:szCs w:val="24"/>
          <w:lang w:val="ro-RO"/>
        </w:rPr>
        <w:t>ă</w:t>
      </w:r>
      <w:r w:rsidRPr="00DC2FB5">
        <w:rPr>
          <w:rFonts w:ascii="Arial" w:hAnsi="Arial" w:cs="Arial"/>
          <w:b/>
          <w:sz w:val="24"/>
          <w:szCs w:val="24"/>
        </w:rPr>
        <w:t xml:space="preserve"> Sustenabilă în Statele şi Municipiile Miniere</w:t>
      </w:r>
    </w:p>
    <w:p w:rsidR="00032FBB" w:rsidRDefault="00032FBB" w:rsidP="00DC2FB5">
      <w:pPr>
        <w:autoSpaceDE w:val="0"/>
        <w:autoSpaceDN w:val="0"/>
        <w:adjustRightInd w:val="0"/>
        <w:spacing w:after="0"/>
        <w:jc w:val="both"/>
        <w:rPr>
          <w:rFonts w:ascii="Arial" w:hAnsi="Arial" w:cs="Arial"/>
          <w:sz w:val="24"/>
          <w:szCs w:val="24"/>
        </w:rPr>
      </w:pPr>
    </w:p>
    <w:p w:rsidR="008C25D6" w:rsidRPr="00DC2FB5" w:rsidRDefault="00E53D14" w:rsidP="00DC2FB5">
      <w:pPr>
        <w:autoSpaceDE w:val="0"/>
        <w:autoSpaceDN w:val="0"/>
        <w:adjustRightInd w:val="0"/>
        <w:spacing w:after="0"/>
        <w:jc w:val="both"/>
        <w:rPr>
          <w:rFonts w:ascii="Arial" w:hAnsi="Arial" w:cs="Arial"/>
          <w:sz w:val="24"/>
          <w:szCs w:val="24"/>
        </w:rPr>
      </w:pPr>
      <w:r w:rsidRPr="00DC2FB5">
        <w:rPr>
          <w:rFonts w:ascii="Arial" w:hAnsi="Arial" w:cs="Arial"/>
          <w:sz w:val="24"/>
          <w:szCs w:val="24"/>
        </w:rPr>
        <w:t>Reform</w:t>
      </w:r>
      <w:r w:rsidR="001C2062" w:rsidRPr="00DC2FB5">
        <w:rPr>
          <w:rFonts w:ascii="Arial" w:hAnsi="Arial" w:cs="Arial"/>
          <w:sz w:val="24"/>
          <w:szCs w:val="24"/>
        </w:rPr>
        <w:t xml:space="preserve">a </w:t>
      </w:r>
      <w:r w:rsidRPr="00DC2FB5">
        <w:rPr>
          <w:rFonts w:ascii="Arial" w:hAnsi="Arial" w:cs="Arial"/>
          <w:sz w:val="24"/>
          <w:szCs w:val="24"/>
        </w:rPr>
        <w:t>fiscală</w:t>
      </w:r>
      <w:r w:rsidR="0070228F" w:rsidRPr="00DC2FB5">
        <w:rPr>
          <w:rStyle w:val="FootnoteReference"/>
          <w:rFonts w:ascii="Arial" w:hAnsi="Arial" w:cs="Arial"/>
          <w:sz w:val="24"/>
          <w:szCs w:val="24"/>
        </w:rPr>
        <w:footnoteReference w:id="2"/>
      </w:r>
      <w:r w:rsidRPr="00DC2FB5">
        <w:rPr>
          <w:rFonts w:ascii="Arial" w:hAnsi="Arial" w:cs="Arial"/>
          <w:sz w:val="24"/>
          <w:szCs w:val="24"/>
        </w:rPr>
        <w:t xml:space="preserve"> a </w:t>
      </w:r>
      <w:r w:rsidR="0070228F" w:rsidRPr="00DC2FB5">
        <w:rPr>
          <w:rFonts w:ascii="Arial" w:hAnsi="Arial" w:cs="Arial"/>
          <w:sz w:val="24"/>
          <w:szCs w:val="24"/>
        </w:rPr>
        <w:t xml:space="preserve">prevăzut </w:t>
      </w:r>
      <w:r w:rsidRPr="00DC2FB5">
        <w:rPr>
          <w:rFonts w:ascii="Arial" w:hAnsi="Arial" w:cs="Arial"/>
          <w:sz w:val="24"/>
          <w:szCs w:val="24"/>
        </w:rPr>
        <w:t xml:space="preserve">modificări </w:t>
      </w:r>
      <w:r w:rsidR="001C2062" w:rsidRPr="00DC2FB5">
        <w:rPr>
          <w:rFonts w:ascii="Arial" w:hAnsi="Arial" w:cs="Arial"/>
          <w:sz w:val="24"/>
          <w:szCs w:val="24"/>
        </w:rPr>
        <w:t xml:space="preserve">la </w:t>
      </w:r>
      <w:r w:rsidRPr="00DC2FB5">
        <w:rPr>
          <w:rFonts w:ascii="Arial" w:hAnsi="Arial" w:cs="Arial"/>
          <w:sz w:val="24"/>
          <w:szCs w:val="24"/>
        </w:rPr>
        <w:t xml:space="preserve">Legea </w:t>
      </w:r>
      <w:r w:rsidR="001C2062" w:rsidRPr="00DC2FB5">
        <w:rPr>
          <w:rFonts w:ascii="Arial" w:hAnsi="Arial" w:cs="Arial"/>
          <w:sz w:val="24"/>
          <w:szCs w:val="24"/>
        </w:rPr>
        <w:t>Taxelor F</w:t>
      </w:r>
      <w:r w:rsidRPr="00DC2FB5">
        <w:rPr>
          <w:rFonts w:ascii="Arial" w:hAnsi="Arial" w:cs="Arial"/>
          <w:sz w:val="24"/>
          <w:szCs w:val="24"/>
        </w:rPr>
        <w:t>ederal</w:t>
      </w:r>
      <w:r w:rsidR="001C2062" w:rsidRPr="00DC2FB5">
        <w:rPr>
          <w:rFonts w:ascii="Arial" w:hAnsi="Arial" w:cs="Arial"/>
          <w:sz w:val="24"/>
          <w:szCs w:val="24"/>
        </w:rPr>
        <w:t>e</w:t>
      </w:r>
      <w:r w:rsidRPr="00DC2FB5">
        <w:rPr>
          <w:rFonts w:ascii="Arial" w:hAnsi="Arial" w:cs="Arial"/>
          <w:sz w:val="24"/>
          <w:szCs w:val="24"/>
        </w:rPr>
        <w:t xml:space="preserve"> (FDL), cu o </w:t>
      </w:r>
      <w:r w:rsidR="001C2062" w:rsidRPr="00DC2FB5">
        <w:rPr>
          <w:rFonts w:ascii="Arial" w:hAnsi="Arial" w:cs="Arial"/>
          <w:sz w:val="24"/>
          <w:szCs w:val="24"/>
        </w:rPr>
        <w:t xml:space="preserve">taxă </w:t>
      </w:r>
      <w:r w:rsidR="0070228F" w:rsidRPr="00DC2FB5">
        <w:rPr>
          <w:rFonts w:ascii="Arial" w:hAnsi="Arial" w:cs="Arial"/>
          <w:sz w:val="24"/>
          <w:szCs w:val="24"/>
        </w:rPr>
        <w:t xml:space="preserve">specială </w:t>
      </w:r>
      <w:r w:rsidRPr="00DC2FB5">
        <w:rPr>
          <w:rFonts w:ascii="Arial" w:hAnsi="Arial" w:cs="Arial"/>
          <w:sz w:val="24"/>
          <w:szCs w:val="24"/>
        </w:rPr>
        <w:t>pentru industria minieră, aplic</w:t>
      </w:r>
      <w:r w:rsidR="0070228F" w:rsidRPr="00DC2FB5">
        <w:rPr>
          <w:rFonts w:ascii="Arial" w:hAnsi="Arial" w:cs="Arial"/>
          <w:sz w:val="24"/>
          <w:szCs w:val="24"/>
        </w:rPr>
        <w:t>ând</w:t>
      </w:r>
      <w:r w:rsidRPr="00DC2FB5">
        <w:rPr>
          <w:rFonts w:ascii="Arial" w:hAnsi="Arial" w:cs="Arial"/>
          <w:sz w:val="24"/>
          <w:szCs w:val="24"/>
        </w:rPr>
        <w:t xml:space="preserve"> o </w:t>
      </w:r>
      <w:r w:rsidR="001C2062" w:rsidRPr="00DC2FB5">
        <w:rPr>
          <w:rFonts w:ascii="Arial" w:hAnsi="Arial" w:cs="Arial"/>
          <w:sz w:val="24"/>
          <w:szCs w:val="24"/>
        </w:rPr>
        <w:t xml:space="preserve">cotă de </w:t>
      </w:r>
      <w:r w:rsidRPr="00DC2FB5">
        <w:rPr>
          <w:rFonts w:ascii="Arial" w:hAnsi="Arial" w:cs="Arial"/>
          <w:sz w:val="24"/>
          <w:szCs w:val="24"/>
        </w:rPr>
        <w:t>7,</w:t>
      </w:r>
      <w:r w:rsidR="001C2062" w:rsidRPr="00DC2FB5">
        <w:rPr>
          <w:rFonts w:ascii="Arial" w:hAnsi="Arial" w:cs="Arial"/>
          <w:sz w:val="24"/>
          <w:szCs w:val="24"/>
        </w:rPr>
        <w:t xml:space="preserve"> </w:t>
      </w:r>
      <w:r w:rsidRPr="00DC2FB5">
        <w:rPr>
          <w:rFonts w:ascii="Arial" w:hAnsi="Arial" w:cs="Arial"/>
          <w:sz w:val="24"/>
          <w:szCs w:val="24"/>
        </w:rPr>
        <w:t xml:space="preserve">5% </w:t>
      </w:r>
      <w:r w:rsidR="001C2062" w:rsidRPr="00DC2FB5">
        <w:rPr>
          <w:rFonts w:ascii="Arial" w:hAnsi="Arial" w:cs="Arial"/>
          <w:sz w:val="24"/>
          <w:szCs w:val="24"/>
        </w:rPr>
        <w:t xml:space="preserve">pe </w:t>
      </w:r>
      <w:r w:rsidRPr="00DC2FB5">
        <w:rPr>
          <w:rFonts w:ascii="Arial" w:hAnsi="Arial" w:cs="Arial"/>
          <w:sz w:val="24"/>
          <w:szCs w:val="24"/>
        </w:rPr>
        <w:t>venituri</w:t>
      </w:r>
      <w:r w:rsidR="001C2062" w:rsidRPr="00DC2FB5">
        <w:rPr>
          <w:rFonts w:ascii="Arial" w:hAnsi="Arial" w:cs="Arial"/>
          <w:sz w:val="24"/>
          <w:szCs w:val="24"/>
        </w:rPr>
        <w:t xml:space="preserve">; o taxă suplimentară pe </w:t>
      </w:r>
      <w:r w:rsidR="008C25D6" w:rsidRPr="00DC2FB5">
        <w:rPr>
          <w:rFonts w:ascii="Arial" w:hAnsi="Arial" w:cs="Arial"/>
          <w:sz w:val="24"/>
          <w:szCs w:val="24"/>
        </w:rPr>
        <w:t>m</w:t>
      </w:r>
      <w:r w:rsidRPr="00DC2FB5">
        <w:rPr>
          <w:rFonts w:ascii="Arial" w:hAnsi="Arial" w:cs="Arial"/>
          <w:sz w:val="24"/>
          <w:szCs w:val="24"/>
        </w:rPr>
        <w:t xml:space="preserve">inerit care constă </w:t>
      </w:r>
      <w:r w:rsidR="001C2062" w:rsidRPr="00DC2FB5">
        <w:rPr>
          <w:rFonts w:ascii="Arial" w:hAnsi="Arial" w:cs="Arial"/>
          <w:sz w:val="24"/>
          <w:szCs w:val="24"/>
        </w:rPr>
        <w:t>în</w:t>
      </w:r>
      <w:r w:rsidRPr="00DC2FB5">
        <w:rPr>
          <w:rFonts w:ascii="Arial" w:hAnsi="Arial" w:cs="Arial"/>
          <w:sz w:val="24"/>
          <w:szCs w:val="24"/>
        </w:rPr>
        <w:t>tr-o cre</w:t>
      </w:r>
      <w:r w:rsidR="006A407B" w:rsidRPr="00DC2FB5">
        <w:rPr>
          <w:rFonts w:ascii="Arial" w:hAnsi="Arial" w:cs="Arial"/>
          <w:sz w:val="24"/>
          <w:szCs w:val="24"/>
        </w:rPr>
        <w:t>ş</w:t>
      </w:r>
      <w:r w:rsidRPr="00DC2FB5">
        <w:rPr>
          <w:rFonts w:ascii="Arial" w:hAnsi="Arial" w:cs="Arial"/>
          <w:sz w:val="24"/>
          <w:szCs w:val="24"/>
        </w:rPr>
        <w:t xml:space="preserve">tere de 50% la taxele pe </w:t>
      </w:r>
      <w:r w:rsidR="001C2062" w:rsidRPr="00DC2FB5">
        <w:rPr>
          <w:rFonts w:ascii="Arial" w:hAnsi="Arial" w:cs="Arial"/>
          <w:sz w:val="24"/>
          <w:szCs w:val="24"/>
        </w:rPr>
        <w:t xml:space="preserve">hectarele </w:t>
      </w:r>
      <w:r w:rsidR="00DD675D" w:rsidRPr="00DC2FB5">
        <w:rPr>
          <w:rFonts w:ascii="Arial" w:hAnsi="Arial" w:cs="Arial"/>
          <w:sz w:val="24"/>
          <w:szCs w:val="24"/>
        </w:rPr>
        <w:t>autorizate</w:t>
      </w:r>
      <w:r w:rsidR="001C2062" w:rsidRPr="00DC2FB5">
        <w:rPr>
          <w:rFonts w:ascii="Arial" w:hAnsi="Arial" w:cs="Arial"/>
          <w:sz w:val="24"/>
          <w:szCs w:val="24"/>
        </w:rPr>
        <w:t xml:space="preserve"> </w:t>
      </w:r>
      <w:r w:rsidRPr="00DC2FB5">
        <w:rPr>
          <w:rFonts w:ascii="Arial" w:hAnsi="Arial" w:cs="Arial"/>
          <w:sz w:val="24"/>
          <w:szCs w:val="24"/>
        </w:rPr>
        <w:t>neexplorat</w:t>
      </w:r>
      <w:r w:rsidR="001C2062" w:rsidRPr="00DC2FB5">
        <w:rPr>
          <w:rFonts w:ascii="Arial" w:hAnsi="Arial" w:cs="Arial"/>
          <w:sz w:val="24"/>
          <w:szCs w:val="24"/>
        </w:rPr>
        <w:t>e</w:t>
      </w:r>
      <w:r w:rsidRPr="00DC2FB5">
        <w:rPr>
          <w:rFonts w:ascii="Arial" w:hAnsi="Arial" w:cs="Arial"/>
          <w:sz w:val="24"/>
          <w:szCs w:val="24"/>
        </w:rPr>
        <w:t xml:space="preserve"> sau neexploatate</w:t>
      </w:r>
      <w:r w:rsidR="0070228F" w:rsidRPr="00DC2FB5">
        <w:rPr>
          <w:rFonts w:ascii="Arial" w:hAnsi="Arial" w:cs="Arial"/>
          <w:sz w:val="24"/>
          <w:szCs w:val="24"/>
        </w:rPr>
        <w:t xml:space="preserve"> </w:t>
      </w:r>
      <w:r w:rsidR="001C2062" w:rsidRPr="00DC2FB5">
        <w:rPr>
          <w:rFonts w:ascii="Arial" w:hAnsi="Arial" w:cs="Arial"/>
          <w:sz w:val="24"/>
          <w:szCs w:val="24"/>
        </w:rPr>
        <w:t xml:space="preserve">timp de doi ani consecutiv </w:t>
      </w:r>
      <w:r w:rsidRPr="00DC2FB5">
        <w:rPr>
          <w:rFonts w:ascii="Arial" w:hAnsi="Arial" w:cs="Arial"/>
          <w:sz w:val="24"/>
          <w:szCs w:val="24"/>
        </w:rPr>
        <w:t>în timpul primilor unsprezece ani de la ob</w:t>
      </w:r>
      <w:r w:rsidR="006A407B" w:rsidRPr="00DC2FB5">
        <w:rPr>
          <w:rFonts w:ascii="Arial" w:hAnsi="Arial" w:cs="Arial"/>
          <w:sz w:val="24"/>
          <w:szCs w:val="24"/>
        </w:rPr>
        <w:t>ţ</w:t>
      </w:r>
      <w:r w:rsidR="001C2062" w:rsidRPr="00DC2FB5">
        <w:rPr>
          <w:rFonts w:ascii="Arial" w:hAnsi="Arial" w:cs="Arial"/>
          <w:sz w:val="24"/>
          <w:szCs w:val="24"/>
        </w:rPr>
        <w:t xml:space="preserve">inerea </w:t>
      </w:r>
      <w:r w:rsidR="00DD675D" w:rsidRPr="00DC2FB5">
        <w:rPr>
          <w:rFonts w:ascii="Arial" w:hAnsi="Arial" w:cs="Arial"/>
          <w:sz w:val="24"/>
          <w:szCs w:val="24"/>
        </w:rPr>
        <w:t xml:space="preserve">autorizaţiei </w:t>
      </w:r>
      <w:r w:rsidR="006A407B" w:rsidRPr="00DC2FB5">
        <w:rPr>
          <w:rFonts w:ascii="Arial" w:hAnsi="Arial" w:cs="Arial"/>
          <w:sz w:val="24"/>
          <w:szCs w:val="24"/>
        </w:rPr>
        <w:t>ş</w:t>
      </w:r>
      <w:r w:rsidRPr="00DC2FB5">
        <w:rPr>
          <w:rFonts w:ascii="Arial" w:hAnsi="Arial" w:cs="Arial"/>
          <w:sz w:val="24"/>
          <w:szCs w:val="24"/>
        </w:rPr>
        <w:t xml:space="preserve">i o </w:t>
      </w:r>
      <w:r w:rsidR="0070228F" w:rsidRPr="00DC2FB5">
        <w:rPr>
          <w:rFonts w:ascii="Arial" w:hAnsi="Arial" w:cs="Arial"/>
          <w:sz w:val="24"/>
          <w:szCs w:val="24"/>
        </w:rPr>
        <w:t>Taxă E</w:t>
      </w:r>
      <w:r w:rsidRPr="00DC2FB5">
        <w:rPr>
          <w:rFonts w:ascii="Arial" w:hAnsi="Arial" w:cs="Arial"/>
          <w:sz w:val="24"/>
          <w:szCs w:val="24"/>
        </w:rPr>
        <w:t xml:space="preserve">xtraordinară </w:t>
      </w:r>
      <w:r w:rsidR="0070228F" w:rsidRPr="00DC2FB5">
        <w:rPr>
          <w:rFonts w:ascii="Arial" w:hAnsi="Arial" w:cs="Arial"/>
          <w:sz w:val="24"/>
          <w:szCs w:val="24"/>
        </w:rPr>
        <w:t xml:space="preserve">de </w:t>
      </w:r>
      <w:r w:rsidRPr="00DC2FB5">
        <w:rPr>
          <w:rFonts w:ascii="Arial" w:hAnsi="Arial" w:cs="Arial"/>
          <w:sz w:val="24"/>
          <w:szCs w:val="24"/>
        </w:rPr>
        <w:t>Minerit</w:t>
      </w:r>
      <w:r w:rsidR="0070228F" w:rsidRPr="00DC2FB5">
        <w:rPr>
          <w:rFonts w:ascii="Arial" w:hAnsi="Arial" w:cs="Arial"/>
          <w:sz w:val="24"/>
          <w:szCs w:val="24"/>
        </w:rPr>
        <w:t xml:space="preserve"> </w:t>
      </w:r>
      <w:r w:rsidRPr="00DC2FB5">
        <w:rPr>
          <w:rFonts w:ascii="Arial" w:hAnsi="Arial" w:cs="Arial"/>
          <w:sz w:val="24"/>
          <w:szCs w:val="24"/>
        </w:rPr>
        <w:t xml:space="preserve">pe vânzările de aur, argint </w:t>
      </w:r>
      <w:r w:rsidR="006A407B" w:rsidRPr="00DC2FB5">
        <w:rPr>
          <w:rFonts w:ascii="Arial" w:hAnsi="Arial" w:cs="Arial"/>
          <w:sz w:val="24"/>
          <w:szCs w:val="24"/>
        </w:rPr>
        <w:t>ş</w:t>
      </w:r>
      <w:r w:rsidRPr="00DC2FB5">
        <w:rPr>
          <w:rFonts w:ascii="Arial" w:hAnsi="Arial" w:cs="Arial"/>
          <w:sz w:val="24"/>
          <w:szCs w:val="24"/>
        </w:rPr>
        <w:t>i platină,</w:t>
      </w:r>
      <w:r w:rsidR="0070228F" w:rsidRPr="00DC2FB5">
        <w:rPr>
          <w:rFonts w:ascii="Arial" w:hAnsi="Arial" w:cs="Arial"/>
          <w:color w:val="C00000"/>
          <w:sz w:val="24"/>
          <w:szCs w:val="24"/>
        </w:rPr>
        <w:t xml:space="preserve"> </w:t>
      </w:r>
      <w:r w:rsidRPr="00DC2FB5">
        <w:rPr>
          <w:rFonts w:ascii="Arial" w:hAnsi="Arial" w:cs="Arial"/>
          <w:sz w:val="24"/>
          <w:szCs w:val="24"/>
        </w:rPr>
        <w:t xml:space="preserve">la o </w:t>
      </w:r>
      <w:r w:rsidR="0070228F" w:rsidRPr="00DC2FB5">
        <w:rPr>
          <w:rFonts w:ascii="Arial" w:hAnsi="Arial" w:cs="Arial"/>
          <w:sz w:val="24"/>
          <w:szCs w:val="24"/>
        </w:rPr>
        <w:t>co</w:t>
      </w:r>
      <w:r w:rsidRPr="00DC2FB5">
        <w:rPr>
          <w:rFonts w:ascii="Arial" w:hAnsi="Arial" w:cs="Arial"/>
          <w:sz w:val="24"/>
          <w:szCs w:val="24"/>
        </w:rPr>
        <w:t>tă de 0,</w:t>
      </w:r>
      <w:r w:rsidR="0070228F" w:rsidRPr="00DC2FB5">
        <w:rPr>
          <w:rFonts w:ascii="Arial" w:hAnsi="Arial" w:cs="Arial"/>
          <w:sz w:val="24"/>
          <w:szCs w:val="24"/>
        </w:rPr>
        <w:t xml:space="preserve"> </w:t>
      </w:r>
      <w:r w:rsidRPr="00DC2FB5">
        <w:rPr>
          <w:rFonts w:ascii="Arial" w:hAnsi="Arial" w:cs="Arial"/>
          <w:sz w:val="24"/>
          <w:szCs w:val="24"/>
        </w:rPr>
        <w:t>5%. Până atunci, Mexic</w:t>
      </w:r>
      <w:r w:rsidR="0070228F" w:rsidRPr="00DC2FB5">
        <w:rPr>
          <w:rFonts w:ascii="Arial" w:hAnsi="Arial" w:cs="Arial"/>
          <w:sz w:val="24"/>
          <w:szCs w:val="24"/>
        </w:rPr>
        <w:t xml:space="preserve">ul </w:t>
      </w:r>
      <w:r w:rsidRPr="00DC2FB5">
        <w:rPr>
          <w:rFonts w:ascii="Arial" w:hAnsi="Arial" w:cs="Arial"/>
          <w:sz w:val="24"/>
          <w:szCs w:val="24"/>
        </w:rPr>
        <w:t>a fost un</w:t>
      </w:r>
      <w:r w:rsidR="0070228F" w:rsidRPr="00DC2FB5">
        <w:rPr>
          <w:rFonts w:ascii="Arial" w:hAnsi="Arial" w:cs="Arial"/>
          <w:sz w:val="24"/>
          <w:szCs w:val="24"/>
        </w:rPr>
        <w:t>ul dintre pu</w:t>
      </w:r>
      <w:r w:rsidR="0070228F" w:rsidRPr="00DC2FB5">
        <w:rPr>
          <w:rFonts w:ascii="Arial" w:hAnsi="Arial" w:cs="Arial"/>
          <w:sz w:val="24"/>
          <w:szCs w:val="24"/>
          <w:lang w:val="ro-RO"/>
        </w:rPr>
        <w:t>ţ</w:t>
      </w:r>
      <w:r w:rsidR="0070228F" w:rsidRPr="00DC2FB5">
        <w:rPr>
          <w:rFonts w:ascii="Arial" w:hAnsi="Arial" w:cs="Arial"/>
          <w:sz w:val="24"/>
          <w:szCs w:val="24"/>
        </w:rPr>
        <w:t xml:space="preserve">inele state </w:t>
      </w:r>
      <w:r w:rsidRPr="00DC2FB5">
        <w:rPr>
          <w:rFonts w:ascii="Arial" w:hAnsi="Arial" w:cs="Arial"/>
          <w:sz w:val="24"/>
          <w:szCs w:val="24"/>
        </w:rPr>
        <w:t>care nu au</w:t>
      </w:r>
      <w:r w:rsidR="0070228F" w:rsidRPr="00DC2FB5">
        <w:rPr>
          <w:rFonts w:ascii="Arial" w:hAnsi="Arial" w:cs="Arial"/>
          <w:color w:val="C00000"/>
          <w:sz w:val="24"/>
          <w:szCs w:val="24"/>
        </w:rPr>
        <w:t xml:space="preserve"> </w:t>
      </w:r>
      <w:r w:rsidRPr="00DC2FB5">
        <w:rPr>
          <w:rFonts w:ascii="Arial" w:hAnsi="Arial" w:cs="Arial"/>
          <w:sz w:val="24"/>
          <w:szCs w:val="24"/>
        </w:rPr>
        <w:t>aplic</w:t>
      </w:r>
      <w:r w:rsidR="0070228F" w:rsidRPr="00DC2FB5">
        <w:rPr>
          <w:rFonts w:ascii="Arial" w:hAnsi="Arial" w:cs="Arial"/>
          <w:sz w:val="24"/>
          <w:szCs w:val="24"/>
        </w:rPr>
        <w:t>at</w:t>
      </w:r>
      <w:r w:rsidRPr="00DC2FB5">
        <w:rPr>
          <w:rFonts w:ascii="Arial" w:hAnsi="Arial" w:cs="Arial"/>
          <w:sz w:val="24"/>
          <w:szCs w:val="24"/>
        </w:rPr>
        <w:t xml:space="preserve"> </w:t>
      </w:r>
      <w:r w:rsidR="0070228F" w:rsidRPr="00DC2FB5">
        <w:rPr>
          <w:rFonts w:ascii="Arial" w:hAnsi="Arial" w:cs="Arial"/>
          <w:sz w:val="24"/>
          <w:szCs w:val="24"/>
        </w:rPr>
        <w:t>impozite</w:t>
      </w:r>
      <w:r w:rsidRPr="00DC2FB5">
        <w:rPr>
          <w:rFonts w:ascii="Arial" w:hAnsi="Arial" w:cs="Arial"/>
          <w:sz w:val="24"/>
          <w:szCs w:val="24"/>
        </w:rPr>
        <w:t xml:space="preserve"> sau redeven</w:t>
      </w:r>
      <w:r w:rsidR="006A407B" w:rsidRPr="00DC2FB5">
        <w:rPr>
          <w:rFonts w:ascii="Arial" w:hAnsi="Arial" w:cs="Arial"/>
          <w:sz w:val="24"/>
          <w:szCs w:val="24"/>
        </w:rPr>
        <w:t>ţ</w:t>
      </w:r>
      <w:r w:rsidRPr="00DC2FB5">
        <w:rPr>
          <w:rFonts w:ascii="Arial" w:hAnsi="Arial" w:cs="Arial"/>
          <w:sz w:val="24"/>
          <w:szCs w:val="24"/>
        </w:rPr>
        <w:t xml:space="preserve">e miniere, în ciuda </w:t>
      </w:r>
      <w:r w:rsidR="0070228F" w:rsidRPr="00DC2FB5">
        <w:rPr>
          <w:rFonts w:ascii="Arial" w:hAnsi="Arial" w:cs="Arial"/>
          <w:sz w:val="24"/>
          <w:szCs w:val="24"/>
        </w:rPr>
        <w:t xml:space="preserve">nevoii de a </w:t>
      </w:r>
      <w:r w:rsidRPr="00DC2FB5">
        <w:rPr>
          <w:rFonts w:ascii="Arial" w:hAnsi="Arial" w:cs="Arial"/>
          <w:sz w:val="24"/>
          <w:szCs w:val="24"/>
        </w:rPr>
        <w:t>împ</w:t>
      </w:r>
      <w:r w:rsidR="0070228F" w:rsidRPr="00DC2FB5">
        <w:rPr>
          <w:rFonts w:ascii="Arial" w:hAnsi="Arial" w:cs="Arial"/>
          <w:sz w:val="24"/>
          <w:szCs w:val="24"/>
        </w:rPr>
        <w:t xml:space="preserve">ărţi </w:t>
      </w:r>
      <w:r w:rsidRPr="00DC2FB5">
        <w:rPr>
          <w:rFonts w:ascii="Arial" w:hAnsi="Arial" w:cs="Arial"/>
          <w:sz w:val="24"/>
          <w:szCs w:val="24"/>
        </w:rPr>
        <w:t>beneficiile acestei activită</w:t>
      </w:r>
      <w:r w:rsidR="006A407B" w:rsidRPr="00DC2FB5">
        <w:rPr>
          <w:rFonts w:ascii="Arial" w:hAnsi="Arial" w:cs="Arial"/>
          <w:sz w:val="24"/>
          <w:szCs w:val="24"/>
        </w:rPr>
        <w:t>ţ</w:t>
      </w:r>
      <w:r w:rsidRPr="00DC2FB5">
        <w:rPr>
          <w:rFonts w:ascii="Arial" w:hAnsi="Arial" w:cs="Arial"/>
          <w:sz w:val="24"/>
          <w:szCs w:val="24"/>
        </w:rPr>
        <w:t>i</w:t>
      </w:r>
      <w:r w:rsidR="0070228F" w:rsidRPr="00DC2FB5">
        <w:rPr>
          <w:rFonts w:ascii="Arial" w:hAnsi="Arial" w:cs="Arial"/>
          <w:color w:val="C00000"/>
          <w:sz w:val="24"/>
          <w:szCs w:val="24"/>
        </w:rPr>
        <w:t xml:space="preserve"> </w:t>
      </w:r>
      <w:r w:rsidRPr="00DC2FB5">
        <w:rPr>
          <w:rFonts w:ascii="Arial" w:hAnsi="Arial" w:cs="Arial"/>
          <w:sz w:val="24"/>
          <w:szCs w:val="24"/>
        </w:rPr>
        <w:t>cu comunită</w:t>
      </w:r>
      <w:r w:rsidR="006A407B" w:rsidRPr="00DC2FB5">
        <w:rPr>
          <w:rFonts w:ascii="Arial" w:hAnsi="Arial" w:cs="Arial"/>
          <w:sz w:val="24"/>
          <w:szCs w:val="24"/>
        </w:rPr>
        <w:t>ţ</w:t>
      </w:r>
      <w:r w:rsidRPr="00DC2FB5">
        <w:rPr>
          <w:rFonts w:ascii="Arial" w:hAnsi="Arial" w:cs="Arial"/>
          <w:sz w:val="24"/>
          <w:szCs w:val="24"/>
        </w:rPr>
        <w:t xml:space="preserve">ile. </w:t>
      </w:r>
    </w:p>
    <w:p w:rsidR="008C25D6" w:rsidRPr="00032FBB" w:rsidRDefault="00032FBB" w:rsidP="00DC2FB5">
      <w:pPr>
        <w:autoSpaceDE w:val="0"/>
        <w:autoSpaceDN w:val="0"/>
        <w:adjustRightInd w:val="0"/>
        <w:spacing w:after="0"/>
        <w:jc w:val="both"/>
        <w:rPr>
          <w:rFonts w:ascii="Arial" w:hAnsi="Arial" w:cs="Arial"/>
          <w:sz w:val="24"/>
          <w:szCs w:val="24"/>
        </w:rPr>
      </w:pPr>
      <w:r>
        <w:rPr>
          <w:rFonts w:ascii="Arial" w:hAnsi="Arial" w:cs="Arial"/>
          <w:sz w:val="24"/>
          <w:szCs w:val="24"/>
        </w:rPr>
        <w:tab/>
      </w:r>
      <w:r w:rsidR="00E53D14" w:rsidRPr="00DC2FB5">
        <w:rPr>
          <w:rFonts w:ascii="Arial" w:hAnsi="Arial" w:cs="Arial"/>
          <w:sz w:val="24"/>
          <w:szCs w:val="24"/>
        </w:rPr>
        <w:t>Aproximativ 80% din veniturile</w:t>
      </w:r>
      <w:r w:rsidR="0070228F" w:rsidRPr="00DC2FB5">
        <w:rPr>
          <w:rFonts w:ascii="Arial" w:hAnsi="Arial" w:cs="Arial"/>
          <w:sz w:val="24"/>
          <w:szCs w:val="24"/>
        </w:rPr>
        <w:t xml:space="preserve"> </w:t>
      </w:r>
      <w:r w:rsidR="00E53D14" w:rsidRPr="00DC2FB5">
        <w:rPr>
          <w:rFonts w:ascii="Arial" w:hAnsi="Arial" w:cs="Arial"/>
          <w:sz w:val="24"/>
          <w:szCs w:val="24"/>
        </w:rPr>
        <w:t xml:space="preserve">generate de aceste </w:t>
      </w:r>
      <w:r w:rsidR="0070228F" w:rsidRPr="00DC2FB5">
        <w:rPr>
          <w:rFonts w:ascii="Arial" w:hAnsi="Arial" w:cs="Arial"/>
          <w:sz w:val="24"/>
          <w:szCs w:val="24"/>
        </w:rPr>
        <w:t>impozit</w:t>
      </w:r>
      <w:r w:rsidR="00E53D14" w:rsidRPr="00DC2FB5">
        <w:rPr>
          <w:rFonts w:ascii="Arial" w:hAnsi="Arial" w:cs="Arial"/>
          <w:sz w:val="24"/>
          <w:szCs w:val="24"/>
        </w:rPr>
        <w:t xml:space="preserve">e se duce </w:t>
      </w:r>
      <w:r w:rsidR="0070228F" w:rsidRPr="00DC2FB5">
        <w:rPr>
          <w:rFonts w:ascii="Arial" w:hAnsi="Arial" w:cs="Arial"/>
          <w:sz w:val="24"/>
          <w:szCs w:val="24"/>
        </w:rPr>
        <w:t xml:space="preserve">către </w:t>
      </w:r>
      <w:r w:rsidR="00E53D14" w:rsidRPr="00DC2FB5">
        <w:rPr>
          <w:rFonts w:ascii="Arial" w:hAnsi="Arial" w:cs="Arial"/>
          <w:sz w:val="24"/>
          <w:szCs w:val="24"/>
        </w:rPr>
        <w:t>Fond</w:t>
      </w:r>
      <w:r w:rsidR="0070228F" w:rsidRPr="00DC2FB5">
        <w:rPr>
          <w:rFonts w:ascii="Arial" w:hAnsi="Arial" w:cs="Arial"/>
          <w:sz w:val="24"/>
          <w:szCs w:val="24"/>
        </w:rPr>
        <w:t xml:space="preserve">ul </w:t>
      </w:r>
      <w:r w:rsidR="00E53D14" w:rsidRPr="00DC2FB5">
        <w:rPr>
          <w:rFonts w:ascii="Arial" w:hAnsi="Arial" w:cs="Arial"/>
          <w:sz w:val="24"/>
          <w:szCs w:val="24"/>
        </w:rPr>
        <w:t xml:space="preserve">pentru </w:t>
      </w:r>
      <w:r w:rsidR="0070228F" w:rsidRPr="00DC2FB5">
        <w:rPr>
          <w:rFonts w:ascii="Arial" w:hAnsi="Arial" w:cs="Arial"/>
          <w:sz w:val="24"/>
          <w:szCs w:val="24"/>
        </w:rPr>
        <w:t>D</w:t>
      </w:r>
      <w:r w:rsidR="00E53D14" w:rsidRPr="00DC2FB5">
        <w:rPr>
          <w:rFonts w:ascii="Arial" w:hAnsi="Arial" w:cs="Arial"/>
          <w:sz w:val="24"/>
          <w:szCs w:val="24"/>
        </w:rPr>
        <w:t xml:space="preserve">ezvoltarea </w:t>
      </w:r>
      <w:r w:rsidR="0070228F" w:rsidRPr="00DC2FB5">
        <w:rPr>
          <w:rFonts w:ascii="Arial" w:hAnsi="Arial" w:cs="Arial"/>
          <w:sz w:val="24"/>
          <w:szCs w:val="24"/>
        </w:rPr>
        <w:t>R</w:t>
      </w:r>
      <w:r w:rsidR="00E53D14" w:rsidRPr="00DC2FB5">
        <w:rPr>
          <w:rFonts w:ascii="Arial" w:hAnsi="Arial" w:cs="Arial"/>
          <w:sz w:val="24"/>
          <w:szCs w:val="24"/>
        </w:rPr>
        <w:t xml:space="preserve">egională </w:t>
      </w:r>
      <w:r w:rsidR="0070228F" w:rsidRPr="00DC2FB5">
        <w:rPr>
          <w:rFonts w:ascii="Arial" w:hAnsi="Arial" w:cs="Arial"/>
          <w:sz w:val="24"/>
          <w:szCs w:val="24"/>
        </w:rPr>
        <w:t>D</w:t>
      </w:r>
      <w:r w:rsidR="00E53D14" w:rsidRPr="00DC2FB5">
        <w:rPr>
          <w:rFonts w:ascii="Arial" w:hAnsi="Arial" w:cs="Arial"/>
          <w:sz w:val="24"/>
          <w:szCs w:val="24"/>
        </w:rPr>
        <w:t>urabilă a</w:t>
      </w:r>
      <w:r w:rsidR="0070228F" w:rsidRPr="00DC2FB5">
        <w:rPr>
          <w:rFonts w:ascii="Arial" w:hAnsi="Arial" w:cs="Arial"/>
          <w:sz w:val="24"/>
          <w:szCs w:val="24"/>
        </w:rPr>
        <w:t xml:space="preserve"> </w:t>
      </w:r>
      <w:r w:rsidR="00E53D14" w:rsidRPr="00DC2FB5">
        <w:rPr>
          <w:rFonts w:ascii="Arial" w:hAnsi="Arial" w:cs="Arial"/>
          <w:sz w:val="24"/>
          <w:szCs w:val="24"/>
        </w:rPr>
        <w:t>Statel</w:t>
      </w:r>
      <w:r w:rsidR="0070228F" w:rsidRPr="00DC2FB5">
        <w:rPr>
          <w:rFonts w:ascii="Arial" w:hAnsi="Arial" w:cs="Arial"/>
          <w:sz w:val="24"/>
          <w:szCs w:val="24"/>
        </w:rPr>
        <w:t>or</w:t>
      </w:r>
      <w:r w:rsidR="00E53D14" w:rsidRPr="00DC2FB5">
        <w:rPr>
          <w:rFonts w:ascii="Arial" w:hAnsi="Arial" w:cs="Arial"/>
          <w:sz w:val="24"/>
          <w:szCs w:val="24"/>
        </w:rPr>
        <w:t xml:space="preserve"> </w:t>
      </w:r>
      <w:r w:rsidR="006A407B" w:rsidRPr="00DC2FB5">
        <w:rPr>
          <w:rFonts w:ascii="Arial" w:hAnsi="Arial" w:cs="Arial"/>
          <w:sz w:val="24"/>
          <w:szCs w:val="24"/>
        </w:rPr>
        <w:t>ş</w:t>
      </w:r>
      <w:r w:rsidR="00E53D14" w:rsidRPr="00DC2FB5">
        <w:rPr>
          <w:rFonts w:ascii="Arial" w:hAnsi="Arial" w:cs="Arial"/>
          <w:sz w:val="24"/>
          <w:szCs w:val="24"/>
        </w:rPr>
        <w:t>i Municipalită</w:t>
      </w:r>
      <w:r w:rsidR="006A407B" w:rsidRPr="00DC2FB5">
        <w:rPr>
          <w:rFonts w:ascii="Arial" w:hAnsi="Arial" w:cs="Arial"/>
          <w:sz w:val="24"/>
          <w:szCs w:val="24"/>
        </w:rPr>
        <w:t>ţ</w:t>
      </w:r>
      <w:r w:rsidR="00E53D14" w:rsidRPr="00DC2FB5">
        <w:rPr>
          <w:rFonts w:ascii="Arial" w:hAnsi="Arial" w:cs="Arial"/>
          <w:sz w:val="24"/>
          <w:szCs w:val="24"/>
        </w:rPr>
        <w:t>il</w:t>
      </w:r>
      <w:r w:rsidR="0070228F" w:rsidRPr="00DC2FB5">
        <w:rPr>
          <w:rFonts w:ascii="Arial" w:hAnsi="Arial" w:cs="Arial"/>
          <w:sz w:val="24"/>
          <w:szCs w:val="24"/>
        </w:rPr>
        <w:t>or</w:t>
      </w:r>
      <w:r w:rsidR="00E53D14" w:rsidRPr="00DC2FB5">
        <w:rPr>
          <w:rFonts w:ascii="Arial" w:hAnsi="Arial" w:cs="Arial"/>
          <w:sz w:val="24"/>
          <w:szCs w:val="24"/>
        </w:rPr>
        <w:t xml:space="preserve"> </w:t>
      </w:r>
      <w:r w:rsidR="008F33DC" w:rsidRPr="00DC2FB5">
        <w:rPr>
          <w:rFonts w:ascii="Arial" w:hAnsi="Arial" w:cs="Arial"/>
          <w:sz w:val="24"/>
          <w:szCs w:val="24"/>
        </w:rPr>
        <w:t>M</w:t>
      </w:r>
      <w:r w:rsidR="00E53D14" w:rsidRPr="00DC2FB5">
        <w:rPr>
          <w:rFonts w:ascii="Arial" w:hAnsi="Arial" w:cs="Arial"/>
          <w:sz w:val="24"/>
          <w:szCs w:val="24"/>
        </w:rPr>
        <w:t xml:space="preserve">iniere. </w:t>
      </w:r>
      <w:r w:rsidR="008F33DC" w:rsidRPr="00DC2FB5">
        <w:rPr>
          <w:rFonts w:ascii="Arial" w:hAnsi="Arial" w:cs="Arial"/>
          <w:sz w:val="24"/>
          <w:szCs w:val="24"/>
        </w:rPr>
        <w:t>D</w:t>
      </w:r>
      <w:r w:rsidR="00E53D14" w:rsidRPr="00DC2FB5">
        <w:rPr>
          <w:rFonts w:ascii="Arial" w:hAnsi="Arial" w:cs="Arial"/>
          <w:sz w:val="24"/>
          <w:szCs w:val="24"/>
        </w:rPr>
        <w:t>in ace</w:t>
      </w:r>
      <w:r w:rsidR="008F33DC" w:rsidRPr="00DC2FB5">
        <w:rPr>
          <w:rFonts w:ascii="Arial" w:hAnsi="Arial" w:cs="Arial"/>
          <w:sz w:val="24"/>
          <w:szCs w:val="24"/>
        </w:rPr>
        <w:t>a</w:t>
      </w:r>
      <w:r w:rsidR="00E53D14" w:rsidRPr="00DC2FB5">
        <w:rPr>
          <w:rFonts w:ascii="Arial" w:hAnsi="Arial" w:cs="Arial"/>
          <w:sz w:val="24"/>
          <w:szCs w:val="24"/>
        </w:rPr>
        <w:t>s</w:t>
      </w:r>
      <w:r w:rsidR="008F33DC" w:rsidRPr="00DC2FB5">
        <w:rPr>
          <w:rFonts w:ascii="Arial" w:hAnsi="Arial" w:cs="Arial"/>
          <w:sz w:val="24"/>
          <w:szCs w:val="24"/>
        </w:rPr>
        <w:t xml:space="preserve">tă </w:t>
      </w:r>
      <w:r w:rsidR="00E53D14" w:rsidRPr="00DC2FB5">
        <w:rPr>
          <w:rFonts w:ascii="Arial" w:hAnsi="Arial" w:cs="Arial"/>
          <w:sz w:val="24"/>
          <w:szCs w:val="24"/>
        </w:rPr>
        <w:t>sumă, 62,</w:t>
      </w:r>
      <w:r w:rsidR="008F33DC" w:rsidRPr="00DC2FB5">
        <w:rPr>
          <w:rFonts w:ascii="Arial" w:hAnsi="Arial" w:cs="Arial"/>
          <w:sz w:val="24"/>
          <w:szCs w:val="24"/>
        </w:rPr>
        <w:t xml:space="preserve"> </w:t>
      </w:r>
      <w:r w:rsidR="00E53D14" w:rsidRPr="00DC2FB5">
        <w:rPr>
          <w:rFonts w:ascii="Arial" w:hAnsi="Arial" w:cs="Arial"/>
          <w:sz w:val="24"/>
          <w:szCs w:val="24"/>
        </w:rPr>
        <w:t xml:space="preserve">5% merge </w:t>
      </w:r>
      <w:r w:rsidR="008F33DC" w:rsidRPr="00DC2FB5">
        <w:rPr>
          <w:rFonts w:ascii="Arial" w:hAnsi="Arial" w:cs="Arial"/>
          <w:sz w:val="24"/>
          <w:szCs w:val="24"/>
        </w:rPr>
        <w:t xml:space="preserve">către </w:t>
      </w:r>
      <w:r w:rsidR="00E53D14" w:rsidRPr="00DC2FB5">
        <w:rPr>
          <w:rFonts w:ascii="Arial" w:hAnsi="Arial" w:cs="Arial"/>
          <w:sz w:val="24"/>
          <w:szCs w:val="24"/>
        </w:rPr>
        <w:t>municipalită</w:t>
      </w:r>
      <w:r w:rsidR="006A407B" w:rsidRPr="00DC2FB5">
        <w:rPr>
          <w:rFonts w:ascii="Arial" w:hAnsi="Arial" w:cs="Arial"/>
          <w:sz w:val="24"/>
          <w:szCs w:val="24"/>
        </w:rPr>
        <w:t>ţ</w:t>
      </w:r>
      <w:r w:rsidR="00E53D14" w:rsidRPr="00DC2FB5">
        <w:rPr>
          <w:rFonts w:ascii="Arial" w:hAnsi="Arial" w:cs="Arial"/>
          <w:sz w:val="24"/>
          <w:szCs w:val="24"/>
        </w:rPr>
        <w:t>i</w:t>
      </w:r>
      <w:r w:rsidR="008F33DC" w:rsidRPr="00DC2FB5">
        <w:rPr>
          <w:rFonts w:ascii="Arial" w:hAnsi="Arial" w:cs="Arial"/>
          <w:sz w:val="24"/>
          <w:szCs w:val="24"/>
        </w:rPr>
        <w:t xml:space="preserve">le </w:t>
      </w:r>
      <w:r w:rsidR="008C25D6" w:rsidRPr="00DC2FB5">
        <w:rPr>
          <w:rFonts w:ascii="Arial" w:hAnsi="Arial" w:cs="Arial"/>
          <w:sz w:val="24"/>
          <w:szCs w:val="24"/>
        </w:rPr>
        <w:t xml:space="preserve">în care </w:t>
      </w:r>
      <w:r w:rsidR="008F33DC" w:rsidRPr="00DC2FB5">
        <w:rPr>
          <w:rFonts w:ascii="Arial" w:hAnsi="Arial" w:cs="Arial"/>
          <w:sz w:val="24"/>
          <w:szCs w:val="24"/>
        </w:rPr>
        <w:t xml:space="preserve">a avut loc </w:t>
      </w:r>
      <w:r w:rsidR="00E53D14" w:rsidRPr="00DC2FB5">
        <w:rPr>
          <w:rFonts w:ascii="Arial" w:hAnsi="Arial" w:cs="Arial"/>
          <w:sz w:val="24"/>
          <w:szCs w:val="24"/>
        </w:rPr>
        <w:t xml:space="preserve">exploatarea </w:t>
      </w:r>
      <w:r w:rsidR="006A407B" w:rsidRPr="00DC2FB5">
        <w:rPr>
          <w:rFonts w:ascii="Arial" w:hAnsi="Arial" w:cs="Arial"/>
          <w:sz w:val="24"/>
          <w:szCs w:val="24"/>
        </w:rPr>
        <w:t>ş</w:t>
      </w:r>
      <w:r w:rsidR="00E53D14" w:rsidRPr="00DC2FB5">
        <w:rPr>
          <w:rFonts w:ascii="Arial" w:hAnsi="Arial" w:cs="Arial"/>
          <w:sz w:val="24"/>
          <w:szCs w:val="24"/>
        </w:rPr>
        <w:t>i extrac</w:t>
      </w:r>
      <w:r w:rsidR="006A407B" w:rsidRPr="00DC2FB5">
        <w:rPr>
          <w:rFonts w:ascii="Arial" w:hAnsi="Arial" w:cs="Arial"/>
          <w:sz w:val="24"/>
          <w:szCs w:val="24"/>
        </w:rPr>
        <w:t>ţ</w:t>
      </w:r>
      <w:r w:rsidR="00E53D14" w:rsidRPr="00DC2FB5">
        <w:rPr>
          <w:rFonts w:ascii="Arial" w:hAnsi="Arial" w:cs="Arial"/>
          <w:sz w:val="24"/>
          <w:szCs w:val="24"/>
        </w:rPr>
        <w:t>ia substan</w:t>
      </w:r>
      <w:r w:rsidR="006A407B" w:rsidRPr="00DC2FB5">
        <w:rPr>
          <w:rFonts w:ascii="Arial" w:hAnsi="Arial" w:cs="Arial"/>
          <w:sz w:val="24"/>
          <w:szCs w:val="24"/>
        </w:rPr>
        <w:t>ţ</w:t>
      </w:r>
      <w:r w:rsidR="00E53D14" w:rsidRPr="00DC2FB5">
        <w:rPr>
          <w:rFonts w:ascii="Arial" w:hAnsi="Arial" w:cs="Arial"/>
          <w:sz w:val="24"/>
          <w:szCs w:val="24"/>
        </w:rPr>
        <w:t>elor minerale,</w:t>
      </w:r>
      <w:r>
        <w:rPr>
          <w:rFonts w:ascii="Arial" w:hAnsi="Arial" w:cs="Arial"/>
          <w:sz w:val="24"/>
          <w:szCs w:val="24"/>
        </w:rPr>
        <w:t xml:space="preserve"> </w:t>
      </w:r>
      <w:r w:rsidR="00E53D14" w:rsidRPr="00DC2FB5">
        <w:rPr>
          <w:rFonts w:ascii="Arial" w:hAnsi="Arial" w:cs="Arial"/>
          <w:sz w:val="24"/>
          <w:szCs w:val="24"/>
        </w:rPr>
        <w:t>iar 37,</w:t>
      </w:r>
      <w:r w:rsidR="008F33DC" w:rsidRPr="00DC2FB5">
        <w:rPr>
          <w:rFonts w:ascii="Arial" w:hAnsi="Arial" w:cs="Arial"/>
          <w:sz w:val="24"/>
          <w:szCs w:val="24"/>
        </w:rPr>
        <w:t xml:space="preserve"> </w:t>
      </w:r>
      <w:r w:rsidR="00E53D14" w:rsidRPr="00DC2FB5">
        <w:rPr>
          <w:rFonts w:ascii="Arial" w:hAnsi="Arial" w:cs="Arial"/>
          <w:sz w:val="24"/>
          <w:szCs w:val="24"/>
        </w:rPr>
        <w:t>5% se alocă</w:t>
      </w:r>
      <w:r w:rsidR="008F33DC" w:rsidRPr="00DC2FB5">
        <w:rPr>
          <w:rFonts w:ascii="Arial" w:hAnsi="Arial" w:cs="Arial"/>
          <w:sz w:val="24"/>
          <w:szCs w:val="24"/>
        </w:rPr>
        <w:t xml:space="preserve"> </w:t>
      </w:r>
      <w:r w:rsidR="00E53D14" w:rsidRPr="00DC2FB5">
        <w:rPr>
          <w:rFonts w:ascii="Arial" w:hAnsi="Arial" w:cs="Arial"/>
          <w:sz w:val="24"/>
          <w:szCs w:val="24"/>
        </w:rPr>
        <w:t>sta</w:t>
      </w:r>
      <w:r w:rsidR="008F33DC" w:rsidRPr="00DC2FB5">
        <w:rPr>
          <w:rFonts w:ascii="Arial" w:hAnsi="Arial" w:cs="Arial"/>
          <w:sz w:val="24"/>
          <w:szCs w:val="24"/>
        </w:rPr>
        <w:t xml:space="preserve">tului respectiv. </w:t>
      </w:r>
      <w:r w:rsidR="00E53D14" w:rsidRPr="00DC2FB5">
        <w:rPr>
          <w:rFonts w:ascii="Arial" w:hAnsi="Arial" w:cs="Arial"/>
          <w:sz w:val="24"/>
          <w:szCs w:val="24"/>
        </w:rPr>
        <w:t xml:space="preserve">Pentru a </w:t>
      </w:r>
      <w:r w:rsidR="008F33DC" w:rsidRPr="00DC2FB5">
        <w:rPr>
          <w:rFonts w:ascii="Arial" w:hAnsi="Arial" w:cs="Arial"/>
          <w:sz w:val="24"/>
          <w:szCs w:val="24"/>
        </w:rPr>
        <w:t>apli</w:t>
      </w:r>
      <w:r w:rsidR="00E53D14" w:rsidRPr="00DC2FB5">
        <w:rPr>
          <w:rFonts w:ascii="Arial" w:hAnsi="Arial" w:cs="Arial"/>
          <w:sz w:val="24"/>
          <w:szCs w:val="24"/>
        </w:rPr>
        <w:t>ca resursele</w:t>
      </w:r>
      <w:r w:rsidR="008F33DC" w:rsidRPr="00DC2FB5">
        <w:rPr>
          <w:rFonts w:ascii="Arial" w:hAnsi="Arial" w:cs="Arial"/>
          <w:sz w:val="24"/>
          <w:szCs w:val="24"/>
        </w:rPr>
        <w:t xml:space="preserve"> </w:t>
      </w:r>
      <w:r w:rsidR="00E53D14" w:rsidRPr="00DC2FB5">
        <w:rPr>
          <w:rFonts w:ascii="Arial" w:hAnsi="Arial" w:cs="Arial"/>
          <w:sz w:val="24"/>
          <w:szCs w:val="24"/>
        </w:rPr>
        <w:t>fond</w:t>
      </w:r>
      <w:r w:rsidR="008F33DC" w:rsidRPr="00DC2FB5">
        <w:rPr>
          <w:rFonts w:ascii="Arial" w:hAnsi="Arial" w:cs="Arial"/>
          <w:sz w:val="24"/>
          <w:szCs w:val="24"/>
        </w:rPr>
        <w:t>ului</w:t>
      </w:r>
      <w:r w:rsidR="00E53D14" w:rsidRPr="00DC2FB5">
        <w:rPr>
          <w:rFonts w:ascii="Arial" w:hAnsi="Arial" w:cs="Arial"/>
          <w:sz w:val="24"/>
          <w:szCs w:val="24"/>
        </w:rPr>
        <w:t xml:space="preserve"> în 2015, </w:t>
      </w:r>
      <w:r w:rsidR="008F33DC" w:rsidRPr="00DC2FB5">
        <w:rPr>
          <w:rFonts w:ascii="Arial" w:hAnsi="Arial" w:cs="Arial"/>
          <w:sz w:val="24"/>
          <w:szCs w:val="24"/>
        </w:rPr>
        <w:t xml:space="preserve">s-au format un număr de 25 de Comitete </w:t>
      </w:r>
      <w:r w:rsidR="001410B3">
        <w:rPr>
          <w:rFonts w:ascii="Arial" w:hAnsi="Arial" w:cs="Arial"/>
          <w:sz w:val="24"/>
          <w:szCs w:val="24"/>
        </w:rPr>
        <w:t xml:space="preserve">pentru </w:t>
      </w:r>
      <w:r w:rsidR="00E53D14" w:rsidRPr="00DC2FB5">
        <w:rPr>
          <w:rFonts w:ascii="Arial" w:hAnsi="Arial" w:cs="Arial"/>
          <w:sz w:val="24"/>
          <w:szCs w:val="24"/>
        </w:rPr>
        <w:t>Dezvoltare</w:t>
      </w:r>
      <w:r w:rsidR="001410B3">
        <w:rPr>
          <w:rFonts w:ascii="Arial" w:hAnsi="Arial" w:cs="Arial"/>
          <w:sz w:val="24"/>
          <w:szCs w:val="24"/>
        </w:rPr>
        <w:t>a</w:t>
      </w:r>
      <w:r w:rsidR="00E53D14" w:rsidRPr="00DC2FB5">
        <w:rPr>
          <w:rFonts w:ascii="Arial" w:hAnsi="Arial" w:cs="Arial"/>
          <w:sz w:val="24"/>
          <w:szCs w:val="24"/>
        </w:rPr>
        <w:t xml:space="preserve"> Regională </w:t>
      </w:r>
      <w:r w:rsidR="008F33DC" w:rsidRPr="00DC2FB5">
        <w:rPr>
          <w:rFonts w:ascii="Arial" w:hAnsi="Arial" w:cs="Arial"/>
          <w:sz w:val="24"/>
          <w:szCs w:val="24"/>
        </w:rPr>
        <w:t xml:space="preserve">a Zonelor de </w:t>
      </w:r>
      <w:r w:rsidR="00E53D14" w:rsidRPr="00DC2FB5">
        <w:rPr>
          <w:rFonts w:ascii="Arial" w:hAnsi="Arial" w:cs="Arial"/>
          <w:sz w:val="24"/>
          <w:szCs w:val="24"/>
        </w:rPr>
        <w:t>Minerit, fiecare dintre ele</w:t>
      </w:r>
      <w:r w:rsidR="008F33DC" w:rsidRPr="00DC2FB5">
        <w:rPr>
          <w:rFonts w:ascii="Arial" w:hAnsi="Arial" w:cs="Arial"/>
          <w:sz w:val="24"/>
          <w:szCs w:val="24"/>
        </w:rPr>
        <w:t xml:space="preserve"> având în componenţă </w:t>
      </w:r>
      <w:r w:rsidR="00E53D14" w:rsidRPr="00DC2FB5">
        <w:rPr>
          <w:rFonts w:ascii="Arial" w:hAnsi="Arial" w:cs="Arial"/>
          <w:sz w:val="24"/>
          <w:szCs w:val="24"/>
        </w:rPr>
        <w:t>reprezentan</w:t>
      </w:r>
      <w:r w:rsidR="006A407B" w:rsidRPr="00DC2FB5">
        <w:rPr>
          <w:rFonts w:ascii="Arial" w:hAnsi="Arial" w:cs="Arial"/>
          <w:sz w:val="24"/>
          <w:szCs w:val="24"/>
        </w:rPr>
        <w:t>ţ</w:t>
      </w:r>
      <w:r w:rsidR="00E53D14" w:rsidRPr="00DC2FB5">
        <w:rPr>
          <w:rFonts w:ascii="Arial" w:hAnsi="Arial" w:cs="Arial"/>
          <w:sz w:val="24"/>
          <w:szCs w:val="24"/>
        </w:rPr>
        <w:t xml:space="preserve">i ai </w:t>
      </w:r>
      <w:r w:rsidR="008F33DC" w:rsidRPr="00DC2FB5">
        <w:rPr>
          <w:rFonts w:ascii="Arial" w:hAnsi="Arial" w:cs="Arial"/>
          <w:sz w:val="24"/>
          <w:szCs w:val="24"/>
        </w:rPr>
        <w:t>g</w:t>
      </w:r>
      <w:r w:rsidR="00E53D14" w:rsidRPr="00DC2FB5">
        <w:rPr>
          <w:rFonts w:ascii="Arial" w:hAnsi="Arial" w:cs="Arial"/>
          <w:sz w:val="24"/>
          <w:szCs w:val="24"/>
        </w:rPr>
        <w:t xml:space="preserve">uvernului </w:t>
      </w:r>
      <w:r w:rsidR="008F33DC" w:rsidRPr="00DC2FB5">
        <w:rPr>
          <w:rFonts w:ascii="Arial" w:hAnsi="Arial" w:cs="Arial"/>
          <w:sz w:val="24"/>
          <w:szCs w:val="24"/>
        </w:rPr>
        <w:t>f</w:t>
      </w:r>
      <w:r w:rsidR="00E53D14" w:rsidRPr="00DC2FB5">
        <w:rPr>
          <w:rFonts w:ascii="Arial" w:hAnsi="Arial" w:cs="Arial"/>
          <w:sz w:val="24"/>
          <w:szCs w:val="24"/>
        </w:rPr>
        <w:t>ederal,</w:t>
      </w:r>
      <w:r w:rsidR="008F33DC" w:rsidRPr="00DC2FB5">
        <w:rPr>
          <w:rFonts w:ascii="Arial" w:hAnsi="Arial" w:cs="Arial"/>
          <w:sz w:val="24"/>
          <w:szCs w:val="24"/>
        </w:rPr>
        <w:t xml:space="preserve"> </w:t>
      </w:r>
      <w:r w:rsidR="008C25D6" w:rsidRPr="00DC2FB5">
        <w:rPr>
          <w:rFonts w:ascii="Arial" w:hAnsi="Arial" w:cs="Arial"/>
          <w:sz w:val="24"/>
          <w:szCs w:val="24"/>
        </w:rPr>
        <w:t xml:space="preserve">administraţiei </w:t>
      </w:r>
      <w:r w:rsidR="00E53D14" w:rsidRPr="00DC2FB5">
        <w:rPr>
          <w:rFonts w:ascii="Arial" w:hAnsi="Arial" w:cs="Arial"/>
          <w:sz w:val="24"/>
          <w:szCs w:val="24"/>
        </w:rPr>
        <w:t>statului respectiv,</w:t>
      </w:r>
      <w:r w:rsidR="008F33DC" w:rsidRPr="00DC2FB5">
        <w:rPr>
          <w:rFonts w:ascii="Arial" w:hAnsi="Arial" w:cs="Arial"/>
          <w:sz w:val="24"/>
          <w:szCs w:val="24"/>
        </w:rPr>
        <w:t xml:space="preserve"> </w:t>
      </w:r>
      <w:r w:rsidR="00E53D14" w:rsidRPr="00DC2FB5">
        <w:rPr>
          <w:rFonts w:ascii="Arial" w:hAnsi="Arial" w:cs="Arial"/>
          <w:sz w:val="24"/>
          <w:szCs w:val="24"/>
        </w:rPr>
        <w:t>municip</w:t>
      </w:r>
      <w:r w:rsidR="008F33DC" w:rsidRPr="00DC2FB5">
        <w:rPr>
          <w:rFonts w:ascii="Arial" w:hAnsi="Arial" w:cs="Arial"/>
          <w:sz w:val="24"/>
          <w:szCs w:val="24"/>
        </w:rPr>
        <w:t>iilor</w:t>
      </w:r>
      <w:r w:rsidR="00E53D14" w:rsidRPr="00DC2FB5">
        <w:rPr>
          <w:rFonts w:ascii="Arial" w:hAnsi="Arial" w:cs="Arial"/>
          <w:sz w:val="24"/>
          <w:szCs w:val="24"/>
        </w:rPr>
        <w:t>, comunită</w:t>
      </w:r>
      <w:r w:rsidR="006A407B" w:rsidRPr="00DC2FB5">
        <w:rPr>
          <w:rFonts w:ascii="Arial" w:hAnsi="Arial" w:cs="Arial"/>
          <w:sz w:val="24"/>
          <w:szCs w:val="24"/>
        </w:rPr>
        <w:t>ţ</w:t>
      </w:r>
      <w:r w:rsidR="00E53D14" w:rsidRPr="00DC2FB5">
        <w:rPr>
          <w:rFonts w:ascii="Arial" w:hAnsi="Arial" w:cs="Arial"/>
          <w:sz w:val="24"/>
          <w:szCs w:val="24"/>
        </w:rPr>
        <w:t>i</w:t>
      </w:r>
      <w:r w:rsidR="008F33DC" w:rsidRPr="00DC2FB5">
        <w:rPr>
          <w:rFonts w:ascii="Arial" w:hAnsi="Arial" w:cs="Arial"/>
          <w:sz w:val="24"/>
          <w:szCs w:val="24"/>
        </w:rPr>
        <w:t>lor</w:t>
      </w:r>
      <w:r w:rsidR="00E53D14" w:rsidRPr="00DC2FB5">
        <w:rPr>
          <w:rFonts w:ascii="Arial" w:hAnsi="Arial" w:cs="Arial"/>
          <w:sz w:val="24"/>
          <w:szCs w:val="24"/>
        </w:rPr>
        <w:t xml:space="preserve"> </w:t>
      </w:r>
      <w:r w:rsidR="008F33DC" w:rsidRPr="00DC2FB5">
        <w:rPr>
          <w:rFonts w:ascii="Arial" w:hAnsi="Arial" w:cs="Arial"/>
          <w:sz w:val="24"/>
          <w:szCs w:val="24"/>
        </w:rPr>
        <w:t>locale</w:t>
      </w:r>
      <w:r w:rsidR="00E53D14" w:rsidRPr="00DC2FB5">
        <w:rPr>
          <w:rFonts w:ascii="Arial" w:hAnsi="Arial" w:cs="Arial"/>
          <w:sz w:val="24"/>
          <w:szCs w:val="24"/>
        </w:rPr>
        <w:t xml:space="preserve"> sau agricole</w:t>
      </w:r>
      <w:r w:rsidR="008F33DC" w:rsidRPr="00DC2FB5">
        <w:rPr>
          <w:rFonts w:ascii="Arial" w:hAnsi="Arial" w:cs="Arial"/>
          <w:sz w:val="24"/>
          <w:szCs w:val="24"/>
        </w:rPr>
        <w:t xml:space="preserve"> </w:t>
      </w:r>
      <w:r w:rsidR="006A407B" w:rsidRPr="00DC2FB5">
        <w:rPr>
          <w:rFonts w:ascii="Arial" w:hAnsi="Arial" w:cs="Arial"/>
          <w:sz w:val="24"/>
          <w:szCs w:val="24"/>
        </w:rPr>
        <w:t>ş</w:t>
      </w:r>
      <w:r w:rsidR="00E53D14" w:rsidRPr="00DC2FB5">
        <w:rPr>
          <w:rFonts w:ascii="Arial" w:hAnsi="Arial" w:cs="Arial"/>
          <w:sz w:val="24"/>
          <w:szCs w:val="24"/>
        </w:rPr>
        <w:t>i companiile miniere.</w:t>
      </w:r>
    </w:p>
    <w:p w:rsidR="00C00F4E" w:rsidRPr="00DC2FB5" w:rsidRDefault="00032FBB" w:rsidP="00DC2FB5">
      <w:pPr>
        <w:autoSpaceDE w:val="0"/>
        <w:autoSpaceDN w:val="0"/>
        <w:adjustRightInd w:val="0"/>
        <w:spacing w:after="0"/>
        <w:jc w:val="both"/>
        <w:rPr>
          <w:rFonts w:ascii="Arial" w:hAnsi="Arial" w:cs="Arial"/>
          <w:sz w:val="24"/>
          <w:szCs w:val="24"/>
        </w:rPr>
      </w:pPr>
      <w:r>
        <w:rPr>
          <w:rFonts w:ascii="Arial" w:hAnsi="Arial" w:cs="Arial"/>
          <w:color w:val="0070C0"/>
          <w:sz w:val="24"/>
          <w:szCs w:val="24"/>
        </w:rPr>
        <w:tab/>
      </w:r>
      <w:r w:rsidR="00E53D14" w:rsidRPr="00DC2FB5">
        <w:rPr>
          <w:rFonts w:ascii="Arial" w:hAnsi="Arial" w:cs="Arial"/>
          <w:sz w:val="24"/>
          <w:szCs w:val="24"/>
        </w:rPr>
        <w:t xml:space="preserve">FDL </w:t>
      </w:r>
      <w:r w:rsidR="001410B3">
        <w:rPr>
          <w:rFonts w:ascii="Arial" w:hAnsi="Arial" w:cs="Arial"/>
          <w:sz w:val="24"/>
          <w:szCs w:val="24"/>
        </w:rPr>
        <w:t xml:space="preserve">/ Legea Taxelor Federale prevede </w:t>
      </w:r>
      <w:r w:rsidR="00E53D14" w:rsidRPr="00DC2FB5">
        <w:rPr>
          <w:rFonts w:ascii="Arial" w:hAnsi="Arial" w:cs="Arial"/>
          <w:sz w:val="24"/>
          <w:szCs w:val="24"/>
        </w:rPr>
        <w:t>că resursele</w:t>
      </w:r>
      <w:r w:rsidR="008F33DC" w:rsidRPr="00DC2FB5">
        <w:rPr>
          <w:rFonts w:ascii="Arial" w:hAnsi="Arial" w:cs="Arial"/>
          <w:sz w:val="24"/>
          <w:szCs w:val="24"/>
        </w:rPr>
        <w:t xml:space="preserve"> </w:t>
      </w:r>
      <w:r w:rsidR="00E53D14" w:rsidRPr="00DC2FB5">
        <w:rPr>
          <w:rFonts w:ascii="Arial" w:hAnsi="Arial" w:cs="Arial"/>
          <w:sz w:val="24"/>
          <w:szCs w:val="24"/>
        </w:rPr>
        <w:t>trebui</w:t>
      </w:r>
      <w:r w:rsidR="001410B3">
        <w:rPr>
          <w:rFonts w:ascii="Arial" w:hAnsi="Arial" w:cs="Arial"/>
          <w:sz w:val="24"/>
          <w:szCs w:val="24"/>
        </w:rPr>
        <w:t>e</w:t>
      </w:r>
      <w:r w:rsidR="00E53D14" w:rsidRPr="00DC2FB5">
        <w:rPr>
          <w:rFonts w:ascii="Arial" w:hAnsi="Arial" w:cs="Arial"/>
          <w:sz w:val="24"/>
          <w:szCs w:val="24"/>
        </w:rPr>
        <w:t xml:space="preserve"> cheltuite pentru construirea, renovarea</w:t>
      </w:r>
      <w:r w:rsidR="008F33DC" w:rsidRPr="00DC2FB5">
        <w:rPr>
          <w:rFonts w:ascii="Arial" w:hAnsi="Arial" w:cs="Arial"/>
          <w:sz w:val="24"/>
          <w:szCs w:val="24"/>
        </w:rPr>
        <w:t xml:space="preserve"> </w:t>
      </w:r>
      <w:r w:rsidR="006A407B" w:rsidRPr="00DC2FB5">
        <w:rPr>
          <w:rFonts w:ascii="Arial" w:hAnsi="Arial" w:cs="Arial"/>
          <w:sz w:val="24"/>
          <w:szCs w:val="24"/>
        </w:rPr>
        <w:t>ş</w:t>
      </w:r>
      <w:r w:rsidR="00E53D14" w:rsidRPr="00DC2FB5">
        <w:rPr>
          <w:rFonts w:ascii="Arial" w:hAnsi="Arial" w:cs="Arial"/>
          <w:sz w:val="24"/>
          <w:szCs w:val="24"/>
        </w:rPr>
        <w:t xml:space="preserve">i dotarea </w:t>
      </w:r>
      <w:r w:rsidR="006A407B" w:rsidRPr="00DC2FB5">
        <w:rPr>
          <w:rFonts w:ascii="Arial" w:hAnsi="Arial" w:cs="Arial"/>
          <w:sz w:val="24"/>
          <w:szCs w:val="24"/>
        </w:rPr>
        <w:t>ş</w:t>
      </w:r>
      <w:r w:rsidR="00E53D14" w:rsidRPr="00DC2FB5">
        <w:rPr>
          <w:rFonts w:ascii="Arial" w:hAnsi="Arial" w:cs="Arial"/>
          <w:sz w:val="24"/>
          <w:szCs w:val="24"/>
        </w:rPr>
        <w:t>colilor; pava</w:t>
      </w:r>
      <w:r w:rsidR="008F33DC" w:rsidRPr="00DC2FB5">
        <w:rPr>
          <w:rFonts w:ascii="Arial" w:hAnsi="Arial" w:cs="Arial"/>
          <w:sz w:val="24"/>
          <w:szCs w:val="24"/>
        </w:rPr>
        <w:t>rea</w:t>
      </w:r>
      <w:r w:rsidR="00E53D14" w:rsidRPr="00DC2FB5">
        <w:rPr>
          <w:rFonts w:ascii="Arial" w:hAnsi="Arial" w:cs="Arial"/>
          <w:sz w:val="24"/>
          <w:szCs w:val="24"/>
        </w:rPr>
        <w:t xml:space="preserve"> </w:t>
      </w:r>
      <w:r w:rsidR="006A407B" w:rsidRPr="00DC2FB5">
        <w:rPr>
          <w:rFonts w:ascii="Arial" w:hAnsi="Arial" w:cs="Arial"/>
          <w:sz w:val="24"/>
          <w:szCs w:val="24"/>
        </w:rPr>
        <w:t>ş</w:t>
      </w:r>
      <w:r w:rsidR="00E53D14" w:rsidRPr="00DC2FB5">
        <w:rPr>
          <w:rFonts w:ascii="Arial" w:hAnsi="Arial" w:cs="Arial"/>
          <w:sz w:val="24"/>
          <w:szCs w:val="24"/>
        </w:rPr>
        <w:t>i</w:t>
      </w:r>
      <w:r w:rsidR="008F33DC" w:rsidRPr="00DC2FB5">
        <w:rPr>
          <w:rFonts w:ascii="Arial" w:hAnsi="Arial" w:cs="Arial"/>
          <w:sz w:val="24"/>
          <w:szCs w:val="24"/>
        </w:rPr>
        <w:t xml:space="preserve"> </w:t>
      </w:r>
      <w:r w:rsidR="00E53D14" w:rsidRPr="00DC2FB5">
        <w:rPr>
          <w:rFonts w:ascii="Arial" w:hAnsi="Arial" w:cs="Arial"/>
          <w:sz w:val="24"/>
          <w:szCs w:val="24"/>
        </w:rPr>
        <w:t>între</w:t>
      </w:r>
      <w:r w:rsidR="006A407B" w:rsidRPr="00DC2FB5">
        <w:rPr>
          <w:rFonts w:ascii="Arial" w:hAnsi="Arial" w:cs="Arial"/>
          <w:sz w:val="24"/>
          <w:szCs w:val="24"/>
        </w:rPr>
        <w:t>ţ</w:t>
      </w:r>
      <w:r w:rsidR="00E53D14" w:rsidRPr="00DC2FB5">
        <w:rPr>
          <w:rFonts w:ascii="Arial" w:hAnsi="Arial" w:cs="Arial"/>
          <w:sz w:val="24"/>
          <w:szCs w:val="24"/>
        </w:rPr>
        <w:t xml:space="preserve">inerea străzilor </w:t>
      </w:r>
      <w:r w:rsidR="006A407B" w:rsidRPr="00DC2FB5">
        <w:rPr>
          <w:rFonts w:ascii="Arial" w:hAnsi="Arial" w:cs="Arial"/>
          <w:sz w:val="24"/>
          <w:szCs w:val="24"/>
        </w:rPr>
        <w:t>ş</w:t>
      </w:r>
      <w:r w:rsidR="00E53D14" w:rsidRPr="00DC2FB5">
        <w:rPr>
          <w:rFonts w:ascii="Arial" w:hAnsi="Arial" w:cs="Arial"/>
          <w:sz w:val="24"/>
          <w:szCs w:val="24"/>
        </w:rPr>
        <w:t xml:space="preserve">i </w:t>
      </w:r>
      <w:r w:rsidR="008C25D6" w:rsidRPr="00DC2FB5">
        <w:rPr>
          <w:rFonts w:ascii="Arial" w:hAnsi="Arial" w:cs="Arial"/>
          <w:sz w:val="24"/>
          <w:szCs w:val="24"/>
        </w:rPr>
        <w:t xml:space="preserve">a </w:t>
      </w:r>
      <w:r w:rsidR="00E53D14" w:rsidRPr="00DC2FB5">
        <w:rPr>
          <w:rFonts w:ascii="Arial" w:hAnsi="Arial" w:cs="Arial"/>
          <w:sz w:val="24"/>
          <w:szCs w:val="24"/>
        </w:rPr>
        <w:t>drumurilor</w:t>
      </w:r>
      <w:r w:rsidR="008F33DC" w:rsidRPr="00DC2FB5">
        <w:rPr>
          <w:rFonts w:ascii="Arial" w:hAnsi="Arial" w:cs="Arial"/>
          <w:sz w:val="24"/>
          <w:szCs w:val="24"/>
        </w:rPr>
        <w:t xml:space="preserve"> locale</w:t>
      </w:r>
      <w:r w:rsidR="00E53D14" w:rsidRPr="00DC2FB5">
        <w:rPr>
          <w:rFonts w:ascii="Arial" w:hAnsi="Arial" w:cs="Arial"/>
          <w:sz w:val="24"/>
          <w:szCs w:val="24"/>
        </w:rPr>
        <w:t xml:space="preserve">; precum </w:t>
      </w:r>
      <w:r w:rsidR="006A407B" w:rsidRPr="00DC2FB5">
        <w:rPr>
          <w:rFonts w:ascii="Arial" w:hAnsi="Arial" w:cs="Arial"/>
          <w:sz w:val="24"/>
          <w:szCs w:val="24"/>
        </w:rPr>
        <w:t>ş</w:t>
      </w:r>
      <w:r w:rsidR="00E53D14" w:rsidRPr="00DC2FB5">
        <w:rPr>
          <w:rFonts w:ascii="Arial" w:hAnsi="Arial" w:cs="Arial"/>
          <w:sz w:val="24"/>
          <w:szCs w:val="24"/>
        </w:rPr>
        <w:t xml:space="preserve">i instalarea </w:t>
      </w:r>
      <w:r w:rsidR="006A407B" w:rsidRPr="00DC2FB5">
        <w:rPr>
          <w:rFonts w:ascii="Arial" w:hAnsi="Arial" w:cs="Arial"/>
          <w:sz w:val="24"/>
          <w:szCs w:val="24"/>
        </w:rPr>
        <w:t>ş</w:t>
      </w:r>
      <w:r w:rsidR="00E53D14" w:rsidRPr="00DC2FB5">
        <w:rPr>
          <w:rFonts w:ascii="Arial" w:hAnsi="Arial" w:cs="Arial"/>
          <w:sz w:val="24"/>
          <w:szCs w:val="24"/>
        </w:rPr>
        <w:t>i între</w:t>
      </w:r>
      <w:r w:rsidR="006A407B" w:rsidRPr="00DC2FB5">
        <w:rPr>
          <w:rFonts w:ascii="Arial" w:hAnsi="Arial" w:cs="Arial"/>
          <w:sz w:val="24"/>
          <w:szCs w:val="24"/>
        </w:rPr>
        <w:t>ţ</w:t>
      </w:r>
      <w:r w:rsidR="00E53D14" w:rsidRPr="00DC2FB5">
        <w:rPr>
          <w:rFonts w:ascii="Arial" w:hAnsi="Arial" w:cs="Arial"/>
          <w:sz w:val="24"/>
          <w:szCs w:val="24"/>
        </w:rPr>
        <w:t>inerea iluminat</w:t>
      </w:r>
      <w:r w:rsidR="008F33DC" w:rsidRPr="00DC2FB5">
        <w:rPr>
          <w:rFonts w:ascii="Arial" w:hAnsi="Arial" w:cs="Arial"/>
          <w:sz w:val="24"/>
          <w:szCs w:val="24"/>
        </w:rPr>
        <w:t>ului stradal</w:t>
      </w:r>
      <w:r w:rsidR="00E53D14" w:rsidRPr="00DC2FB5">
        <w:rPr>
          <w:rFonts w:ascii="Arial" w:hAnsi="Arial" w:cs="Arial"/>
          <w:sz w:val="24"/>
          <w:szCs w:val="24"/>
        </w:rPr>
        <w:t>; depozitele de de</w:t>
      </w:r>
      <w:r w:rsidR="006A407B" w:rsidRPr="00DC2FB5">
        <w:rPr>
          <w:rFonts w:ascii="Arial" w:hAnsi="Arial" w:cs="Arial"/>
          <w:sz w:val="24"/>
          <w:szCs w:val="24"/>
        </w:rPr>
        <w:t>ş</w:t>
      </w:r>
      <w:r w:rsidR="00E53D14" w:rsidRPr="00DC2FB5">
        <w:rPr>
          <w:rFonts w:ascii="Arial" w:hAnsi="Arial" w:cs="Arial"/>
          <w:sz w:val="24"/>
          <w:szCs w:val="24"/>
        </w:rPr>
        <w:t>euri; sta</w:t>
      </w:r>
      <w:r w:rsidR="006A407B" w:rsidRPr="00DC2FB5">
        <w:rPr>
          <w:rFonts w:ascii="Arial" w:hAnsi="Arial" w:cs="Arial"/>
          <w:sz w:val="24"/>
          <w:szCs w:val="24"/>
        </w:rPr>
        <w:t>ţ</w:t>
      </w:r>
      <w:r w:rsidR="00E53D14" w:rsidRPr="00DC2FB5">
        <w:rPr>
          <w:rFonts w:ascii="Arial" w:hAnsi="Arial" w:cs="Arial"/>
          <w:sz w:val="24"/>
          <w:szCs w:val="24"/>
        </w:rPr>
        <w:t>ii</w:t>
      </w:r>
      <w:r w:rsidR="008F33DC" w:rsidRPr="00DC2FB5">
        <w:rPr>
          <w:rFonts w:ascii="Arial" w:hAnsi="Arial" w:cs="Arial"/>
          <w:sz w:val="24"/>
          <w:szCs w:val="24"/>
        </w:rPr>
        <w:t>le</w:t>
      </w:r>
      <w:r w:rsidR="00E53D14" w:rsidRPr="00DC2FB5">
        <w:rPr>
          <w:rFonts w:ascii="Arial" w:hAnsi="Arial" w:cs="Arial"/>
          <w:sz w:val="24"/>
          <w:szCs w:val="24"/>
        </w:rPr>
        <w:t xml:space="preserve"> de tratare a apei;</w:t>
      </w:r>
      <w:r w:rsidR="008F33DC" w:rsidRPr="00DC2FB5">
        <w:rPr>
          <w:rFonts w:ascii="Arial" w:hAnsi="Arial" w:cs="Arial"/>
          <w:sz w:val="24"/>
          <w:szCs w:val="24"/>
        </w:rPr>
        <w:t xml:space="preserve"> </w:t>
      </w:r>
      <w:r w:rsidR="00E53D14" w:rsidRPr="00DC2FB5">
        <w:rPr>
          <w:rFonts w:ascii="Arial" w:hAnsi="Arial" w:cs="Arial"/>
          <w:sz w:val="24"/>
          <w:szCs w:val="24"/>
        </w:rPr>
        <w:t>canalizare</w:t>
      </w:r>
      <w:r w:rsidR="008F33DC" w:rsidRPr="00DC2FB5">
        <w:rPr>
          <w:rFonts w:ascii="Arial" w:hAnsi="Arial" w:cs="Arial"/>
          <w:sz w:val="24"/>
          <w:szCs w:val="24"/>
        </w:rPr>
        <w:t>a</w:t>
      </w:r>
      <w:r w:rsidR="00E53D14" w:rsidRPr="00DC2FB5">
        <w:rPr>
          <w:rFonts w:ascii="Arial" w:hAnsi="Arial" w:cs="Arial"/>
          <w:sz w:val="24"/>
          <w:szCs w:val="24"/>
        </w:rPr>
        <w:t xml:space="preserve"> publică, gestionarea de</w:t>
      </w:r>
      <w:r w:rsidR="006A407B" w:rsidRPr="00DC2FB5">
        <w:rPr>
          <w:rFonts w:ascii="Arial" w:hAnsi="Arial" w:cs="Arial"/>
          <w:sz w:val="24"/>
          <w:szCs w:val="24"/>
        </w:rPr>
        <w:t>ş</w:t>
      </w:r>
      <w:r w:rsidR="00E53D14" w:rsidRPr="00DC2FB5">
        <w:rPr>
          <w:rFonts w:ascii="Arial" w:hAnsi="Arial" w:cs="Arial"/>
          <w:sz w:val="24"/>
          <w:szCs w:val="24"/>
        </w:rPr>
        <w:t>eurilor solide</w:t>
      </w:r>
      <w:r w:rsidR="008F33DC" w:rsidRPr="00DC2FB5">
        <w:rPr>
          <w:rFonts w:ascii="Arial" w:hAnsi="Arial" w:cs="Arial"/>
          <w:sz w:val="24"/>
          <w:szCs w:val="24"/>
        </w:rPr>
        <w:t xml:space="preserve"> </w:t>
      </w:r>
      <w:r w:rsidR="006A407B" w:rsidRPr="00DC2FB5">
        <w:rPr>
          <w:rFonts w:ascii="Arial" w:hAnsi="Arial" w:cs="Arial"/>
          <w:sz w:val="24"/>
          <w:szCs w:val="24"/>
        </w:rPr>
        <w:t>ş</w:t>
      </w:r>
      <w:r w:rsidR="00E53D14" w:rsidRPr="00DC2FB5">
        <w:rPr>
          <w:rFonts w:ascii="Arial" w:hAnsi="Arial" w:cs="Arial"/>
          <w:sz w:val="24"/>
          <w:szCs w:val="24"/>
        </w:rPr>
        <w:t>i îmbunătă</w:t>
      </w:r>
      <w:r w:rsidR="006A407B" w:rsidRPr="00DC2FB5">
        <w:rPr>
          <w:rFonts w:ascii="Arial" w:hAnsi="Arial" w:cs="Arial"/>
          <w:sz w:val="24"/>
          <w:szCs w:val="24"/>
        </w:rPr>
        <w:t>ţ</w:t>
      </w:r>
      <w:r w:rsidR="008C25D6" w:rsidRPr="00DC2FB5">
        <w:rPr>
          <w:rFonts w:ascii="Arial" w:hAnsi="Arial" w:cs="Arial"/>
          <w:sz w:val="24"/>
          <w:szCs w:val="24"/>
        </w:rPr>
        <w:t>ire</w:t>
      </w:r>
      <w:r w:rsidR="00E53D14" w:rsidRPr="00DC2FB5">
        <w:rPr>
          <w:rFonts w:ascii="Arial" w:hAnsi="Arial" w:cs="Arial"/>
          <w:sz w:val="24"/>
          <w:szCs w:val="24"/>
        </w:rPr>
        <w:t>a calită</w:t>
      </w:r>
      <w:r w:rsidR="006A407B" w:rsidRPr="00DC2FB5">
        <w:rPr>
          <w:rFonts w:ascii="Arial" w:hAnsi="Arial" w:cs="Arial"/>
          <w:sz w:val="24"/>
          <w:szCs w:val="24"/>
        </w:rPr>
        <w:t>ţ</w:t>
      </w:r>
      <w:r w:rsidR="00E53D14" w:rsidRPr="00DC2FB5">
        <w:rPr>
          <w:rFonts w:ascii="Arial" w:hAnsi="Arial" w:cs="Arial"/>
          <w:sz w:val="24"/>
          <w:szCs w:val="24"/>
        </w:rPr>
        <w:t xml:space="preserve">ii aerului; lucrări </w:t>
      </w:r>
      <w:r w:rsidR="00834A96" w:rsidRPr="00DC2FB5">
        <w:rPr>
          <w:rFonts w:ascii="Arial" w:hAnsi="Arial" w:cs="Arial"/>
          <w:sz w:val="24"/>
          <w:szCs w:val="24"/>
        </w:rPr>
        <w:t xml:space="preserve">de  </w:t>
      </w:r>
      <w:r w:rsidR="00E53D14" w:rsidRPr="00DC2FB5">
        <w:rPr>
          <w:rFonts w:ascii="Arial" w:hAnsi="Arial" w:cs="Arial"/>
          <w:sz w:val="24"/>
          <w:szCs w:val="24"/>
        </w:rPr>
        <w:t>conservare</w:t>
      </w:r>
      <w:r w:rsidR="00834A96" w:rsidRPr="00DC2FB5">
        <w:rPr>
          <w:rFonts w:ascii="Arial" w:hAnsi="Arial" w:cs="Arial"/>
          <w:sz w:val="24"/>
          <w:szCs w:val="24"/>
        </w:rPr>
        <w:t xml:space="preserve"> </w:t>
      </w:r>
      <w:r w:rsidR="00E53D14" w:rsidRPr="00DC2FB5">
        <w:rPr>
          <w:rFonts w:ascii="Arial" w:hAnsi="Arial" w:cs="Arial"/>
          <w:sz w:val="24"/>
          <w:szCs w:val="24"/>
        </w:rPr>
        <w:t>a zonelor na</w:t>
      </w:r>
      <w:r w:rsidR="00834A96" w:rsidRPr="00DC2FB5">
        <w:rPr>
          <w:rFonts w:ascii="Arial" w:hAnsi="Arial" w:cs="Arial"/>
          <w:sz w:val="24"/>
          <w:szCs w:val="24"/>
        </w:rPr>
        <w:t>turale, cum ar fi reîmpădurirea,</w:t>
      </w:r>
      <w:r w:rsidR="00E53D14" w:rsidRPr="00DC2FB5">
        <w:rPr>
          <w:rFonts w:ascii="Arial" w:hAnsi="Arial" w:cs="Arial"/>
          <w:sz w:val="24"/>
          <w:szCs w:val="24"/>
        </w:rPr>
        <w:t xml:space="preserve"> salvare</w:t>
      </w:r>
      <w:r w:rsidR="00834A96" w:rsidRPr="00DC2FB5">
        <w:rPr>
          <w:rFonts w:ascii="Arial" w:hAnsi="Arial" w:cs="Arial"/>
          <w:sz w:val="24"/>
          <w:szCs w:val="24"/>
        </w:rPr>
        <w:t>a</w:t>
      </w:r>
      <w:r w:rsidR="00E53D14" w:rsidRPr="00DC2FB5">
        <w:rPr>
          <w:rFonts w:ascii="Arial" w:hAnsi="Arial" w:cs="Arial"/>
          <w:sz w:val="24"/>
          <w:szCs w:val="24"/>
        </w:rPr>
        <w:t xml:space="preserve"> sau </w:t>
      </w:r>
      <w:r w:rsidR="00834A96" w:rsidRPr="00DC2FB5">
        <w:rPr>
          <w:rFonts w:ascii="Arial" w:hAnsi="Arial" w:cs="Arial"/>
          <w:sz w:val="24"/>
          <w:szCs w:val="24"/>
        </w:rPr>
        <w:t>reabilitare</w:t>
      </w:r>
      <w:r w:rsidR="00E53D14" w:rsidRPr="00DC2FB5">
        <w:rPr>
          <w:rFonts w:ascii="Arial" w:hAnsi="Arial" w:cs="Arial"/>
          <w:sz w:val="24"/>
          <w:szCs w:val="24"/>
        </w:rPr>
        <w:t>a r</w:t>
      </w:r>
      <w:r w:rsidR="00834A96" w:rsidRPr="00DC2FB5">
        <w:rPr>
          <w:rFonts w:ascii="Arial" w:hAnsi="Arial" w:cs="Arial"/>
          <w:sz w:val="24"/>
          <w:szCs w:val="24"/>
        </w:rPr>
        <w:t>âurilor</w:t>
      </w:r>
      <w:r w:rsidR="00E53D14" w:rsidRPr="00DC2FB5">
        <w:rPr>
          <w:rFonts w:ascii="Arial" w:hAnsi="Arial" w:cs="Arial"/>
          <w:sz w:val="24"/>
          <w:szCs w:val="24"/>
        </w:rPr>
        <w:t xml:space="preserve"> </w:t>
      </w:r>
      <w:r w:rsidR="006A407B" w:rsidRPr="00DC2FB5">
        <w:rPr>
          <w:rFonts w:ascii="Arial" w:hAnsi="Arial" w:cs="Arial"/>
          <w:sz w:val="24"/>
          <w:szCs w:val="24"/>
        </w:rPr>
        <w:t>ş</w:t>
      </w:r>
      <w:r w:rsidR="00E53D14" w:rsidRPr="00DC2FB5">
        <w:rPr>
          <w:rFonts w:ascii="Arial" w:hAnsi="Arial" w:cs="Arial"/>
          <w:sz w:val="24"/>
          <w:szCs w:val="24"/>
        </w:rPr>
        <w:t>i a altor c</w:t>
      </w:r>
      <w:r w:rsidR="00834A96" w:rsidRPr="00DC2FB5">
        <w:rPr>
          <w:rFonts w:ascii="Arial" w:hAnsi="Arial" w:cs="Arial"/>
          <w:sz w:val="24"/>
          <w:szCs w:val="24"/>
        </w:rPr>
        <w:t xml:space="preserve">ursuri de </w:t>
      </w:r>
      <w:r w:rsidR="00E53D14" w:rsidRPr="00DC2FB5">
        <w:rPr>
          <w:rFonts w:ascii="Arial" w:hAnsi="Arial" w:cs="Arial"/>
          <w:sz w:val="24"/>
          <w:szCs w:val="24"/>
        </w:rPr>
        <w:t xml:space="preserve">apă, </w:t>
      </w:r>
      <w:r w:rsidR="006A407B" w:rsidRPr="00DC2FB5">
        <w:rPr>
          <w:rFonts w:ascii="Arial" w:hAnsi="Arial" w:cs="Arial"/>
          <w:sz w:val="24"/>
          <w:szCs w:val="24"/>
        </w:rPr>
        <w:t>ş</w:t>
      </w:r>
      <w:r w:rsidR="00E53D14" w:rsidRPr="00DC2FB5">
        <w:rPr>
          <w:rFonts w:ascii="Arial" w:hAnsi="Arial" w:cs="Arial"/>
          <w:sz w:val="24"/>
          <w:szCs w:val="24"/>
        </w:rPr>
        <w:t>i</w:t>
      </w:r>
      <w:r w:rsidR="00834A96" w:rsidRPr="00DC2FB5">
        <w:rPr>
          <w:rFonts w:ascii="Arial" w:hAnsi="Arial" w:cs="Arial"/>
          <w:sz w:val="24"/>
          <w:szCs w:val="24"/>
        </w:rPr>
        <w:t xml:space="preserve"> alte lucrări care să contribuie la mobilitatea urbană, inclusiv </w:t>
      </w:r>
      <w:r w:rsidR="00E53D14" w:rsidRPr="00DC2FB5">
        <w:rPr>
          <w:rFonts w:ascii="Arial" w:hAnsi="Arial" w:cs="Arial"/>
          <w:sz w:val="24"/>
          <w:szCs w:val="24"/>
        </w:rPr>
        <w:t xml:space="preserve">sisteme </w:t>
      </w:r>
      <w:r w:rsidR="00834A96" w:rsidRPr="00DC2FB5">
        <w:rPr>
          <w:rFonts w:ascii="Arial" w:hAnsi="Arial" w:cs="Arial"/>
          <w:sz w:val="24"/>
          <w:szCs w:val="24"/>
        </w:rPr>
        <w:t xml:space="preserve">de navetă </w:t>
      </w:r>
      <w:r w:rsidR="00E53D14" w:rsidRPr="00DC2FB5">
        <w:rPr>
          <w:rFonts w:ascii="Arial" w:hAnsi="Arial" w:cs="Arial"/>
          <w:sz w:val="24"/>
          <w:szCs w:val="24"/>
        </w:rPr>
        <w:t xml:space="preserve">feroviare, </w:t>
      </w:r>
      <w:r w:rsidR="00834A96" w:rsidRPr="00DC2FB5">
        <w:rPr>
          <w:rFonts w:ascii="Arial" w:hAnsi="Arial" w:cs="Arial"/>
          <w:sz w:val="24"/>
          <w:szCs w:val="24"/>
        </w:rPr>
        <w:t xml:space="preserve">transport persoane metrou pe cablu </w:t>
      </w:r>
      <w:r w:rsidR="00E53D14" w:rsidRPr="00DC2FB5">
        <w:rPr>
          <w:rFonts w:ascii="Arial" w:hAnsi="Arial" w:cs="Arial"/>
          <w:sz w:val="24"/>
          <w:szCs w:val="24"/>
        </w:rPr>
        <w:t xml:space="preserve">sau echivalent. </w:t>
      </w:r>
      <w:r w:rsidR="00834A96" w:rsidRPr="00DC2FB5">
        <w:rPr>
          <w:rFonts w:ascii="Arial" w:hAnsi="Arial" w:cs="Arial"/>
          <w:sz w:val="24"/>
          <w:szCs w:val="24"/>
        </w:rPr>
        <w:t xml:space="preserve">Încasările </w:t>
      </w:r>
      <w:r w:rsidR="00E53D14" w:rsidRPr="00DC2FB5">
        <w:rPr>
          <w:rFonts w:ascii="Arial" w:hAnsi="Arial" w:cs="Arial"/>
          <w:sz w:val="24"/>
          <w:szCs w:val="24"/>
        </w:rPr>
        <w:t>din a</w:t>
      </w:r>
      <w:r w:rsidR="00834A96" w:rsidRPr="00DC2FB5">
        <w:rPr>
          <w:rFonts w:ascii="Arial" w:hAnsi="Arial" w:cs="Arial"/>
          <w:sz w:val="24"/>
          <w:szCs w:val="24"/>
        </w:rPr>
        <w:t xml:space="preserve">nul fiscal 2014 s-au ridicat la </w:t>
      </w:r>
      <w:r w:rsidR="00E53D14" w:rsidRPr="00DC2FB5">
        <w:rPr>
          <w:rFonts w:ascii="Arial" w:hAnsi="Arial" w:cs="Arial"/>
          <w:sz w:val="24"/>
          <w:szCs w:val="24"/>
        </w:rPr>
        <w:t>aproximativ 2,</w:t>
      </w:r>
      <w:r w:rsidR="00281793" w:rsidRPr="00DC2FB5">
        <w:rPr>
          <w:rFonts w:ascii="Arial" w:hAnsi="Arial" w:cs="Arial"/>
          <w:sz w:val="24"/>
          <w:szCs w:val="24"/>
        </w:rPr>
        <w:t xml:space="preserve"> </w:t>
      </w:r>
      <w:r w:rsidR="00E53D14" w:rsidRPr="00DC2FB5">
        <w:rPr>
          <w:rFonts w:ascii="Arial" w:hAnsi="Arial" w:cs="Arial"/>
          <w:sz w:val="24"/>
          <w:szCs w:val="24"/>
        </w:rPr>
        <w:t>6 miliarde de pesos.</w:t>
      </w:r>
    </w:p>
    <w:p w:rsidR="00C00F4E" w:rsidRPr="00DC2FB5" w:rsidRDefault="00032FBB" w:rsidP="00DC2FB5">
      <w:pPr>
        <w:autoSpaceDE w:val="0"/>
        <w:autoSpaceDN w:val="0"/>
        <w:adjustRightInd w:val="0"/>
        <w:spacing w:after="0"/>
        <w:jc w:val="both"/>
        <w:rPr>
          <w:rFonts w:ascii="Arial" w:hAnsi="Arial" w:cs="Arial"/>
          <w:color w:val="0070C0"/>
          <w:sz w:val="24"/>
          <w:szCs w:val="24"/>
        </w:rPr>
      </w:pPr>
      <w:r>
        <w:rPr>
          <w:rFonts w:ascii="Arial" w:hAnsi="Arial" w:cs="Arial"/>
          <w:color w:val="000000"/>
          <w:sz w:val="24"/>
          <w:szCs w:val="24"/>
        </w:rPr>
        <w:tab/>
      </w:r>
      <w:r w:rsidR="002A4B0D" w:rsidRPr="00DC2FB5">
        <w:rPr>
          <w:rFonts w:ascii="Arial" w:hAnsi="Arial" w:cs="Arial"/>
          <w:color w:val="000000"/>
          <w:sz w:val="24"/>
          <w:szCs w:val="24"/>
        </w:rPr>
        <w:t>Astfel, municipalită</w:t>
      </w:r>
      <w:r w:rsidR="006A407B" w:rsidRPr="00DC2FB5">
        <w:rPr>
          <w:rFonts w:ascii="Arial" w:hAnsi="Arial" w:cs="Arial"/>
          <w:color w:val="000000"/>
          <w:sz w:val="24"/>
          <w:szCs w:val="24"/>
        </w:rPr>
        <w:t>ţ</w:t>
      </w:r>
      <w:r w:rsidR="002A4B0D" w:rsidRPr="00DC2FB5">
        <w:rPr>
          <w:rFonts w:ascii="Arial" w:hAnsi="Arial" w:cs="Arial"/>
          <w:color w:val="000000"/>
          <w:sz w:val="24"/>
          <w:szCs w:val="24"/>
        </w:rPr>
        <w:t>i</w:t>
      </w:r>
      <w:r w:rsidR="00281793" w:rsidRPr="00DC2FB5">
        <w:rPr>
          <w:rFonts w:ascii="Arial" w:hAnsi="Arial" w:cs="Arial"/>
          <w:color w:val="000000"/>
          <w:sz w:val="24"/>
          <w:szCs w:val="24"/>
        </w:rPr>
        <w:t>le</w:t>
      </w:r>
      <w:r w:rsidR="002A4B0D" w:rsidRPr="00DC2FB5">
        <w:rPr>
          <w:rFonts w:ascii="Arial" w:hAnsi="Arial" w:cs="Arial"/>
          <w:color w:val="000000"/>
          <w:sz w:val="24"/>
          <w:szCs w:val="24"/>
        </w:rPr>
        <w:t xml:space="preserve"> </w:t>
      </w:r>
      <w:r w:rsidR="006A407B" w:rsidRPr="00DC2FB5">
        <w:rPr>
          <w:rFonts w:ascii="Arial" w:hAnsi="Arial" w:cs="Arial"/>
          <w:color w:val="000000"/>
          <w:sz w:val="24"/>
          <w:szCs w:val="24"/>
        </w:rPr>
        <w:t>ş</w:t>
      </w:r>
      <w:r w:rsidR="002A4B0D" w:rsidRPr="00DC2FB5">
        <w:rPr>
          <w:rFonts w:ascii="Arial" w:hAnsi="Arial" w:cs="Arial"/>
          <w:color w:val="000000"/>
          <w:sz w:val="24"/>
          <w:szCs w:val="24"/>
        </w:rPr>
        <w:t>i entită</w:t>
      </w:r>
      <w:r w:rsidR="006A407B" w:rsidRPr="00DC2FB5">
        <w:rPr>
          <w:rFonts w:ascii="Arial" w:hAnsi="Arial" w:cs="Arial"/>
          <w:color w:val="000000"/>
          <w:sz w:val="24"/>
          <w:szCs w:val="24"/>
        </w:rPr>
        <w:t>ţ</w:t>
      </w:r>
      <w:r w:rsidR="002A4B0D" w:rsidRPr="00DC2FB5">
        <w:rPr>
          <w:rFonts w:ascii="Arial" w:hAnsi="Arial" w:cs="Arial"/>
          <w:color w:val="000000"/>
          <w:sz w:val="24"/>
          <w:szCs w:val="24"/>
        </w:rPr>
        <w:t>i</w:t>
      </w:r>
      <w:r w:rsidR="00834A96" w:rsidRPr="00DC2FB5">
        <w:rPr>
          <w:rFonts w:ascii="Arial" w:hAnsi="Arial" w:cs="Arial"/>
          <w:color w:val="000000"/>
          <w:sz w:val="24"/>
          <w:szCs w:val="24"/>
        </w:rPr>
        <w:t xml:space="preserve">le miniere vor avea resurse bugetare mai mari de </w:t>
      </w:r>
      <w:r w:rsidR="002A4B0D" w:rsidRPr="00DC2FB5">
        <w:rPr>
          <w:rFonts w:ascii="Arial" w:hAnsi="Arial" w:cs="Arial"/>
          <w:color w:val="000000"/>
          <w:sz w:val="24"/>
          <w:szCs w:val="24"/>
        </w:rPr>
        <w:t>utilizat în beneficiul comunită</w:t>
      </w:r>
      <w:r w:rsidR="006A407B" w:rsidRPr="00DC2FB5">
        <w:rPr>
          <w:rFonts w:ascii="Arial" w:hAnsi="Arial" w:cs="Arial"/>
          <w:color w:val="000000"/>
          <w:sz w:val="24"/>
          <w:szCs w:val="24"/>
        </w:rPr>
        <w:t>ţ</w:t>
      </w:r>
      <w:r w:rsidR="002A4B0D" w:rsidRPr="00DC2FB5">
        <w:rPr>
          <w:rFonts w:ascii="Arial" w:hAnsi="Arial" w:cs="Arial"/>
          <w:color w:val="000000"/>
          <w:sz w:val="24"/>
          <w:szCs w:val="24"/>
        </w:rPr>
        <w:t>ilor</w:t>
      </w:r>
      <w:r w:rsidR="00834A96" w:rsidRPr="00DC2FB5">
        <w:rPr>
          <w:rFonts w:ascii="Arial" w:hAnsi="Arial" w:cs="Arial"/>
          <w:color w:val="000000"/>
          <w:sz w:val="24"/>
          <w:szCs w:val="24"/>
        </w:rPr>
        <w:t xml:space="preserve"> pentru care acestea </w:t>
      </w:r>
      <w:r w:rsidR="002A4B0D" w:rsidRPr="00DC2FB5">
        <w:rPr>
          <w:rFonts w:ascii="Arial" w:hAnsi="Arial" w:cs="Arial"/>
          <w:color w:val="000000"/>
          <w:sz w:val="24"/>
          <w:szCs w:val="24"/>
        </w:rPr>
        <w:t xml:space="preserve">operează, </w:t>
      </w:r>
      <w:r w:rsidR="00834A96" w:rsidRPr="00DC2FB5">
        <w:rPr>
          <w:rFonts w:ascii="Arial" w:hAnsi="Arial" w:cs="Arial"/>
          <w:color w:val="000000"/>
          <w:sz w:val="24"/>
          <w:szCs w:val="24"/>
        </w:rPr>
        <w:t xml:space="preserve">servind </w:t>
      </w:r>
      <w:r w:rsidR="002A4B0D" w:rsidRPr="00DC2FB5">
        <w:rPr>
          <w:rFonts w:ascii="Arial" w:hAnsi="Arial" w:cs="Arial"/>
          <w:color w:val="000000"/>
          <w:sz w:val="24"/>
          <w:szCs w:val="24"/>
        </w:rPr>
        <w:t>nevoil</w:t>
      </w:r>
      <w:r w:rsidR="00834A96" w:rsidRPr="00DC2FB5">
        <w:rPr>
          <w:rFonts w:ascii="Arial" w:hAnsi="Arial" w:cs="Arial"/>
          <w:color w:val="000000"/>
          <w:sz w:val="24"/>
          <w:szCs w:val="24"/>
        </w:rPr>
        <w:t xml:space="preserve">e </w:t>
      </w:r>
      <w:r w:rsidR="002A4B0D" w:rsidRPr="00DC2FB5">
        <w:rPr>
          <w:rFonts w:ascii="Arial" w:hAnsi="Arial" w:cs="Arial"/>
          <w:color w:val="000000"/>
          <w:sz w:val="24"/>
          <w:szCs w:val="24"/>
        </w:rPr>
        <w:t>d</w:t>
      </w:r>
      <w:r w:rsidR="008C25D6" w:rsidRPr="00DC2FB5">
        <w:rPr>
          <w:rFonts w:ascii="Arial" w:hAnsi="Arial" w:cs="Arial"/>
          <w:color w:val="000000"/>
          <w:sz w:val="24"/>
          <w:szCs w:val="24"/>
        </w:rPr>
        <w:t>in</w:t>
      </w:r>
      <w:r w:rsidR="002A4B0D" w:rsidRPr="00DC2FB5">
        <w:rPr>
          <w:rFonts w:ascii="Arial" w:hAnsi="Arial" w:cs="Arial"/>
          <w:color w:val="000000"/>
          <w:sz w:val="24"/>
          <w:szCs w:val="24"/>
        </w:rPr>
        <w:t xml:space="preserve"> sănătate, educa</w:t>
      </w:r>
      <w:r w:rsidR="006A407B" w:rsidRPr="00DC2FB5">
        <w:rPr>
          <w:rFonts w:ascii="Arial" w:hAnsi="Arial" w:cs="Arial"/>
          <w:color w:val="000000"/>
          <w:sz w:val="24"/>
          <w:szCs w:val="24"/>
        </w:rPr>
        <w:t>ţ</w:t>
      </w:r>
      <w:r w:rsidR="002A4B0D" w:rsidRPr="00DC2FB5">
        <w:rPr>
          <w:rFonts w:ascii="Arial" w:hAnsi="Arial" w:cs="Arial"/>
          <w:color w:val="000000"/>
          <w:sz w:val="24"/>
          <w:szCs w:val="24"/>
        </w:rPr>
        <w:t xml:space="preserve">ie </w:t>
      </w:r>
      <w:r w:rsidR="006A407B" w:rsidRPr="00DC2FB5">
        <w:rPr>
          <w:rFonts w:ascii="Arial" w:hAnsi="Arial" w:cs="Arial"/>
          <w:color w:val="000000"/>
          <w:sz w:val="24"/>
          <w:szCs w:val="24"/>
        </w:rPr>
        <w:t>ş</w:t>
      </w:r>
      <w:r w:rsidR="00834A96" w:rsidRPr="00DC2FB5">
        <w:rPr>
          <w:rFonts w:ascii="Arial" w:hAnsi="Arial" w:cs="Arial"/>
          <w:color w:val="000000"/>
          <w:sz w:val="24"/>
          <w:szCs w:val="24"/>
        </w:rPr>
        <w:t xml:space="preserve">i </w:t>
      </w:r>
      <w:r w:rsidR="008C25D6" w:rsidRPr="00DC2FB5">
        <w:rPr>
          <w:rFonts w:ascii="Arial" w:hAnsi="Arial" w:cs="Arial"/>
          <w:color w:val="000000"/>
          <w:sz w:val="24"/>
          <w:szCs w:val="24"/>
        </w:rPr>
        <w:t xml:space="preserve">de </w:t>
      </w:r>
      <w:r w:rsidR="00834A96" w:rsidRPr="00DC2FB5">
        <w:rPr>
          <w:rFonts w:ascii="Arial" w:hAnsi="Arial" w:cs="Arial"/>
          <w:color w:val="000000"/>
          <w:sz w:val="24"/>
          <w:szCs w:val="24"/>
        </w:rPr>
        <w:t>infrastructură</w:t>
      </w:r>
      <w:r w:rsidR="001410B3">
        <w:rPr>
          <w:rFonts w:ascii="Arial" w:hAnsi="Arial" w:cs="Arial"/>
          <w:color w:val="000000"/>
          <w:sz w:val="24"/>
          <w:szCs w:val="24"/>
        </w:rPr>
        <w:t>,</w:t>
      </w:r>
      <w:r w:rsidR="00834A96" w:rsidRPr="00DC2FB5">
        <w:rPr>
          <w:rFonts w:ascii="Arial" w:hAnsi="Arial" w:cs="Arial"/>
          <w:color w:val="000000"/>
          <w:sz w:val="24"/>
          <w:szCs w:val="24"/>
        </w:rPr>
        <w:t xml:space="preserve"> în </w:t>
      </w:r>
      <w:r w:rsidR="002A4B0D" w:rsidRPr="00DC2FB5">
        <w:rPr>
          <w:rFonts w:ascii="Arial" w:hAnsi="Arial" w:cs="Arial"/>
          <w:color w:val="000000"/>
          <w:sz w:val="24"/>
          <w:szCs w:val="24"/>
        </w:rPr>
        <w:t>conformitate cu priorită</w:t>
      </w:r>
      <w:r w:rsidR="006A407B" w:rsidRPr="00DC2FB5">
        <w:rPr>
          <w:rFonts w:ascii="Arial" w:hAnsi="Arial" w:cs="Arial"/>
          <w:color w:val="000000"/>
          <w:sz w:val="24"/>
          <w:szCs w:val="24"/>
        </w:rPr>
        <w:t>ţ</w:t>
      </w:r>
      <w:r w:rsidR="002A4B0D" w:rsidRPr="00DC2FB5">
        <w:rPr>
          <w:rFonts w:ascii="Arial" w:hAnsi="Arial" w:cs="Arial"/>
          <w:color w:val="000000"/>
          <w:sz w:val="24"/>
          <w:szCs w:val="24"/>
        </w:rPr>
        <w:t xml:space="preserve">ile </w:t>
      </w:r>
      <w:r w:rsidR="00834A96" w:rsidRPr="00DC2FB5">
        <w:rPr>
          <w:rFonts w:ascii="Arial" w:hAnsi="Arial" w:cs="Arial"/>
          <w:color w:val="000000"/>
          <w:sz w:val="24"/>
          <w:szCs w:val="24"/>
        </w:rPr>
        <w:t>stabilite</w:t>
      </w:r>
      <w:r w:rsidR="005A3A2D">
        <w:rPr>
          <w:rFonts w:ascii="Arial" w:hAnsi="Arial" w:cs="Arial"/>
          <w:color w:val="000000"/>
          <w:sz w:val="24"/>
          <w:szCs w:val="24"/>
        </w:rPr>
        <w:t>, dependente de</w:t>
      </w:r>
      <w:r w:rsidR="002A4B0D" w:rsidRPr="00DC2FB5">
        <w:rPr>
          <w:rFonts w:ascii="Arial" w:hAnsi="Arial" w:cs="Arial"/>
          <w:color w:val="000000"/>
          <w:sz w:val="24"/>
          <w:szCs w:val="24"/>
        </w:rPr>
        <w:t xml:space="preserve"> cerin</w:t>
      </w:r>
      <w:r w:rsidR="006A407B" w:rsidRPr="00DC2FB5">
        <w:rPr>
          <w:rFonts w:ascii="Arial" w:hAnsi="Arial" w:cs="Arial"/>
          <w:color w:val="000000"/>
          <w:sz w:val="24"/>
          <w:szCs w:val="24"/>
        </w:rPr>
        <w:t>ţ</w:t>
      </w:r>
      <w:r w:rsidR="002A4B0D" w:rsidRPr="00DC2FB5">
        <w:rPr>
          <w:rFonts w:ascii="Arial" w:hAnsi="Arial" w:cs="Arial"/>
          <w:color w:val="000000"/>
          <w:sz w:val="24"/>
          <w:szCs w:val="24"/>
        </w:rPr>
        <w:t>ele popula</w:t>
      </w:r>
      <w:r w:rsidR="006A407B" w:rsidRPr="00DC2FB5">
        <w:rPr>
          <w:rFonts w:ascii="Arial" w:hAnsi="Arial" w:cs="Arial"/>
          <w:color w:val="000000"/>
          <w:sz w:val="24"/>
          <w:szCs w:val="24"/>
        </w:rPr>
        <w:t>ţ</w:t>
      </w:r>
      <w:r w:rsidR="00834A96" w:rsidRPr="00DC2FB5">
        <w:rPr>
          <w:rFonts w:ascii="Arial" w:hAnsi="Arial" w:cs="Arial"/>
          <w:color w:val="000000"/>
          <w:sz w:val="24"/>
          <w:szCs w:val="24"/>
        </w:rPr>
        <w:t xml:space="preserve">iei. Acest lucru </w:t>
      </w:r>
      <w:r w:rsidR="002A4B0D" w:rsidRPr="00DC2FB5">
        <w:rPr>
          <w:rFonts w:ascii="Arial" w:hAnsi="Arial" w:cs="Arial"/>
          <w:color w:val="000000"/>
          <w:sz w:val="24"/>
          <w:szCs w:val="24"/>
        </w:rPr>
        <w:t xml:space="preserve">va spori efectul pozitiv pe care </w:t>
      </w:r>
      <w:r w:rsidR="00834A96" w:rsidRPr="00DC2FB5">
        <w:rPr>
          <w:rFonts w:ascii="Arial" w:hAnsi="Arial" w:cs="Arial"/>
          <w:color w:val="000000"/>
          <w:sz w:val="24"/>
          <w:szCs w:val="24"/>
        </w:rPr>
        <w:t xml:space="preserve">activitatea </w:t>
      </w:r>
      <w:r w:rsidR="002A4B0D" w:rsidRPr="00DC2FB5">
        <w:rPr>
          <w:rFonts w:ascii="Arial" w:hAnsi="Arial" w:cs="Arial"/>
          <w:color w:val="000000"/>
          <w:sz w:val="24"/>
          <w:szCs w:val="24"/>
        </w:rPr>
        <w:t>minerit</w:t>
      </w:r>
      <w:r w:rsidR="00834A96" w:rsidRPr="00DC2FB5">
        <w:rPr>
          <w:rFonts w:ascii="Arial" w:hAnsi="Arial" w:cs="Arial"/>
          <w:color w:val="000000"/>
          <w:sz w:val="24"/>
          <w:szCs w:val="24"/>
        </w:rPr>
        <w:t xml:space="preserve">ului </w:t>
      </w:r>
      <w:r w:rsidR="008C25D6" w:rsidRPr="00DC2FB5">
        <w:rPr>
          <w:rFonts w:ascii="Arial" w:hAnsi="Arial" w:cs="Arial"/>
          <w:color w:val="000000"/>
          <w:sz w:val="24"/>
          <w:szCs w:val="24"/>
        </w:rPr>
        <w:t xml:space="preserve">l-a </w:t>
      </w:r>
      <w:r w:rsidR="002A4B0D" w:rsidRPr="00DC2FB5">
        <w:rPr>
          <w:rFonts w:ascii="Arial" w:hAnsi="Arial" w:cs="Arial"/>
          <w:color w:val="000000"/>
          <w:sz w:val="24"/>
          <w:szCs w:val="24"/>
        </w:rPr>
        <w:t xml:space="preserve">avut întotdeauna ca </w:t>
      </w:r>
      <w:r w:rsidR="00834A96" w:rsidRPr="00DC2FB5">
        <w:rPr>
          <w:rFonts w:ascii="Arial" w:hAnsi="Arial" w:cs="Arial"/>
          <w:color w:val="000000"/>
          <w:sz w:val="24"/>
          <w:szCs w:val="24"/>
        </w:rPr>
        <w:t xml:space="preserve">factor de </w:t>
      </w:r>
      <w:r w:rsidR="002A4B0D" w:rsidRPr="00DC2FB5">
        <w:rPr>
          <w:rFonts w:ascii="Arial" w:hAnsi="Arial" w:cs="Arial"/>
          <w:color w:val="000000"/>
          <w:sz w:val="24"/>
          <w:szCs w:val="24"/>
        </w:rPr>
        <w:t xml:space="preserve">dezvoltare </w:t>
      </w:r>
      <w:r w:rsidR="006A407B" w:rsidRPr="00DC2FB5">
        <w:rPr>
          <w:rFonts w:ascii="Arial" w:hAnsi="Arial" w:cs="Arial"/>
          <w:color w:val="000000"/>
          <w:sz w:val="24"/>
          <w:szCs w:val="24"/>
        </w:rPr>
        <w:t>ş</w:t>
      </w:r>
      <w:r w:rsidR="00834A96" w:rsidRPr="00DC2FB5">
        <w:rPr>
          <w:rFonts w:ascii="Arial" w:hAnsi="Arial" w:cs="Arial"/>
          <w:color w:val="000000"/>
          <w:sz w:val="24"/>
          <w:szCs w:val="24"/>
        </w:rPr>
        <w:t xml:space="preserve">i beneficiile în rândul </w:t>
      </w:r>
      <w:r w:rsidR="002A4B0D" w:rsidRPr="00DC2FB5">
        <w:rPr>
          <w:rFonts w:ascii="Arial" w:hAnsi="Arial" w:cs="Arial"/>
          <w:color w:val="000000"/>
          <w:sz w:val="24"/>
          <w:szCs w:val="24"/>
        </w:rPr>
        <w:t>comunită</w:t>
      </w:r>
      <w:r w:rsidR="006A407B" w:rsidRPr="00DC2FB5">
        <w:rPr>
          <w:rFonts w:ascii="Arial" w:hAnsi="Arial" w:cs="Arial"/>
          <w:color w:val="000000"/>
          <w:sz w:val="24"/>
          <w:szCs w:val="24"/>
        </w:rPr>
        <w:t>ţ</w:t>
      </w:r>
      <w:r w:rsidR="002A4B0D" w:rsidRPr="00DC2FB5">
        <w:rPr>
          <w:rFonts w:ascii="Arial" w:hAnsi="Arial" w:cs="Arial"/>
          <w:color w:val="000000"/>
          <w:sz w:val="24"/>
          <w:szCs w:val="24"/>
        </w:rPr>
        <w:t>il</w:t>
      </w:r>
      <w:r w:rsidR="00834A96" w:rsidRPr="00DC2FB5">
        <w:rPr>
          <w:rFonts w:ascii="Arial" w:hAnsi="Arial" w:cs="Arial"/>
          <w:color w:val="000000"/>
          <w:sz w:val="24"/>
          <w:szCs w:val="24"/>
        </w:rPr>
        <w:t>or</w:t>
      </w:r>
      <w:r w:rsidR="002A4B0D" w:rsidRPr="00DC2FB5">
        <w:rPr>
          <w:rFonts w:ascii="Arial" w:hAnsi="Arial" w:cs="Arial"/>
          <w:color w:val="000000"/>
          <w:sz w:val="24"/>
          <w:szCs w:val="24"/>
        </w:rPr>
        <w:t>, a</w:t>
      </w:r>
      <w:r w:rsidR="00834A96" w:rsidRPr="00DC2FB5">
        <w:rPr>
          <w:rFonts w:ascii="Arial" w:hAnsi="Arial" w:cs="Arial"/>
          <w:color w:val="000000"/>
          <w:sz w:val="24"/>
          <w:szCs w:val="24"/>
        </w:rPr>
        <w:t xml:space="preserve">cţionând în spiritul practicilor </w:t>
      </w:r>
      <w:r w:rsidR="001410B3" w:rsidRPr="00DC2FB5">
        <w:rPr>
          <w:rFonts w:ascii="Arial" w:hAnsi="Arial" w:cs="Arial"/>
          <w:color w:val="000000"/>
          <w:sz w:val="24"/>
          <w:szCs w:val="24"/>
        </w:rPr>
        <w:t>de responsabilitate</w:t>
      </w:r>
      <w:r w:rsidR="002A4B0D" w:rsidRPr="00DC2FB5">
        <w:rPr>
          <w:rFonts w:ascii="Arial" w:hAnsi="Arial" w:cs="Arial"/>
          <w:color w:val="000000"/>
          <w:sz w:val="24"/>
          <w:szCs w:val="24"/>
        </w:rPr>
        <w:t xml:space="preserve"> </w:t>
      </w:r>
      <w:r w:rsidR="00834A96" w:rsidRPr="00DC2FB5">
        <w:rPr>
          <w:rFonts w:ascii="Arial" w:hAnsi="Arial" w:cs="Arial"/>
          <w:color w:val="000000"/>
          <w:sz w:val="24"/>
          <w:szCs w:val="24"/>
        </w:rPr>
        <w:t>social</w:t>
      </w:r>
      <w:r w:rsidR="008C25D6" w:rsidRPr="00DC2FB5">
        <w:rPr>
          <w:rFonts w:ascii="Arial" w:hAnsi="Arial" w:cs="Arial"/>
          <w:color w:val="000000"/>
          <w:sz w:val="24"/>
          <w:szCs w:val="24"/>
        </w:rPr>
        <w:t>ă</w:t>
      </w:r>
      <w:r w:rsidR="00834A96" w:rsidRPr="00DC2FB5">
        <w:rPr>
          <w:rFonts w:ascii="Arial" w:hAnsi="Arial" w:cs="Arial"/>
          <w:color w:val="000000"/>
          <w:sz w:val="24"/>
          <w:szCs w:val="24"/>
        </w:rPr>
        <w:t xml:space="preserve"> ale multor companii </w:t>
      </w:r>
      <w:r w:rsidR="002A4B0D" w:rsidRPr="00DC2FB5">
        <w:rPr>
          <w:rFonts w:ascii="Arial" w:hAnsi="Arial" w:cs="Arial"/>
          <w:color w:val="000000"/>
          <w:sz w:val="24"/>
          <w:szCs w:val="24"/>
        </w:rPr>
        <w:t>din acest sector.</w:t>
      </w:r>
    </w:p>
    <w:p w:rsidR="00C00F4E" w:rsidRPr="00DC2FB5" w:rsidRDefault="00032FBB" w:rsidP="00DC2FB5">
      <w:pPr>
        <w:autoSpaceDE w:val="0"/>
        <w:autoSpaceDN w:val="0"/>
        <w:adjustRightInd w:val="0"/>
        <w:spacing w:after="0"/>
        <w:jc w:val="both"/>
        <w:rPr>
          <w:rFonts w:ascii="Arial" w:hAnsi="Arial" w:cs="Arial"/>
          <w:color w:val="0070C0"/>
          <w:sz w:val="24"/>
          <w:szCs w:val="24"/>
        </w:rPr>
      </w:pPr>
      <w:r>
        <w:rPr>
          <w:rFonts w:ascii="Arial" w:hAnsi="Arial" w:cs="Arial"/>
          <w:sz w:val="24"/>
          <w:szCs w:val="24"/>
        </w:rPr>
        <w:tab/>
      </w:r>
      <w:r w:rsidR="002A4B0D" w:rsidRPr="00DC2FB5">
        <w:rPr>
          <w:rFonts w:ascii="Arial" w:hAnsi="Arial" w:cs="Arial"/>
          <w:sz w:val="24"/>
          <w:szCs w:val="24"/>
        </w:rPr>
        <w:t>I</w:t>
      </w:r>
      <w:r w:rsidR="002A4B0D" w:rsidRPr="00DC2FB5">
        <w:rPr>
          <w:rFonts w:ascii="Arial" w:hAnsi="Arial" w:cs="Arial"/>
          <w:color w:val="000000"/>
          <w:sz w:val="24"/>
          <w:szCs w:val="24"/>
        </w:rPr>
        <w:t xml:space="preserve">ndustria minieră </w:t>
      </w:r>
      <w:r w:rsidR="005A3A2D">
        <w:rPr>
          <w:rFonts w:ascii="Arial" w:hAnsi="Arial" w:cs="Arial"/>
          <w:color w:val="000000"/>
          <w:sz w:val="24"/>
          <w:szCs w:val="24"/>
        </w:rPr>
        <w:t xml:space="preserve">reprezintă </w:t>
      </w:r>
      <w:r w:rsidR="00834A96" w:rsidRPr="00DC2FB5">
        <w:rPr>
          <w:rFonts w:ascii="Arial" w:hAnsi="Arial" w:cs="Arial"/>
          <w:color w:val="000000"/>
          <w:sz w:val="24"/>
          <w:szCs w:val="24"/>
        </w:rPr>
        <w:t xml:space="preserve">o activitate cheie </w:t>
      </w:r>
      <w:r w:rsidR="00D151A4" w:rsidRPr="00DC2FB5">
        <w:rPr>
          <w:rFonts w:ascii="Arial" w:hAnsi="Arial" w:cs="Arial"/>
          <w:color w:val="000000"/>
          <w:sz w:val="24"/>
          <w:szCs w:val="24"/>
        </w:rPr>
        <w:t xml:space="preserve">în </w:t>
      </w:r>
      <w:r w:rsidR="002A4B0D" w:rsidRPr="00DC2FB5">
        <w:rPr>
          <w:rFonts w:ascii="Arial" w:hAnsi="Arial" w:cs="Arial"/>
          <w:color w:val="000000"/>
          <w:sz w:val="24"/>
          <w:szCs w:val="24"/>
        </w:rPr>
        <w:t>dezvoltare</w:t>
      </w:r>
      <w:r w:rsidR="00834A96" w:rsidRPr="00DC2FB5">
        <w:rPr>
          <w:rFonts w:ascii="Arial" w:hAnsi="Arial" w:cs="Arial"/>
          <w:color w:val="000000"/>
          <w:sz w:val="24"/>
          <w:szCs w:val="24"/>
        </w:rPr>
        <w:t>a</w:t>
      </w:r>
      <w:r w:rsidR="002A4B0D" w:rsidRPr="00DC2FB5">
        <w:rPr>
          <w:rFonts w:ascii="Arial" w:hAnsi="Arial" w:cs="Arial"/>
          <w:color w:val="000000"/>
          <w:sz w:val="24"/>
          <w:szCs w:val="24"/>
        </w:rPr>
        <w:t xml:space="preserve"> na</w:t>
      </w:r>
      <w:r w:rsidR="006A407B" w:rsidRPr="00DC2FB5">
        <w:rPr>
          <w:rFonts w:ascii="Arial" w:hAnsi="Arial" w:cs="Arial"/>
          <w:color w:val="000000"/>
          <w:sz w:val="24"/>
          <w:szCs w:val="24"/>
        </w:rPr>
        <w:t>ţ</w:t>
      </w:r>
      <w:r w:rsidR="002A4B0D" w:rsidRPr="00DC2FB5">
        <w:rPr>
          <w:rFonts w:ascii="Arial" w:hAnsi="Arial" w:cs="Arial"/>
          <w:color w:val="000000"/>
          <w:sz w:val="24"/>
          <w:szCs w:val="24"/>
        </w:rPr>
        <w:t xml:space="preserve">ională. Prin urmare, </w:t>
      </w:r>
      <w:r w:rsidR="00834A96" w:rsidRPr="00DC2FB5">
        <w:rPr>
          <w:rFonts w:ascii="Arial" w:hAnsi="Arial" w:cs="Arial"/>
          <w:color w:val="000000"/>
          <w:sz w:val="24"/>
          <w:szCs w:val="24"/>
        </w:rPr>
        <w:t xml:space="preserve">Guvernul Federal </w:t>
      </w:r>
      <w:r w:rsidR="002A4B0D" w:rsidRPr="00DC2FB5">
        <w:rPr>
          <w:rFonts w:ascii="Arial" w:hAnsi="Arial" w:cs="Arial"/>
          <w:color w:val="000000"/>
          <w:sz w:val="24"/>
          <w:szCs w:val="24"/>
        </w:rPr>
        <w:t>se angajeaz</w:t>
      </w:r>
      <w:r w:rsidR="00834A96" w:rsidRPr="00DC2FB5">
        <w:rPr>
          <w:rFonts w:ascii="Arial" w:hAnsi="Arial" w:cs="Arial"/>
          <w:color w:val="000000"/>
          <w:sz w:val="24"/>
          <w:szCs w:val="24"/>
        </w:rPr>
        <w:t>ă</w:t>
      </w:r>
      <w:r w:rsidR="002A4B0D" w:rsidRPr="00DC2FB5">
        <w:rPr>
          <w:rFonts w:ascii="Arial" w:hAnsi="Arial" w:cs="Arial"/>
          <w:color w:val="000000"/>
          <w:sz w:val="24"/>
          <w:szCs w:val="24"/>
        </w:rPr>
        <w:t xml:space="preserve"> s</w:t>
      </w:r>
      <w:r w:rsidR="00834A96" w:rsidRPr="00DC2FB5">
        <w:rPr>
          <w:rFonts w:ascii="Arial" w:hAnsi="Arial" w:cs="Arial"/>
          <w:color w:val="000000"/>
          <w:sz w:val="24"/>
          <w:szCs w:val="24"/>
        </w:rPr>
        <w:t>ă</w:t>
      </w:r>
      <w:r w:rsidR="002A4B0D" w:rsidRPr="00DC2FB5">
        <w:rPr>
          <w:rFonts w:ascii="Arial" w:hAnsi="Arial" w:cs="Arial"/>
          <w:color w:val="000000"/>
          <w:sz w:val="24"/>
          <w:szCs w:val="24"/>
        </w:rPr>
        <w:t xml:space="preserve"> s</w:t>
      </w:r>
      <w:r w:rsidR="00834A96" w:rsidRPr="00DC2FB5">
        <w:rPr>
          <w:rFonts w:ascii="Arial" w:hAnsi="Arial" w:cs="Arial"/>
          <w:color w:val="000000"/>
          <w:sz w:val="24"/>
          <w:szCs w:val="24"/>
        </w:rPr>
        <w:t>usţină</w:t>
      </w:r>
      <w:r w:rsidR="00D151A4" w:rsidRPr="00DC2FB5">
        <w:rPr>
          <w:rFonts w:ascii="Arial" w:hAnsi="Arial" w:cs="Arial"/>
          <w:color w:val="000000"/>
          <w:sz w:val="24"/>
          <w:szCs w:val="24"/>
        </w:rPr>
        <w:t xml:space="preserve"> </w:t>
      </w:r>
      <w:r w:rsidR="002A4B0D" w:rsidRPr="00DC2FB5">
        <w:rPr>
          <w:rFonts w:ascii="Arial" w:hAnsi="Arial" w:cs="Arial"/>
          <w:color w:val="000000"/>
          <w:sz w:val="24"/>
          <w:szCs w:val="24"/>
        </w:rPr>
        <w:t xml:space="preserve">consolidarea </w:t>
      </w:r>
      <w:r w:rsidR="006A407B" w:rsidRPr="00DC2FB5">
        <w:rPr>
          <w:rFonts w:ascii="Arial" w:hAnsi="Arial" w:cs="Arial"/>
          <w:color w:val="000000"/>
          <w:sz w:val="24"/>
          <w:szCs w:val="24"/>
        </w:rPr>
        <w:t>ş</w:t>
      </w:r>
      <w:r w:rsidR="002A4B0D" w:rsidRPr="00DC2FB5">
        <w:rPr>
          <w:rFonts w:ascii="Arial" w:hAnsi="Arial" w:cs="Arial"/>
          <w:color w:val="000000"/>
          <w:sz w:val="24"/>
          <w:szCs w:val="24"/>
        </w:rPr>
        <w:t>i cre</w:t>
      </w:r>
      <w:r w:rsidR="006A407B" w:rsidRPr="00DC2FB5">
        <w:rPr>
          <w:rFonts w:ascii="Arial" w:hAnsi="Arial" w:cs="Arial"/>
          <w:color w:val="000000"/>
          <w:sz w:val="24"/>
          <w:szCs w:val="24"/>
        </w:rPr>
        <w:t>ş</w:t>
      </w:r>
      <w:r w:rsidR="002A4B0D" w:rsidRPr="00DC2FB5">
        <w:rPr>
          <w:rFonts w:ascii="Arial" w:hAnsi="Arial" w:cs="Arial"/>
          <w:color w:val="000000"/>
          <w:sz w:val="24"/>
          <w:szCs w:val="24"/>
        </w:rPr>
        <w:t xml:space="preserve">terea </w:t>
      </w:r>
      <w:r w:rsidR="00D151A4" w:rsidRPr="00DC2FB5">
        <w:rPr>
          <w:rFonts w:ascii="Arial" w:hAnsi="Arial" w:cs="Arial"/>
          <w:color w:val="000000"/>
          <w:sz w:val="24"/>
          <w:szCs w:val="24"/>
        </w:rPr>
        <w:t xml:space="preserve">acesteia, creând </w:t>
      </w:r>
      <w:r w:rsidR="002A4B0D" w:rsidRPr="00DC2FB5">
        <w:rPr>
          <w:rFonts w:ascii="Arial" w:hAnsi="Arial" w:cs="Arial"/>
          <w:color w:val="000000"/>
          <w:sz w:val="24"/>
          <w:szCs w:val="24"/>
        </w:rPr>
        <w:t>cele mai bune condi</w:t>
      </w:r>
      <w:r w:rsidR="006A407B" w:rsidRPr="00DC2FB5">
        <w:rPr>
          <w:rFonts w:ascii="Arial" w:hAnsi="Arial" w:cs="Arial"/>
          <w:color w:val="000000"/>
          <w:sz w:val="24"/>
          <w:szCs w:val="24"/>
        </w:rPr>
        <w:t>ţ</w:t>
      </w:r>
      <w:r w:rsidR="002A4B0D" w:rsidRPr="00DC2FB5">
        <w:rPr>
          <w:rFonts w:ascii="Arial" w:hAnsi="Arial" w:cs="Arial"/>
          <w:color w:val="000000"/>
          <w:sz w:val="24"/>
          <w:szCs w:val="24"/>
        </w:rPr>
        <w:t>ii posibile pentru investi</w:t>
      </w:r>
      <w:r w:rsidR="006A407B" w:rsidRPr="00DC2FB5">
        <w:rPr>
          <w:rFonts w:ascii="Arial" w:hAnsi="Arial" w:cs="Arial"/>
          <w:color w:val="000000"/>
          <w:sz w:val="24"/>
          <w:szCs w:val="24"/>
        </w:rPr>
        <w:t>ţ</w:t>
      </w:r>
      <w:r w:rsidR="00D151A4" w:rsidRPr="00DC2FB5">
        <w:rPr>
          <w:rFonts w:ascii="Arial" w:hAnsi="Arial" w:cs="Arial"/>
          <w:color w:val="000000"/>
          <w:sz w:val="24"/>
          <w:szCs w:val="24"/>
        </w:rPr>
        <w:t xml:space="preserve">ii </w:t>
      </w:r>
      <w:r w:rsidR="002A4B0D" w:rsidRPr="00DC2FB5">
        <w:rPr>
          <w:rFonts w:ascii="Arial" w:hAnsi="Arial" w:cs="Arial"/>
          <w:color w:val="000000"/>
          <w:sz w:val="24"/>
          <w:szCs w:val="24"/>
        </w:rPr>
        <w:t>în fiecare etapă a procesului minier. A făcut progrese substan</w:t>
      </w:r>
      <w:r w:rsidR="006A407B" w:rsidRPr="00DC2FB5">
        <w:rPr>
          <w:rFonts w:ascii="Arial" w:hAnsi="Arial" w:cs="Arial"/>
          <w:color w:val="000000"/>
          <w:sz w:val="24"/>
          <w:szCs w:val="24"/>
        </w:rPr>
        <w:t>ţ</w:t>
      </w:r>
      <w:r w:rsidR="00D151A4" w:rsidRPr="00DC2FB5">
        <w:rPr>
          <w:rFonts w:ascii="Arial" w:hAnsi="Arial" w:cs="Arial"/>
          <w:color w:val="000000"/>
          <w:sz w:val="24"/>
          <w:szCs w:val="24"/>
        </w:rPr>
        <w:t xml:space="preserve">iale în consolidarea </w:t>
      </w:r>
      <w:r w:rsidR="002A4B0D" w:rsidRPr="00DC2FB5">
        <w:rPr>
          <w:rFonts w:ascii="Arial" w:hAnsi="Arial" w:cs="Arial"/>
          <w:color w:val="000000"/>
          <w:sz w:val="24"/>
          <w:szCs w:val="24"/>
        </w:rPr>
        <w:t>competitivit</w:t>
      </w:r>
      <w:r w:rsidR="00D151A4" w:rsidRPr="00DC2FB5">
        <w:rPr>
          <w:rFonts w:ascii="Arial" w:hAnsi="Arial" w:cs="Arial"/>
          <w:color w:val="000000"/>
          <w:sz w:val="24"/>
          <w:szCs w:val="24"/>
        </w:rPr>
        <w:t>ăţii</w:t>
      </w:r>
      <w:r w:rsidR="002A4B0D" w:rsidRPr="00DC2FB5">
        <w:rPr>
          <w:rFonts w:ascii="Arial" w:hAnsi="Arial" w:cs="Arial"/>
          <w:color w:val="000000"/>
          <w:sz w:val="24"/>
          <w:szCs w:val="24"/>
        </w:rPr>
        <w:t xml:space="preserve"> noastr</w:t>
      </w:r>
      <w:r w:rsidR="00D151A4" w:rsidRPr="00DC2FB5">
        <w:rPr>
          <w:rFonts w:ascii="Arial" w:hAnsi="Arial" w:cs="Arial"/>
          <w:color w:val="000000"/>
          <w:sz w:val="24"/>
          <w:szCs w:val="24"/>
        </w:rPr>
        <w:t>e</w:t>
      </w:r>
      <w:r w:rsidR="002A4B0D" w:rsidRPr="00DC2FB5">
        <w:rPr>
          <w:rFonts w:ascii="Arial" w:hAnsi="Arial" w:cs="Arial"/>
          <w:color w:val="000000"/>
          <w:sz w:val="24"/>
          <w:szCs w:val="24"/>
        </w:rPr>
        <w:t xml:space="preserve"> prin reforme</w:t>
      </w:r>
      <w:r w:rsidR="00D151A4" w:rsidRPr="00DC2FB5">
        <w:rPr>
          <w:rFonts w:ascii="Arial" w:hAnsi="Arial" w:cs="Arial"/>
          <w:color w:val="000000"/>
          <w:sz w:val="24"/>
          <w:szCs w:val="24"/>
        </w:rPr>
        <w:t xml:space="preserve"> importante</w:t>
      </w:r>
      <w:r w:rsidR="002A4B0D" w:rsidRPr="00DC2FB5">
        <w:rPr>
          <w:rFonts w:ascii="Arial" w:hAnsi="Arial" w:cs="Arial"/>
          <w:color w:val="000000"/>
          <w:sz w:val="24"/>
          <w:szCs w:val="24"/>
        </w:rPr>
        <w:t xml:space="preserve">, </w:t>
      </w:r>
      <w:r w:rsidR="00D151A4" w:rsidRPr="00DC2FB5">
        <w:rPr>
          <w:rFonts w:ascii="Arial" w:hAnsi="Arial" w:cs="Arial"/>
          <w:color w:val="000000"/>
          <w:sz w:val="24"/>
          <w:szCs w:val="24"/>
        </w:rPr>
        <w:t xml:space="preserve">printr-o politică </w:t>
      </w:r>
      <w:r w:rsidR="002A4B0D" w:rsidRPr="00DC2FB5">
        <w:rPr>
          <w:rFonts w:ascii="Arial" w:hAnsi="Arial" w:cs="Arial"/>
          <w:color w:val="000000"/>
          <w:sz w:val="24"/>
          <w:szCs w:val="24"/>
        </w:rPr>
        <w:t>macroeconomic</w:t>
      </w:r>
      <w:r w:rsidR="00D151A4" w:rsidRPr="00DC2FB5">
        <w:rPr>
          <w:rFonts w:ascii="Arial" w:hAnsi="Arial" w:cs="Arial"/>
          <w:color w:val="000000"/>
          <w:sz w:val="24"/>
          <w:szCs w:val="24"/>
        </w:rPr>
        <w:t>ă</w:t>
      </w:r>
      <w:r w:rsidR="002A4B0D" w:rsidRPr="00DC2FB5">
        <w:rPr>
          <w:rFonts w:ascii="Arial" w:hAnsi="Arial" w:cs="Arial"/>
          <w:color w:val="000000"/>
          <w:sz w:val="24"/>
          <w:szCs w:val="24"/>
        </w:rPr>
        <w:t xml:space="preserve"> responsabil</w:t>
      </w:r>
      <w:r w:rsidR="00D151A4" w:rsidRPr="00DC2FB5">
        <w:rPr>
          <w:rFonts w:ascii="Arial" w:hAnsi="Arial" w:cs="Arial"/>
          <w:color w:val="000000"/>
          <w:sz w:val="24"/>
          <w:szCs w:val="24"/>
        </w:rPr>
        <w:t xml:space="preserve">ă </w:t>
      </w:r>
      <w:r w:rsidR="006A407B" w:rsidRPr="00DC2FB5">
        <w:rPr>
          <w:rFonts w:ascii="Arial" w:hAnsi="Arial" w:cs="Arial"/>
          <w:color w:val="000000"/>
          <w:sz w:val="24"/>
          <w:szCs w:val="24"/>
        </w:rPr>
        <w:t>ş</w:t>
      </w:r>
      <w:r w:rsidR="002A4B0D" w:rsidRPr="00DC2FB5">
        <w:rPr>
          <w:rFonts w:ascii="Arial" w:hAnsi="Arial" w:cs="Arial"/>
          <w:color w:val="000000"/>
          <w:sz w:val="24"/>
          <w:szCs w:val="24"/>
        </w:rPr>
        <w:t xml:space="preserve">i </w:t>
      </w:r>
      <w:r w:rsidR="00D151A4" w:rsidRPr="00DC2FB5">
        <w:rPr>
          <w:rFonts w:ascii="Arial" w:hAnsi="Arial" w:cs="Arial"/>
          <w:color w:val="000000"/>
          <w:sz w:val="24"/>
          <w:szCs w:val="24"/>
        </w:rPr>
        <w:t xml:space="preserve">o politică industrială axată pe </w:t>
      </w:r>
      <w:r w:rsidR="002A4B0D" w:rsidRPr="00DC2FB5">
        <w:rPr>
          <w:rFonts w:ascii="Arial" w:hAnsi="Arial" w:cs="Arial"/>
          <w:color w:val="000000"/>
          <w:sz w:val="24"/>
          <w:szCs w:val="24"/>
        </w:rPr>
        <w:t>dezvoltarea cuno</w:t>
      </w:r>
      <w:r w:rsidR="006A407B" w:rsidRPr="00DC2FB5">
        <w:rPr>
          <w:rFonts w:ascii="Arial" w:hAnsi="Arial" w:cs="Arial"/>
          <w:color w:val="000000"/>
          <w:sz w:val="24"/>
          <w:szCs w:val="24"/>
        </w:rPr>
        <w:t>ş</w:t>
      </w:r>
      <w:r w:rsidR="002A4B0D" w:rsidRPr="00DC2FB5">
        <w:rPr>
          <w:rFonts w:ascii="Arial" w:hAnsi="Arial" w:cs="Arial"/>
          <w:color w:val="000000"/>
          <w:sz w:val="24"/>
          <w:szCs w:val="24"/>
        </w:rPr>
        <w:t>tin</w:t>
      </w:r>
      <w:r w:rsidR="006A407B" w:rsidRPr="00DC2FB5">
        <w:rPr>
          <w:rFonts w:ascii="Arial" w:hAnsi="Arial" w:cs="Arial"/>
          <w:color w:val="000000"/>
          <w:sz w:val="24"/>
          <w:szCs w:val="24"/>
        </w:rPr>
        <w:t>ţ</w:t>
      </w:r>
      <w:r w:rsidR="002A4B0D" w:rsidRPr="00DC2FB5">
        <w:rPr>
          <w:rFonts w:ascii="Arial" w:hAnsi="Arial" w:cs="Arial"/>
          <w:color w:val="000000"/>
          <w:sz w:val="24"/>
          <w:szCs w:val="24"/>
        </w:rPr>
        <w:t xml:space="preserve">elor geologice </w:t>
      </w:r>
      <w:r w:rsidR="00D151A4" w:rsidRPr="00DC2FB5">
        <w:rPr>
          <w:rFonts w:ascii="Arial" w:hAnsi="Arial" w:cs="Arial"/>
          <w:color w:val="000000"/>
          <w:sz w:val="24"/>
          <w:szCs w:val="24"/>
        </w:rPr>
        <w:t xml:space="preserve">despre </w:t>
      </w:r>
      <w:r w:rsidR="006A407B" w:rsidRPr="00DC2FB5">
        <w:rPr>
          <w:rFonts w:ascii="Arial" w:hAnsi="Arial" w:cs="Arial"/>
          <w:color w:val="000000"/>
          <w:sz w:val="24"/>
          <w:szCs w:val="24"/>
        </w:rPr>
        <w:t>ţ</w:t>
      </w:r>
      <w:r w:rsidR="002A4B0D" w:rsidRPr="00DC2FB5">
        <w:rPr>
          <w:rFonts w:ascii="Arial" w:hAnsi="Arial" w:cs="Arial"/>
          <w:color w:val="000000"/>
          <w:sz w:val="24"/>
          <w:szCs w:val="24"/>
        </w:rPr>
        <w:t>ară. Toate a</w:t>
      </w:r>
      <w:r w:rsidR="00D151A4" w:rsidRPr="00DC2FB5">
        <w:rPr>
          <w:rFonts w:ascii="Arial" w:hAnsi="Arial" w:cs="Arial"/>
          <w:color w:val="000000"/>
          <w:sz w:val="24"/>
          <w:szCs w:val="24"/>
        </w:rPr>
        <w:t xml:space="preserve">cestea contribuie la promovarea </w:t>
      </w:r>
      <w:r w:rsidR="002A4B0D" w:rsidRPr="00DC2FB5">
        <w:rPr>
          <w:rFonts w:ascii="Arial" w:hAnsi="Arial" w:cs="Arial"/>
          <w:color w:val="000000"/>
          <w:sz w:val="24"/>
          <w:szCs w:val="24"/>
        </w:rPr>
        <w:t>dezvolt</w:t>
      </w:r>
      <w:r w:rsidR="00D151A4" w:rsidRPr="00DC2FB5">
        <w:rPr>
          <w:rFonts w:ascii="Arial" w:hAnsi="Arial" w:cs="Arial"/>
          <w:color w:val="000000"/>
          <w:sz w:val="24"/>
          <w:szCs w:val="24"/>
        </w:rPr>
        <w:t>ării</w:t>
      </w:r>
      <w:r w:rsidR="002A4B0D" w:rsidRPr="00DC2FB5">
        <w:rPr>
          <w:rFonts w:ascii="Arial" w:hAnsi="Arial" w:cs="Arial"/>
          <w:color w:val="000000"/>
          <w:sz w:val="24"/>
          <w:szCs w:val="24"/>
        </w:rPr>
        <w:t xml:space="preserve"> durabil</w:t>
      </w:r>
      <w:r w:rsidR="00D151A4" w:rsidRPr="00DC2FB5">
        <w:rPr>
          <w:rFonts w:ascii="Arial" w:hAnsi="Arial" w:cs="Arial"/>
          <w:color w:val="000000"/>
          <w:sz w:val="24"/>
          <w:szCs w:val="24"/>
        </w:rPr>
        <w:t>e</w:t>
      </w:r>
      <w:r w:rsidR="002A4B0D" w:rsidRPr="00DC2FB5">
        <w:rPr>
          <w:rFonts w:ascii="Arial" w:hAnsi="Arial" w:cs="Arial"/>
          <w:color w:val="000000"/>
          <w:sz w:val="24"/>
          <w:szCs w:val="24"/>
        </w:rPr>
        <w:t xml:space="preserve"> a </w:t>
      </w:r>
      <w:r w:rsidR="00D151A4" w:rsidRPr="00DC2FB5">
        <w:rPr>
          <w:rFonts w:ascii="Arial" w:hAnsi="Arial" w:cs="Arial"/>
          <w:color w:val="000000"/>
          <w:sz w:val="24"/>
          <w:szCs w:val="24"/>
        </w:rPr>
        <w:t>sectorului minier</w:t>
      </w:r>
      <w:r w:rsidR="002A4B0D" w:rsidRPr="00DC2FB5">
        <w:rPr>
          <w:rFonts w:ascii="Arial" w:hAnsi="Arial" w:cs="Arial"/>
          <w:color w:val="000000"/>
          <w:sz w:val="24"/>
          <w:szCs w:val="24"/>
        </w:rPr>
        <w:t xml:space="preserve">, generând </w:t>
      </w:r>
      <w:r w:rsidR="00D151A4" w:rsidRPr="00DC2FB5">
        <w:rPr>
          <w:rFonts w:ascii="Arial" w:hAnsi="Arial" w:cs="Arial"/>
          <w:color w:val="000000"/>
          <w:sz w:val="24"/>
          <w:szCs w:val="24"/>
        </w:rPr>
        <w:t xml:space="preserve">bunăstare </w:t>
      </w:r>
      <w:r w:rsidR="002A4B0D" w:rsidRPr="00DC2FB5">
        <w:rPr>
          <w:rFonts w:ascii="Arial" w:hAnsi="Arial" w:cs="Arial"/>
          <w:color w:val="000000"/>
          <w:sz w:val="24"/>
          <w:szCs w:val="24"/>
        </w:rPr>
        <w:t>economic</w:t>
      </w:r>
      <w:r w:rsidR="00D151A4" w:rsidRPr="00DC2FB5">
        <w:rPr>
          <w:rFonts w:ascii="Arial" w:hAnsi="Arial" w:cs="Arial"/>
          <w:color w:val="000000"/>
          <w:sz w:val="24"/>
          <w:szCs w:val="24"/>
        </w:rPr>
        <w:t>ă</w:t>
      </w:r>
      <w:r w:rsidR="002A4B0D" w:rsidRPr="00DC2FB5">
        <w:rPr>
          <w:rFonts w:ascii="Arial" w:hAnsi="Arial" w:cs="Arial"/>
          <w:color w:val="000000"/>
          <w:sz w:val="24"/>
          <w:szCs w:val="24"/>
        </w:rPr>
        <w:t xml:space="preserve"> </w:t>
      </w:r>
      <w:r w:rsidR="006A407B" w:rsidRPr="00DC2FB5">
        <w:rPr>
          <w:rFonts w:ascii="Arial" w:hAnsi="Arial" w:cs="Arial"/>
          <w:color w:val="000000"/>
          <w:sz w:val="24"/>
          <w:szCs w:val="24"/>
        </w:rPr>
        <w:t>ş</w:t>
      </w:r>
      <w:r w:rsidR="002A4B0D" w:rsidRPr="00DC2FB5">
        <w:rPr>
          <w:rFonts w:ascii="Arial" w:hAnsi="Arial" w:cs="Arial"/>
          <w:color w:val="000000"/>
          <w:sz w:val="24"/>
          <w:szCs w:val="24"/>
        </w:rPr>
        <w:t xml:space="preserve">i </w:t>
      </w:r>
      <w:r w:rsidR="00D151A4" w:rsidRPr="00DC2FB5">
        <w:rPr>
          <w:rFonts w:ascii="Arial" w:hAnsi="Arial" w:cs="Arial"/>
          <w:color w:val="000000"/>
          <w:sz w:val="24"/>
          <w:szCs w:val="24"/>
        </w:rPr>
        <w:t>social</w:t>
      </w:r>
      <w:r w:rsidR="008C25D6" w:rsidRPr="00DC2FB5">
        <w:rPr>
          <w:rFonts w:ascii="Arial" w:hAnsi="Arial" w:cs="Arial"/>
          <w:color w:val="000000"/>
          <w:sz w:val="24"/>
          <w:szCs w:val="24"/>
        </w:rPr>
        <w:t>ă</w:t>
      </w:r>
      <w:r w:rsidR="00D151A4" w:rsidRPr="00DC2FB5">
        <w:rPr>
          <w:rFonts w:ascii="Arial" w:hAnsi="Arial" w:cs="Arial"/>
          <w:color w:val="000000"/>
          <w:sz w:val="24"/>
          <w:szCs w:val="24"/>
        </w:rPr>
        <w:t xml:space="preserve"> într-un cadru de respect </w:t>
      </w:r>
      <w:r w:rsidR="002A4B0D" w:rsidRPr="00DC2FB5">
        <w:rPr>
          <w:rFonts w:ascii="Arial" w:hAnsi="Arial" w:cs="Arial"/>
          <w:color w:val="000000"/>
          <w:sz w:val="24"/>
          <w:szCs w:val="24"/>
        </w:rPr>
        <w:t>pentru mediu</w:t>
      </w:r>
      <w:r w:rsidR="005A3A2D">
        <w:rPr>
          <w:rFonts w:ascii="Arial" w:hAnsi="Arial" w:cs="Arial"/>
          <w:color w:val="000000"/>
          <w:sz w:val="24"/>
          <w:szCs w:val="24"/>
        </w:rPr>
        <w:t>l înconjurător</w:t>
      </w:r>
      <w:r w:rsidR="002A4B0D" w:rsidRPr="00DC2FB5">
        <w:rPr>
          <w:rFonts w:ascii="Arial" w:hAnsi="Arial" w:cs="Arial"/>
          <w:color w:val="000000"/>
          <w:sz w:val="24"/>
          <w:szCs w:val="24"/>
        </w:rPr>
        <w:t>.</w:t>
      </w:r>
    </w:p>
    <w:p w:rsidR="00032FBB" w:rsidRPr="00113940" w:rsidRDefault="00032FBB" w:rsidP="00DC2FB5">
      <w:pPr>
        <w:autoSpaceDE w:val="0"/>
        <w:autoSpaceDN w:val="0"/>
        <w:adjustRightInd w:val="0"/>
        <w:spacing w:after="0"/>
        <w:jc w:val="center"/>
        <w:rPr>
          <w:rFonts w:ascii="Arial" w:hAnsi="Arial" w:cs="Arial"/>
          <w:b/>
          <w:color w:val="000000"/>
          <w:sz w:val="32"/>
          <w:szCs w:val="32"/>
        </w:rPr>
      </w:pPr>
    </w:p>
    <w:p w:rsidR="001537B4" w:rsidRPr="00113940" w:rsidRDefault="001537B4" w:rsidP="00DC2FB5">
      <w:pPr>
        <w:autoSpaceDE w:val="0"/>
        <w:autoSpaceDN w:val="0"/>
        <w:adjustRightInd w:val="0"/>
        <w:spacing w:after="0"/>
        <w:jc w:val="center"/>
        <w:rPr>
          <w:rFonts w:ascii="Arial" w:hAnsi="Arial" w:cs="Arial"/>
          <w:b/>
          <w:color w:val="000000"/>
          <w:sz w:val="32"/>
          <w:szCs w:val="32"/>
        </w:rPr>
      </w:pPr>
    </w:p>
    <w:p w:rsidR="001537B4" w:rsidRPr="00113940" w:rsidRDefault="001537B4" w:rsidP="00DC2FB5">
      <w:pPr>
        <w:autoSpaceDE w:val="0"/>
        <w:autoSpaceDN w:val="0"/>
        <w:adjustRightInd w:val="0"/>
        <w:spacing w:after="0"/>
        <w:jc w:val="center"/>
        <w:rPr>
          <w:rFonts w:ascii="Arial" w:hAnsi="Arial" w:cs="Arial"/>
          <w:b/>
          <w:color w:val="000000"/>
          <w:sz w:val="32"/>
          <w:szCs w:val="32"/>
        </w:rPr>
      </w:pPr>
    </w:p>
    <w:p w:rsidR="001537B4" w:rsidRPr="00113940" w:rsidRDefault="001537B4" w:rsidP="00DC2FB5">
      <w:pPr>
        <w:autoSpaceDE w:val="0"/>
        <w:autoSpaceDN w:val="0"/>
        <w:adjustRightInd w:val="0"/>
        <w:spacing w:after="0"/>
        <w:jc w:val="center"/>
        <w:rPr>
          <w:rFonts w:ascii="Arial" w:hAnsi="Arial" w:cs="Arial"/>
          <w:b/>
          <w:color w:val="000000"/>
          <w:sz w:val="32"/>
          <w:szCs w:val="32"/>
        </w:rPr>
      </w:pPr>
    </w:p>
    <w:p w:rsidR="001537B4" w:rsidRPr="00113940" w:rsidRDefault="001537B4" w:rsidP="00DC2FB5">
      <w:pPr>
        <w:autoSpaceDE w:val="0"/>
        <w:autoSpaceDN w:val="0"/>
        <w:adjustRightInd w:val="0"/>
        <w:spacing w:after="0"/>
        <w:jc w:val="center"/>
        <w:rPr>
          <w:rFonts w:ascii="Arial" w:hAnsi="Arial" w:cs="Arial"/>
          <w:b/>
          <w:color w:val="000000"/>
          <w:sz w:val="32"/>
          <w:szCs w:val="32"/>
        </w:rPr>
      </w:pPr>
    </w:p>
    <w:p w:rsidR="001537B4" w:rsidRPr="00113940" w:rsidRDefault="001537B4" w:rsidP="00DC2FB5">
      <w:pPr>
        <w:autoSpaceDE w:val="0"/>
        <w:autoSpaceDN w:val="0"/>
        <w:adjustRightInd w:val="0"/>
        <w:spacing w:after="0"/>
        <w:jc w:val="center"/>
        <w:rPr>
          <w:rFonts w:ascii="Arial" w:hAnsi="Arial" w:cs="Arial"/>
          <w:b/>
          <w:color w:val="000000"/>
          <w:sz w:val="32"/>
          <w:szCs w:val="32"/>
        </w:rPr>
      </w:pPr>
    </w:p>
    <w:p w:rsidR="001537B4" w:rsidRPr="00113940" w:rsidRDefault="001537B4" w:rsidP="00DC2FB5">
      <w:pPr>
        <w:autoSpaceDE w:val="0"/>
        <w:autoSpaceDN w:val="0"/>
        <w:adjustRightInd w:val="0"/>
        <w:spacing w:after="0"/>
        <w:jc w:val="center"/>
        <w:rPr>
          <w:rFonts w:ascii="Arial" w:hAnsi="Arial" w:cs="Arial"/>
          <w:b/>
          <w:color w:val="000000"/>
          <w:sz w:val="32"/>
          <w:szCs w:val="32"/>
        </w:rPr>
      </w:pPr>
    </w:p>
    <w:p w:rsidR="001537B4" w:rsidRPr="00113940" w:rsidRDefault="001537B4" w:rsidP="00DC2FB5">
      <w:pPr>
        <w:autoSpaceDE w:val="0"/>
        <w:autoSpaceDN w:val="0"/>
        <w:adjustRightInd w:val="0"/>
        <w:spacing w:after="0"/>
        <w:jc w:val="center"/>
        <w:rPr>
          <w:rFonts w:ascii="Arial" w:hAnsi="Arial" w:cs="Arial"/>
          <w:b/>
          <w:color w:val="000000"/>
          <w:sz w:val="32"/>
          <w:szCs w:val="32"/>
        </w:rPr>
      </w:pPr>
    </w:p>
    <w:p w:rsidR="001537B4" w:rsidRPr="00113940" w:rsidRDefault="001537B4" w:rsidP="00DC2FB5">
      <w:pPr>
        <w:autoSpaceDE w:val="0"/>
        <w:autoSpaceDN w:val="0"/>
        <w:adjustRightInd w:val="0"/>
        <w:spacing w:after="0"/>
        <w:jc w:val="center"/>
        <w:rPr>
          <w:rFonts w:ascii="Arial" w:hAnsi="Arial" w:cs="Arial"/>
          <w:b/>
          <w:color w:val="000000"/>
          <w:sz w:val="32"/>
          <w:szCs w:val="32"/>
        </w:rPr>
      </w:pPr>
    </w:p>
    <w:p w:rsidR="001537B4" w:rsidRPr="00113940" w:rsidRDefault="001537B4" w:rsidP="00DC2FB5">
      <w:pPr>
        <w:autoSpaceDE w:val="0"/>
        <w:autoSpaceDN w:val="0"/>
        <w:adjustRightInd w:val="0"/>
        <w:spacing w:after="0"/>
        <w:jc w:val="center"/>
        <w:rPr>
          <w:rFonts w:ascii="Arial" w:hAnsi="Arial" w:cs="Arial"/>
          <w:b/>
          <w:color w:val="000000"/>
          <w:sz w:val="32"/>
          <w:szCs w:val="32"/>
        </w:rPr>
      </w:pPr>
    </w:p>
    <w:p w:rsidR="001537B4" w:rsidRPr="00113940" w:rsidRDefault="001537B4" w:rsidP="00DC2FB5">
      <w:pPr>
        <w:autoSpaceDE w:val="0"/>
        <w:autoSpaceDN w:val="0"/>
        <w:adjustRightInd w:val="0"/>
        <w:spacing w:after="0"/>
        <w:jc w:val="center"/>
        <w:rPr>
          <w:rFonts w:ascii="Arial" w:hAnsi="Arial" w:cs="Arial"/>
          <w:b/>
          <w:color w:val="000000"/>
          <w:sz w:val="32"/>
          <w:szCs w:val="32"/>
        </w:rPr>
      </w:pPr>
      <w:bookmarkStart w:id="0" w:name="_GoBack"/>
      <w:bookmarkEnd w:id="0"/>
    </w:p>
    <w:p w:rsidR="001537B4" w:rsidRPr="00113940" w:rsidRDefault="001537B4" w:rsidP="00DC2FB5">
      <w:pPr>
        <w:autoSpaceDE w:val="0"/>
        <w:autoSpaceDN w:val="0"/>
        <w:adjustRightInd w:val="0"/>
        <w:spacing w:after="0"/>
        <w:jc w:val="center"/>
        <w:rPr>
          <w:rFonts w:ascii="Arial" w:hAnsi="Arial" w:cs="Arial"/>
          <w:b/>
          <w:color w:val="000000"/>
          <w:sz w:val="32"/>
          <w:szCs w:val="32"/>
        </w:rPr>
      </w:pPr>
    </w:p>
    <w:p w:rsidR="001537B4" w:rsidRPr="00113940" w:rsidRDefault="001537B4" w:rsidP="00DC2FB5">
      <w:pPr>
        <w:autoSpaceDE w:val="0"/>
        <w:autoSpaceDN w:val="0"/>
        <w:adjustRightInd w:val="0"/>
        <w:spacing w:after="0"/>
        <w:jc w:val="center"/>
        <w:rPr>
          <w:rFonts w:ascii="Arial" w:hAnsi="Arial" w:cs="Arial"/>
          <w:b/>
          <w:color w:val="000000"/>
          <w:sz w:val="32"/>
          <w:szCs w:val="32"/>
        </w:rPr>
      </w:pPr>
    </w:p>
    <w:p w:rsidR="00DC2FB5" w:rsidRDefault="00A07AF6" w:rsidP="00DC2FB5">
      <w:pPr>
        <w:autoSpaceDE w:val="0"/>
        <w:autoSpaceDN w:val="0"/>
        <w:adjustRightInd w:val="0"/>
        <w:spacing w:after="0"/>
        <w:jc w:val="center"/>
        <w:rPr>
          <w:rFonts w:ascii="Arial" w:hAnsi="Arial" w:cs="Arial"/>
          <w:b/>
          <w:color w:val="000000"/>
          <w:sz w:val="32"/>
          <w:szCs w:val="32"/>
          <w:lang w:val="de-DE"/>
        </w:rPr>
      </w:pPr>
      <w:r w:rsidRPr="00DC2FB5">
        <w:rPr>
          <w:rFonts w:ascii="Arial" w:hAnsi="Arial" w:cs="Arial"/>
          <w:b/>
          <w:color w:val="000000"/>
          <w:sz w:val="32"/>
          <w:szCs w:val="32"/>
          <w:lang w:val="de-DE"/>
        </w:rPr>
        <w:t>POTENŢIALUL MINIER AL MEXICULUI</w:t>
      </w:r>
    </w:p>
    <w:p w:rsidR="00032FBB" w:rsidRPr="00DC2FB5" w:rsidRDefault="00032FBB" w:rsidP="00DC2FB5">
      <w:pPr>
        <w:autoSpaceDE w:val="0"/>
        <w:autoSpaceDN w:val="0"/>
        <w:adjustRightInd w:val="0"/>
        <w:spacing w:after="0"/>
        <w:jc w:val="center"/>
        <w:rPr>
          <w:rFonts w:ascii="Arial" w:hAnsi="Arial" w:cs="Arial"/>
          <w:b/>
          <w:color w:val="000000"/>
          <w:sz w:val="32"/>
          <w:szCs w:val="32"/>
          <w:lang w:val="de-DE"/>
        </w:rPr>
      </w:pPr>
    </w:p>
    <w:tbl>
      <w:tblPr>
        <w:tblStyle w:val="TableGrid"/>
        <w:tblW w:w="10710" w:type="dxa"/>
        <w:tblInd w:w="-252" w:type="dxa"/>
        <w:tblLook w:val="04A0" w:firstRow="1" w:lastRow="0" w:firstColumn="1" w:lastColumn="0" w:noHBand="0" w:noVBand="1"/>
      </w:tblPr>
      <w:tblGrid>
        <w:gridCol w:w="6552"/>
        <w:gridCol w:w="4158"/>
      </w:tblGrid>
      <w:tr w:rsidR="00A07AF6" w:rsidRPr="00113940" w:rsidTr="00DC2FB5">
        <w:trPr>
          <w:trHeight w:val="6360"/>
        </w:trPr>
        <w:tc>
          <w:tcPr>
            <w:tcW w:w="6210" w:type="dxa"/>
          </w:tcPr>
          <w:p w:rsidR="00A07AF6" w:rsidRPr="00DC2FB5" w:rsidRDefault="00A07AF6" w:rsidP="00DC2FB5">
            <w:pPr>
              <w:autoSpaceDE w:val="0"/>
              <w:autoSpaceDN w:val="0"/>
              <w:adjustRightInd w:val="0"/>
              <w:spacing w:line="276" w:lineRule="auto"/>
              <w:rPr>
                <w:rFonts w:ascii="Arial" w:hAnsi="Arial" w:cs="Arial"/>
                <w:b/>
                <w:sz w:val="24"/>
                <w:szCs w:val="24"/>
              </w:rPr>
            </w:pPr>
            <w:r w:rsidRPr="00DC2FB5">
              <w:rPr>
                <w:rFonts w:ascii="Arial" w:hAnsi="Arial" w:cs="Arial"/>
                <w:b/>
                <w:sz w:val="24"/>
                <w:szCs w:val="24"/>
              </w:rPr>
              <w:t xml:space="preserve">• 70% din </w:t>
            </w:r>
            <w:r w:rsidR="005A3A2D">
              <w:rPr>
                <w:rFonts w:ascii="Arial" w:hAnsi="Arial" w:cs="Arial"/>
                <w:b/>
                <w:sz w:val="24"/>
                <w:szCs w:val="24"/>
              </w:rPr>
              <w:t xml:space="preserve">teritoriul </w:t>
            </w:r>
            <w:r w:rsidRPr="00DC2FB5">
              <w:rPr>
                <w:rFonts w:ascii="Arial" w:hAnsi="Arial" w:cs="Arial"/>
                <w:b/>
                <w:sz w:val="24"/>
                <w:szCs w:val="24"/>
              </w:rPr>
              <w:t>ţ</w:t>
            </w:r>
            <w:r w:rsidR="005A3A2D">
              <w:rPr>
                <w:rFonts w:ascii="Arial" w:hAnsi="Arial" w:cs="Arial"/>
                <w:b/>
                <w:sz w:val="24"/>
                <w:szCs w:val="24"/>
              </w:rPr>
              <w:t>ării</w:t>
            </w:r>
            <w:r w:rsidRPr="00DC2FB5">
              <w:rPr>
                <w:rFonts w:ascii="Arial" w:hAnsi="Arial" w:cs="Arial"/>
                <w:b/>
                <w:sz w:val="24"/>
                <w:szCs w:val="24"/>
              </w:rPr>
              <w:t xml:space="preserve"> </w:t>
            </w:r>
            <w:r w:rsidR="005A3A2D">
              <w:rPr>
                <w:rFonts w:ascii="Arial" w:hAnsi="Arial" w:cs="Arial"/>
                <w:b/>
                <w:sz w:val="24"/>
                <w:szCs w:val="24"/>
              </w:rPr>
              <w:t xml:space="preserve">are o structură cu </w:t>
            </w:r>
            <w:r w:rsidRPr="00DC2FB5">
              <w:rPr>
                <w:rFonts w:ascii="Arial" w:hAnsi="Arial" w:cs="Arial"/>
                <w:b/>
                <w:sz w:val="24"/>
                <w:szCs w:val="24"/>
              </w:rPr>
              <w:t>caracteristici geologice miniere</w:t>
            </w:r>
          </w:p>
          <w:p w:rsidR="00A07AF6" w:rsidRPr="00DC2FB5" w:rsidRDefault="00A07AF6" w:rsidP="00DC2FB5">
            <w:pPr>
              <w:autoSpaceDE w:val="0"/>
              <w:autoSpaceDN w:val="0"/>
              <w:adjustRightInd w:val="0"/>
              <w:spacing w:line="276" w:lineRule="auto"/>
              <w:rPr>
                <w:rFonts w:ascii="Arial" w:hAnsi="Arial" w:cs="Arial"/>
                <w:b/>
                <w:sz w:val="24"/>
                <w:szCs w:val="24"/>
              </w:rPr>
            </w:pPr>
            <w:r w:rsidRPr="00DC2FB5">
              <w:rPr>
                <w:rFonts w:ascii="Arial" w:hAnsi="Arial" w:cs="Arial"/>
                <w:b/>
                <w:sz w:val="24"/>
                <w:szCs w:val="24"/>
              </w:rPr>
              <w:t>• Doar 27% din teritoriul naţional a fost explorat</w:t>
            </w:r>
          </w:p>
          <w:p w:rsidR="00A07AF6" w:rsidRPr="00DC2FB5" w:rsidRDefault="00A07AF6" w:rsidP="00DC2FB5">
            <w:pPr>
              <w:autoSpaceDE w:val="0"/>
              <w:autoSpaceDN w:val="0"/>
              <w:adjustRightInd w:val="0"/>
              <w:spacing w:line="276" w:lineRule="auto"/>
              <w:rPr>
                <w:rFonts w:ascii="Arial" w:hAnsi="Arial" w:cs="Arial"/>
              </w:rPr>
            </w:pPr>
            <w:r w:rsidRPr="00DC2FB5">
              <w:rPr>
                <w:rFonts w:ascii="Arial" w:hAnsi="Arial" w:cs="Arial"/>
                <w:i/>
                <w:iCs/>
                <w:noProof/>
                <w:color w:val="000000"/>
                <w:lang w:val="en-GB" w:eastAsia="en-GB"/>
              </w:rPr>
              <w:drawing>
                <wp:inline distT="0" distB="0" distL="0" distR="0" wp14:anchorId="1DF5CA4C" wp14:editId="795E8E94">
                  <wp:extent cx="4023360" cy="415124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23360" cy="4151244"/>
                          </a:xfrm>
                          <a:prstGeom prst="rect">
                            <a:avLst/>
                          </a:prstGeom>
                          <a:noFill/>
                          <a:ln>
                            <a:noFill/>
                          </a:ln>
                        </pic:spPr>
                      </pic:pic>
                    </a:graphicData>
                  </a:graphic>
                </wp:inline>
              </w:drawing>
            </w:r>
          </w:p>
          <w:p w:rsidR="00A07AF6" w:rsidRPr="00DC2FB5" w:rsidRDefault="00A07AF6" w:rsidP="00DC2FB5">
            <w:pPr>
              <w:autoSpaceDE w:val="0"/>
              <w:autoSpaceDN w:val="0"/>
              <w:adjustRightInd w:val="0"/>
              <w:spacing w:line="276" w:lineRule="auto"/>
              <w:rPr>
                <w:rFonts w:ascii="Arial" w:hAnsi="Arial" w:cs="Arial"/>
                <w:color w:val="000000"/>
              </w:rPr>
            </w:pPr>
          </w:p>
        </w:tc>
        <w:tc>
          <w:tcPr>
            <w:tcW w:w="4500" w:type="dxa"/>
          </w:tcPr>
          <w:p w:rsidR="00A07AF6" w:rsidRPr="00DC2FB5" w:rsidRDefault="00A07AF6" w:rsidP="00DC2FB5">
            <w:pPr>
              <w:autoSpaceDE w:val="0"/>
              <w:autoSpaceDN w:val="0"/>
              <w:adjustRightInd w:val="0"/>
              <w:spacing w:line="276" w:lineRule="auto"/>
              <w:rPr>
                <w:rFonts w:ascii="Arial" w:hAnsi="Arial" w:cs="Arial"/>
              </w:rPr>
            </w:pPr>
          </w:p>
          <w:p w:rsidR="00A07AF6" w:rsidRPr="00DC2FB5" w:rsidRDefault="00A07AF6" w:rsidP="00DC2FB5">
            <w:pPr>
              <w:autoSpaceDE w:val="0"/>
              <w:autoSpaceDN w:val="0"/>
              <w:adjustRightInd w:val="0"/>
              <w:spacing w:line="276" w:lineRule="auto"/>
              <w:rPr>
                <w:rFonts w:ascii="Arial" w:hAnsi="Arial" w:cs="Arial"/>
              </w:rPr>
            </w:pPr>
          </w:p>
          <w:p w:rsidR="00A07AF6" w:rsidRPr="00DC2FB5" w:rsidRDefault="00A07AF6" w:rsidP="00DC2FB5">
            <w:pPr>
              <w:autoSpaceDE w:val="0"/>
              <w:autoSpaceDN w:val="0"/>
              <w:adjustRightInd w:val="0"/>
              <w:spacing w:line="276" w:lineRule="auto"/>
              <w:rPr>
                <w:rFonts w:ascii="Arial" w:hAnsi="Arial" w:cs="Arial"/>
              </w:rPr>
            </w:pPr>
          </w:p>
          <w:p w:rsidR="00A07AF6" w:rsidRPr="00DC2FB5" w:rsidRDefault="00A07AF6" w:rsidP="00DC2FB5">
            <w:pPr>
              <w:autoSpaceDE w:val="0"/>
              <w:autoSpaceDN w:val="0"/>
              <w:adjustRightInd w:val="0"/>
              <w:spacing w:line="276" w:lineRule="auto"/>
              <w:rPr>
                <w:rFonts w:ascii="Arial" w:hAnsi="Arial" w:cs="Arial"/>
              </w:rPr>
            </w:pPr>
          </w:p>
          <w:p w:rsidR="00A07AF6" w:rsidRPr="00DC2FB5" w:rsidRDefault="00A07AF6" w:rsidP="00DC2FB5">
            <w:pPr>
              <w:autoSpaceDE w:val="0"/>
              <w:autoSpaceDN w:val="0"/>
              <w:adjustRightInd w:val="0"/>
              <w:spacing w:line="276" w:lineRule="auto"/>
              <w:rPr>
                <w:rFonts w:ascii="Arial" w:hAnsi="Arial" w:cs="Arial"/>
              </w:rPr>
            </w:pPr>
          </w:p>
          <w:p w:rsidR="00A07AF6" w:rsidRPr="00DC2FB5" w:rsidRDefault="00A07AF6" w:rsidP="00DC2FB5">
            <w:pPr>
              <w:autoSpaceDE w:val="0"/>
              <w:autoSpaceDN w:val="0"/>
              <w:adjustRightInd w:val="0"/>
              <w:spacing w:line="276" w:lineRule="auto"/>
              <w:rPr>
                <w:rFonts w:ascii="Arial" w:hAnsi="Arial" w:cs="Arial"/>
                <w:sz w:val="24"/>
                <w:szCs w:val="24"/>
              </w:rPr>
            </w:pPr>
            <w:r w:rsidRPr="00DC2FB5">
              <w:rPr>
                <w:rFonts w:ascii="Arial" w:hAnsi="Arial" w:cs="Arial"/>
                <w:sz w:val="24"/>
                <w:szCs w:val="24"/>
                <w:shd w:val="clear" w:color="auto" w:fill="EEECE1" w:themeFill="background2"/>
              </w:rPr>
              <w:t>□</w:t>
            </w:r>
            <w:r w:rsidRPr="00DC2FB5">
              <w:rPr>
                <w:rFonts w:ascii="Arial" w:hAnsi="Arial" w:cs="Arial"/>
                <w:sz w:val="24"/>
                <w:szCs w:val="24"/>
              </w:rPr>
              <w:t>Aur-Argint-Cupru</w:t>
            </w:r>
          </w:p>
          <w:p w:rsidR="00A07AF6" w:rsidRPr="00DC2FB5" w:rsidRDefault="00A07AF6" w:rsidP="00DC2FB5">
            <w:pPr>
              <w:autoSpaceDE w:val="0"/>
              <w:autoSpaceDN w:val="0"/>
              <w:adjustRightInd w:val="0"/>
              <w:spacing w:line="276" w:lineRule="auto"/>
              <w:rPr>
                <w:rFonts w:ascii="Arial" w:hAnsi="Arial" w:cs="Arial"/>
                <w:sz w:val="24"/>
                <w:szCs w:val="24"/>
              </w:rPr>
            </w:pPr>
            <w:r w:rsidRPr="00DC2FB5">
              <w:rPr>
                <w:rFonts w:ascii="Arial" w:hAnsi="Arial" w:cs="Arial"/>
                <w:sz w:val="24"/>
                <w:szCs w:val="24"/>
                <w:shd w:val="clear" w:color="auto" w:fill="FBD4B4" w:themeFill="accent6" w:themeFillTint="66"/>
              </w:rPr>
              <w:t>□</w:t>
            </w:r>
            <w:r w:rsidRPr="00DC2FB5">
              <w:rPr>
                <w:rFonts w:ascii="Arial" w:hAnsi="Arial" w:cs="Arial"/>
                <w:sz w:val="24"/>
                <w:szCs w:val="24"/>
              </w:rPr>
              <w:t xml:space="preserve">Cupru-Molibden-Aur </w:t>
            </w:r>
          </w:p>
          <w:p w:rsidR="00A06ECA" w:rsidRPr="00DC2FB5" w:rsidRDefault="00A07AF6" w:rsidP="00DC2FB5">
            <w:pPr>
              <w:autoSpaceDE w:val="0"/>
              <w:autoSpaceDN w:val="0"/>
              <w:adjustRightInd w:val="0"/>
              <w:spacing w:line="276" w:lineRule="auto"/>
              <w:rPr>
                <w:rFonts w:ascii="Arial" w:hAnsi="Arial" w:cs="Arial"/>
                <w:sz w:val="24"/>
                <w:szCs w:val="24"/>
              </w:rPr>
            </w:pPr>
            <w:r w:rsidRPr="00DC2FB5">
              <w:rPr>
                <w:rFonts w:ascii="Arial" w:hAnsi="Arial" w:cs="Arial"/>
                <w:sz w:val="24"/>
                <w:szCs w:val="24"/>
                <w:shd w:val="clear" w:color="auto" w:fill="A6A6A6" w:themeFill="background1" w:themeFillShade="A6"/>
              </w:rPr>
              <w:t>□</w:t>
            </w:r>
            <w:r w:rsidRPr="00DC2FB5">
              <w:rPr>
                <w:rFonts w:ascii="Arial" w:hAnsi="Arial" w:cs="Arial"/>
                <w:sz w:val="24"/>
                <w:szCs w:val="24"/>
              </w:rPr>
              <w:t>Zinc-Plumb-Argint-</w:t>
            </w:r>
          </w:p>
          <w:p w:rsidR="00A07AF6" w:rsidRPr="00113940" w:rsidRDefault="00A07AF6" w:rsidP="00DC2FB5">
            <w:pPr>
              <w:autoSpaceDE w:val="0"/>
              <w:autoSpaceDN w:val="0"/>
              <w:adjustRightInd w:val="0"/>
              <w:spacing w:line="276" w:lineRule="auto"/>
              <w:rPr>
                <w:rFonts w:ascii="Arial" w:hAnsi="Arial" w:cs="Arial"/>
                <w:sz w:val="24"/>
                <w:szCs w:val="24"/>
                <w:lang w:val="de-DE"/>
              </w:rPr>
            </w:pPr>
            <w:r w:rsidRPr="00113940">
              <w:rPr>
                <w:rFonts w:ascii="Arial" w:hAnsi="Arial" w:cs="Arial"/>
                <w:sz w:val="24"/>
                <w:szCs w:val="24"/>
                <w:shd w:val="clear" w:color="auto" w:fill="00B050"/>
                <w:lang w:val="de-DE"/>
              </w:rPr>
              <w:t>□</w:t>
            </w:r>
            <w:r w:rsidRPr="00113940">
              <w:rPr>
                <w:rFonts w:ascii="Arial" w:hAnsi="Arial" w:cs="Arial"/>
                <w:sz w:val="24"/>
                <w:szCs w:val="24"/>
                <w:lang w:val="de-DE"/>
              </w:rPr>
              <w:t>Aur-Argint-Cupru</w:t>
            </w:r>
          </w:p>
          <w:p w:rsidR="00A07AF6" w:rsidRPr="00DC2FB5" w:rsidRDefault="00A07AF6" w:rsidP="00DC2FB5">
            <w:pPr>
              <w:autoSpaceDE w:val="0"/>
              <w:autoSpaceDN w:val="0"/>
              <w:adjustRightInd w:val="0"/>
              <w:spacing w:line="276" w:lineRule="auto"/>
              <w:rPr>
                <w:rFonts w:ascii="Arial" w:hAnsi="Arial" w:cs="Arial"/>
                <w:sz w:val="24"/>
                <w:szCs w:val="24"/>
                <w:lang w:val="de-DE"/>
              </w:rPr>
            </w:pPr>
            <w:r w:rsidRPr="00DC2FB5">
              <w:rPr>
                <w:rFonts w:ascii="Arial" w:hAnsi="Arial" w:cs="Arial"/>
                <w:sz w:val="24"/>
                <w:szCs w:val="24"/>
                <w:shd w:val="clear" w:color="auto" w:fill="CCC0D9" w:themeFill="accent4" w:themeFillTint="66"/>
                <w:lang w:val="de-DE"/>
              </w:rPr>
              <w:t>□</w:t>
            </w:r>
            <w:r w:rsidRPr="00DC2FB5">
              <w:rPr>
                <w:rFonts w:ascii="Arial" w:hAnsi="Arial" w:cs="Arial"/>
                <w:sz w:val="24"/>
                <w:szCs w:val="24"/>
                <w:lang w:val="de-DE"/>
              </w:rPr>
              <w:t>Sulfuri masive (Au, Ag, Zn, Cu, Pb)</w:t>
            </w:r>
          </w:p>
          <w:p w:rsidR="00A07AF6" w:rsidRPr="00113940" w:rsidRDefault="00A07AF6" w:rsidP="00DC2FB5">
            <w:pPr>
              <w:autoSpaceDE w:val="0"/>
              <w:autoSpaceDN w:val="0"/>
              <w:adjustRightInd w:val="0"/>
              <w:spacing w:line="276" w:lineRule="auto"/>
              <w:rPr>
                <w:rFonts w:ascii="Arial" w:hAnsi="Arial" w:cs="Arial"/>
                <w:sz w:val="24"/>
                <w:szCs w:val="24"/>
                <w:lang w:val="de-DE"/>
              </w:rPr>
            </w:pPr>
            <w:r w:rsidRPr="00113940">
              <w:rPr>
                <w:rFonts w:ascii="Arial" w:hAnsi="Arial" w:cs="Arial"/>
                <w:sz w:val="24"/>
                <w:szCs w:val="24"/>
                <w:shd w:val="clear" w:color="auto" w:fill="E36C0A" w:themeFill="accent6" w:themeFillShade="BF"/>
                <w:lang w:val="de-DE"/>
              </w:rPr>
              <w:t>□</w:t>
            </w:r>
            <w:r w:rsidRPr="00113940">
              <w:rPr>
                <w:rFonts w:ascii="Arial" w:hAnsi="Arial" w:cs="Arial"/>
                <w:sz w:val="24"/>
                <w:szCs w:val="24"/>
                <w:lang w:val="de-DE"/>
              </w:rPr>
              <w:t>Fier</w:t>
            </w:r>
          </w:p>
          <w:p w:rsidR="00A07AF6" w:rsidRPr="00113940" w:rsidRDefault="00A07AF6" w:rsidP="00DC2FB5">
            <w:pPr>
              <w:autoSpaceDE w:val="0"/>
              <w:autoSpaceDN w:val="0"/>
              <w:adjustRightInd w:val="0"/>
              <w:spacing w:line="276" w:lineRule="auto"/>
              <w:rPr>
                <w:rFonts w:ascii="Arial" w:hAnsi="Arial" w:cs="Arial"/>
                <w:sz w:val="24"/>
                <w:szCs w:val="24"/>
                <w:lang w:val="de-DE"/>
              </w:rPr>
            </w:pPr>
            <w:r w:rsidRPr="00113940">
              <w:rPr>
                <w:rFonts w:ascii="Arial" w:hAnsi="Arial" w:cs="Arial"/>
                <w:sz w:val="24"/>
                <w:szCs w:val="24"/>
                <w:shd w:val="clear" w:color="auto" w:fill="92D050"/>
                <w:lang w:val="de-DE"/>
              </w:rPr>
              <w:t>□</w:t>
            </w:r>
            <w:r w:rsidRPr="00113940">
              <w:rPr>
                <w:rFonts w:ascii="Arial" w:hAnsi="Arial" w:cs="Arial"/>
                <w:sz w:val="24"/>
                <w:szCs w:val="24"/>
                <w:lang w:val="de-DE"/>
              </w:rPr>
              <w:t>Cărbune</w:t>
            </w:r>
          </w:p>
          <w:p w:rsidR="00A07AF6" w:rsidRPr="00113940" w:rsidRDefault="00A07AF6" w:rsidP="00DC2FB5">
            <w:pPr>
              <w:autoSpaceDE w:val="0"/>
              <w:autoSpaceDN w:val="0"/>
              <w:adjustRightInd w:val="0"/>
              <w:spacing w:line="276" w:lineRule="auto"/>
              <w:rPr>
                <w:rFonts w:ascii="Arial" w:hAnsi="Arial" w:cs="Arial"/>
                <w:sz w:val="24"/>
                <w:szCs w:val="24"/>
                <w:lang w:val="de-DE"/>
              </w:rPr>
            </w:pPr>
            <w:r w:rsidRPr="00113940">
              <w:rPr>
                <w:rFonts w:ascii="Arial" w:hAnsi="Arial" w:cs="Arial"/>
                <w:sz w:val="24"/>
                <w:szCs w:val="24"/>
                <w:shd w:val="clear" w:color="auto" w:fill="C6D9F1" w:themeFill="text2" w:themeFillTint="33"/>
                <w:lang w:val="de-DE"/>
              </w:rPr>
              <w:t>□</w:t>
            </w:r>
            <w:r w:rsidRPr="00113940">
              <w:rPr>
                <w:rFonts w:ascii="Arial" w:hAnsi="Arial" w:cs="Arial"/>
                <w:sz w:val="24"/>
                <w:szCs w:val="24"/>
                <w:lang w:val="de-DE"/>
              </w:rPr>
              <w:t>Stronţiu</w:t>
            </w:r>
          </w:p>
          <w:p w:rsidR="00A07AF6" w:rsidRPr="00113940" w:rsidRDefault="00A07AF6" w:rsidP="00DC2FB5">
            <w:pPr>
              <w:autoSpaceDE w:val="0"/>
              <w:autoSpaceDN w:val="0"/>
              <w:adjustRightInd w:val="0"/>
              <w:spacing w:line="276" w:lineRule="auto"/>
              <w:rPr>
                <w:rFonts w:ascii="Arial" w:hAnsi="Arial" w:cs="Arial"/>
                <w:sz w:val="24"/>
                <w:szCs w:val="24"/>
                <w:lang w:val="de-DE"/>
              </w:rPr>
            </w:pPr>
            <w:r w:rsidRPr="00113940">
              <w:rPr>
                <w:rFonts w:ascii="Arial" w:hAnsi="Arial" w:cs="Arial"/>
                <w:sz w:val="24"/>
                <w:szCs w:val="24"/>
                <w:shd w:val="clear" w:color="auto" w:fill="E5DFEC" w:themeFill="accent4" w:themeFillTint="33"/>
                <w:lang w:val="de-DE"/>
              </w:rPr>
              <w:t>□</w:t>
            </w:r>
            <w:r w:rsidRPr="00113940">
              <w:rPr>
                <w:rFonts w:ascii="Arial" w:hAnsi="Arial" w:cs="Arial"/>
                <w:sz w:val="24"/>
                <w:szCs w:val="24"/>
                <w:lang w:val="de-DE"/>
              </w:rPr>
              <w:t>Fluor</w:t>
            </w:r>
          </w:p>
          <w:p w:rsidR="00A07AF6" w:rsidRPr="00113940" w:rsidRDefault="00A07AF6" w:rsidP="00DC2FB5">
            <w:pPr>
              <w:autoSpaceDE w:val="0"/>
              <w:autoSpaceDN w:val="0"/>
              <w:adjustRightInd w:val="0"/>
              <w:spacing w:line="276" w:lineRule="auto"/>
              <w:rPr>
                <w:rFonts w:ascii="Arial" w:hAnsi="Arial" w:cs="Arial"/>
                <w:sz w:val="24"/>
                <w:szCs w:val="24"/>
                <w:lang w:val="de-DE"/>
              </w:rPr>
            </w:pPr>
            <w:r w:rsidRPr="00113940">
              <w:rPr>
                <w:rFonts w:ascii="Arial" w:hAnsi="Arial" w:cs="Arial"/>
                <w:sz w:val="24"/>
                <w:szCs w:val="24"/>
                <w:shd w:val="clear" w:color="auto" w:fill="7030A0"/>
                <w:lang w:val="de-DE"/>
              </w:rPr>
              <w:t>□</w:t>
            </w:r>
            <w:r w:rsidRPr="00113940">
              <w:rPr>
                <w:rFonts w:ascii="Arial" w:hAnsi="Arial" w:cs="Arial"/>
                <w:sz w:val="24"/>
                <w:szCs w:val="24"/>
                <w:lang w:val="de-DE"/>
              </w:rPr>
              <w:t>Mangan</w:t>
            </w:r>
          </w:p>
          <w:p w:rsidR="00A07AF6" w:rsidRPr="00113940" w:rsidRDefault="00A07AF6" w:rsidP="00DC2FB5">
            <w:pPr>
              <w:autoSpaceDE w:val="0"/>
              <w:autoSpaceDN w:val="0"/>
              <w:adjustRightInd w:val="0"/>
              <w:spacing w:line="276" w:lineRule="auto"/>
              <w:rPr>
                <w:rFonts w:ascii="Arial" w:hAnsi="Arial" w:cs="Arial"/>
                <w:sz w:val="24"/>
                <w:szCs w:val="24"/>
                <w:lang w:val="de-DE"/>
              </w:rPr>
            </w:pPr>
            <w:r w:rsidRPr="00113940">
              <w:rPr>
                <w:rFonts w:ascii="Arial" w:hAnsi="Arial" w:cs="Arial"/>
                <w:sz w:val="24"/>
                <w:szCs w:val="24"/>
                <w:shd w:val="clear" w:color="auto" w:fill="92D050"/>
                <w:lang w:val="de-DE"/>
              </w:rPr>
              <w:t>□</w:t>
            </w:r>
            <w:r w:rsidRPr="00113940">
              <w:rPr>
                <w:rFonts w:ascii="Arial" w:hAnsi="Arial" w:cs="Arial"/>
                <w:sz w:val="24"/>
                <w:szCs w:val="24"/>
                <w:lang w:val="de-DE"/>
              </w:rPr>
              <w:t>Fosfaţi</w:t>
            </w:r>
          </w:p>
          <w:p w:rsidR="00A07AF6" w:rsidRPr="00113940" w:rsidRDefault="00A07AF6" w:rsidP="00DC2FB5">
            <w:pPr>
              <w:autoSpaceDE w:val="0"/>
              <w:autoSpaceDN w:val="0"/>
              <w:adjustRightInd w:val="0"/>
              <w:spacing w:line="276" w:lineRule="auto"/>
              <w:rPr>
                <w:rFonts w:ascii="Arial" w:hAnsi="Arial" w:cs="Arial"/>
                <w:lang w:val="de-DE"/>
              </w:rPr>
            </w:pPr>
          </w:p>
        </w:tc>
      </w:tr>
    </w:tbl>
    <w:p w:rsidR="00CA45CC" w:rsidRPr="00113940" w:rsidRDefault="00CA45CC" w:rsidP="00DC2FB5">
      <w:pPr>
        <w:autoSpaceDE w:val="0"/>
        <w:autoSpaceDN w:val="0"/>
        <w:adjustRightInd w:val="0"/>
        <w:spacing w:after="0"/>
        <w:rPr>
          <w:rFonts w:ascii="Arial" w:hAnsi="Arial" w:cs="Arial"/>
          <w:b/>
          <w:color w:val="000000"/>
          <w:sz w:val="24"/>
          <w:szCs w:val="24"/>
          <w:lang w:val="de-DE"/>
        </w:rPr>
      </w:pPr>
    </w:p>
    <w:p w:rsidR="00B424DC" w:rsidRPr="008A3343" w:rsidRDefault="00A06ECA" w:rsidP="00DC2FB5">
      <w:pPr>
        <w:autoSpaceDE w:val="0"/>
        <w:autoSpaceDN w:val="0"/>
        <w:adjustRightInd w:val="0"/>
        <w:spacing w:after="0"/>
        <w:rPr>
          <w:rFonts w:ascii="Arial" w:hAnsi="Arial" w:cs="Arial"/>
          <w:b/>
          <w:color w:val="000000"/>
          <w:sz w:val="24"/>
          <w:szCs w:val="24"/>
        </w:rPr>
      </w:pPr>
      <w:r w:rsidRPr="008A3343">
        <w:rPr>
          <w:rFonts w:ascii="Arial" w:hAnsi="Arial" w:cs="Arial"/>
          <w:b/>
          <w:color w:val="000000"/>
          <w:sz w:val="24"/>
          <w:szCs w:val="24"/>
        </w:rPr>
        <w:t xml:space="preserve">CLASAMENT MONDIAL </w:t>
      </w:r>
      <w:r w:rsidR="00DC2FB5" w:rsidRPr="008A3343">
        <w:rPr>
          <w:rFonts w:ascii="Arial" w:hAnsi="Arial" w:cs="Arial"/>
          <w:b/>
          <w:color w:val="000000"/>
          <w:sz w:val="24"/>
          <w:szCs w:val="24"/>
        </w:rPr>
        <w:t xml:space="preserve">în </w:t>
      </w:r>
      <w:r w:rsidR="00032FBB" w:rsidRPr="008A3343">
        <w:rPr>
          <w:rFonts w:ascii="Arial" w:hAnsi="Arial" w:cs="Arial"/>
          <w:b/>
          <w:color w:val="000000"/>
          <w:sz w:val="24"/>
          <w:szCs w:val="24"/>
        </w:rPr>
        <w:t>PRODUC</w:t>
      </w:r>
      <w:r w:rsidR="00032FBB" w:rsidRPr="008A3343">
        <w:rPr>
          <w:rFonts w:ascii="Arial" w:hAnsi="Arial" w:cs="Arial"/>
          <w:b/>
          <w:color w:val="000000"/>
          <w:sz w:val="24"/>
          <w:szCs w:val="24"/>
          <w:lang w:val="ro-RO"/>
        </w:rPr>
        <w:t>ŢIA MINIERĂ</w:t>
      </w:r>
      <w:r w:rsidRPr="008A3343">
        <w:rPr>
          <w:rFonts w:ascii="Arial" w:hAnsi="Arial" w:cs="Arial"/>
          <w:b/>
          <w:color w:val="000000"/>
          <w:sz w:val="24"/>
          <w:szCs w:val="24"/>
        </w:rPr>
        <w:t xml:space="preserve"> A MEXICULUI</w:t>
      </w:r>
    </w:p>
    <w:p w:rsidR="00B424DC" w:rsidRPr="008A3343" w:rsidRDefault="00B424DC" w:rsidP="00DC2FB5">
      <w:pPr>
        <w:autoSpaceDE w:val="0"/>
        <w:autoSpaceDN w:val="0"/>
        <w:adjustRightInd w:val="0"/>
        <w:spacing w:after="0"/>
        <w:rPr>
          <w:rFonts w:ascii="Arial" w:hAnsi="Arial" w:cs="Arial"/>
          <w:color w:val="000000"/>
          <w:sz w:val="24"/>
          <w:szCs w:val="24"/>
        </w:rPr>
      </w:pPr>
    </w:p>
    <w:tbl>
      <w:tblPr>
        <w:tblStyle w:val="TableGrid"/>
        <w:tblW w:w="10188" w:type="dxa"/>
        <w:tblLook w:val="04A0" w:firstRow="1" w:lastRow="0" w:firstColumn="1" w:lastColumn="0" w:noHBand="0" w:noVBand="1"/>
      </w:tblPr>
      <w:tblGrid>
        <w:gridCol w:w="1008"/>
        <w:gridCol w:w="1890"/>
        <w:gridCol w:w="1080"/>
        <w:gridCol w:w="2790"/>
        <w:gridCol w:w="1080"/>
        <w:gridCol w:w="2340"/>
      </w:tblGrid>
      <w:tr w:rsidR="00A06ECA" w:rsidRPr="008A3343" w:rsidTr="00DC2FB5">
        <w:tc>
          <w:tcPr>
            <w:tcW w:w="1008" w:type="dxa"/>
            <w:shd w:val="clear" w:color="auto" w:fill="E5DFEC" w:themeFill="accent4" w:themeFillTint="33"/>
          </w:tcPr>
          <w:p w:rsidR="00B424DC" w:rsidRPr="008A3343" w:rsidRDefault="00A06ECA" w:rsidP="00DC2FB5">
            <w:pPr>
              <w:autoSpaceDE w:val="0"/>
              <w:autoSpaceDN w:val="0"/>
              <w:adjustRightInd w:val="0"/>
              <w:spacing w:line="276" w:lineRule="auto"/>
              <w:rPr>
                <w:rFonts w:ascii="Arial" w:hAnsi="Arial" w:cs="Arial"/>
                <w:b/>
                <w:sz w:val="24"/>
                <w:szCs w:val="24"/>
              </w:rPr>
            </w:pPr>
            <w:r w:rsidRPr="008A3343">
              <w:rPr>
                <w:rFonts w:ascii="Arial" w:hAnsi="Arial" w:cs="Arial"/>
                <w:b/>
                <w:sz w:val="24"/>
                <w:szCs w:val="24"/>
              </w:rPr>
              <w:t xml:space="preserve">Locul </w:t>
            </w:r>
            <w:r w:rsidR="00B424DC" w:rsidRPr="008A3343">
              <w:rPr>
                <w:rFonts w:ascii="Arial" w:hAnsi="Arial" w:cs="Arial"/>
                <w:b/>
                <w:sz w:val="24"/>
                <w:szCs w:val="24"/>
              </w:rPr>
              <w:t>1</w:t>
            </w:r>
          </w:p>
        </w:tc>
        <w:tc>
          <w:tcPr>
            <w:tcW w:w="1890" w:type="dxa"/>
            <w:shd w:val="clear" w:color="auto" w:fill="DBE5F1" w:themeFill="accent1" w:themeFillTint="33"/>
          </w:tcPr>
          <w:p w:rsidR="00B424DC" w:rsidRPr="008A3343" w:rsidRDefault="00B424DC" w:rsidP="00DC2FB5">
            <w:pPr>
              <w:autoSpaceDE w:val="0"/>
              <w:autoSpaceDN w:val="0"/>
              <w:adjustRightInd w:val="0"/>
              <w:spacing w:line="276" w:lineRule="auto"/>
              <w:rPr>
                <w:rFonts w:ascii="Arial" w:hAnsi="Arial" w:cs="Arial"/>
                <w:b/>
                <w:color w:val="000000"/>
                <w:sz w:val="24"/>
                <w:szCs w:val="24"/>
              </w:rPr>
            </w:pPr>
            <w:r w:rsidRPr="008A3343">
              <w:rPr>
                <w:rFonts w:ascii="Arial" w:hAnsi="Arial" w:cs="Arial"/>
                <w:b/>
                <w:color w:val="000000"/>
                <w:sz w:val="24"/>
                <w:szCs w:val="24"/>
              </w:rPr>
              <w:t>Argint</w:t>
            </w:r>
          </w:p>
        </w:tc>
        <w:tc>
          <w:tcPr>
            <w:tcW w:w="1080" w:type="dxa"/>
            <w:shd w:val="clear" w:color="auto" w:fill="E5DFEC" w:themeFill="accent4" w:themeFillTint="33"/>
          </w:tcPr>
          <w:p w:rsidR="00B424DC" w:rsidRPr="008A3343" w:rsidRDefault="00A06ECA" w:rsidP="00DC2FB5">
            <w:pPr>
              <w:autoSpaceDE w:val="0"/>
              <w:autoSpaceDN w:val="0"/>
              <w:adjustRightInd w:val="0"/>
              <w:spacing w:line="276" w:lineRule="auto"/>
              <w:rPr>
                <w:rFonts w:ascii="Arial" w:hAnsi="Arial" w:cs="Arial"/>
                <w:b/>
                <w:color w:val="000000"/>
                <w:sz w:val="24"/>
                <w:szCs w:val="24"/>
              </w:rPr>
            </w:pPr>
            <w:r w:rsidRPr="008A3343">
              <w:rPr>
                <w:rFonts w:ascii="Arial" w:hAnsi="Arial" w:cs="Arial"/>
                <w:b/>
                <w:color w:val="000000"/>
                <w:sz w:val="24"/>
                <w:szCs w:val="24"/>
              </w:rPr>
              <w:t>Locul 2</w:t>
            </w:r>
          </w:p>
        </w:tc>
        <w:tc>
          <w:tcPr>
            <w:tcW w:w="2790" w:type="dxa"/>
            <w:shd w:val="clear" w:color="auto" w:fill="DBE5F1" w:themeFill="accent1" w:themeFillTint="33"/>
          </w:tcPr>
          <w:p w:rsidR="00B424DC" w:rsidRPr="008A3343" w:rsidRDefault="00A06ECA" w:rsidP="00DC2FB5">
            <w:pPr>
              <w:autoSpaceDE w:val="0"/>
              <w:autoSpaceDN w:val="0"/>
              <w:adjustRightInd w:val="0"/>
              <w:spacing w:line="276" w:lineRule="auto"/>
              <w:rPr>
                <w:rFonts w:ascii="Arial" w:hAnsi="Arial" w:cs="Arial"/>
                <w:b/>
                <w:color w:val="000000"/>
                <w:sz w:val="24"/>
                <w:szCs w:val="24"/>
              </w:rPr>
            </w:pPr>
            <w:r w:rsidRPr="008A3343">
              <w:rPr>
                <w:rFonts w:ascii="Arial" w:hAnsi="Arial" w:cs="Arial"/>
                <w:b/>
                <w:color w:val="000000"/>
                <w:sz w:val="24"/>
                <w:szCs w:val="24"/>
              </w:rPr>
              <w:t>Bismut, Fl</w:t>
            </w:r>
            <w:r w:rsidR="001537B4" w:rsidRPr="008A3343">
              <w:rPr>
                <w:rFonts w:ascii="Arial" w:hAnsi="Arial" w:cs="Arial"/>
                <w:b/>
                <w:color w:val="000000"/>
                <w:sz w:val="24"/>
                <w:szCs w:val="24"/>
              </w:rPr>
              <w:t>u</w:t>
            </w:r>
            <w:r w:rsidRPr="008A3343">
              <w:rPr>
                <w:rFonts w:ascii="Arial" w:hAnsi="Arial" w:cs="Arial"/>
                <w:b/>
                <w:color w:val="000000"/>
                <w:sz w:val="24"/>
                <w:szCs w:val="24"/>
              </w:rPr>
              <w:t>or</w:t>
            </w:r>
          </w:p>
        </w:tc>
        <w:tc>
          <w:tcPr>
            <w:tcW w:w="1080" w:type="dxa"/>
            <w:shd w:val="clear" w:color="auto" w:fill="E5DFEC" w:themeFill="accent4" w:themeFillTint="33"/>
          </w:tcPr>
          <w:p w:rsidR="00B424DC" w:rsidRPr="008A3343" w:rsidRDefault="00A06ECA" w:rsidP="00DC2FB5">
            <w:pPr>
              <w:autoSpaceDE w:val="0"/>
              <w:autoSpaceDN w:val="0"/>
              <w:adjustRightInd w:val="0"/>
              <w:spacing w:line="276" w:lineRule="auto"/>
              <w:rPr>
                <w:rFonts w:ascii="Arial" w:hAnsi="Arial" w:cs="Arial"/>
                <w:b/>
                <w:color w:val="000000"/>
                <w:sz w:val="24"/>
                <w:szCs w:val="24"/>
              </w:rPr>
            </w:pPr>
            <w:r w:rsidRPr="008A3343">
              <w:rPr>
                <w:rFonts w:ascii="Arial" w:hAnsi="Arial" w:cs="Arial"/>
                <w:b/>
                <w:color w:val="000000"/>
                <w:sz w:val="24"/>
                <w:szCs w:val="24"/>
              </w:rPr>
              <w:t>Locul 3</w:t>
            </w:r>
          </w:p>
        </w:tc>
        <w:tc>
          <w:tcPr>
            <w:tcW w:w="2340" w:type="dxa"/>
            <w:shd w:val="clear" w:color="auto" w:fill="DBE5F1" w:themeFill="accent1" w:themeFillTint="33"/>
          </w:tcPr>
          <w:p w:rsidR="00B424DC" w:rsidRPr="008A3343" w:rsidRDefault="00A06ECA" w:rsidP="00DC2FB5">
            <w:pPr>
              <w:autoSpaceDE w:val="0"/>
              <w:autoSpaceDN w:val="0"/>
              <w:adjustRightInd w:val="0"/>
              <w:spacing w:line="276" w:lineRule="auto"/>
              <w:rPr>
                <w:rFonts w:ascii="Arial" w:hAnsi="Arial" w:cs="Arial"/>
                <w:b/>
                <w:sz w:val="24"/>
                <w:szCs w:val="24"/>
              </w:rPr>
            </w:pPr>
            <w:r w:rsidRPr="008A3343">
              <w:rPr>
                <w:rFonts w:ascii="Arial" w:hAnsi="Arial" w:cs="Arial"/>
                <w:b/>
                <w:sz w:val="24"/>
                <w:szCs w:val="24"/>
              </w:rPr>
              <w:t>Wolastonit, Stronţiu</w:t>
            </w:r>
          </w:p>
          <w:p w:rsidR="00DC2FB5" w:rsidRPr="008A3343" w:rsidRDefault="00DC2FB5" w:rsidP="00DC2FB5">
            <w:pPr>
              <w:autoSpaceDE w:val="0"/>
              <w:autoSpaceDN w:val="0"/>
              <w:adjustRightInd w:val="0"/>
              <w:spacing w:line="276" w:lineRule="auto"/>
              <w:rPr>
                <w:rFonts w:ascii="Arial" w:hAnsi="Arial" w:cs="Arial"/>
                <w:b/>
                <w:sz w:val="24"/>
                <w:szCs w:val="24"/>
              </w:rPr>
            </w:pPr>
          </w:p>
        </w:tc>
      </w:tr>
      <w:tr w:rsidR="00A06ECA" w:rsidRPr="008A3343" w:rsidTr="00DC2FB5">
        <w:tc>
          <w:tcPr>
            <w:tcW w:w="1008" w:type="dxa"/>
            <w:shd w:val="clear" w:color="auto" w:fill="E5DFEC" w:themeFill="accent4" w:themeFillTint="33"/>
          </w:tcPr>
          <w:p w:rsidR="00B424DC" w:rsidRPr="008A3343" w:rsidRDefault="00A06ECA" w:rsidP="00DC2FB5">
            <w:pPr>
              <w:autoSpaceDE w:val="0"/>
              <w:autoSpaceDN w:val="0"/>
              <w:adjustRightInd w:val="0"/>
              <w:spacing w:line="276" w:lineRule="auto"/>
              <w:rPr>
                <w:rFonts w:ascii="Arial" w:hAnsi="Arial" w:cs="Arial"/>
                <w:b/>
                <w:sz w:val="24"/>
                <w:szCs w:val="24"/>
              </w:rPr>
            </w:pPr>
            <w:r w:rsidRPr="008A3343">
              <w:rPr>
                <w:rFonts w:ascii="Arial" w:hAnsi="Arial" w:cs="Arial"/>
                <w:b/>
                <w:sz w:val="24"/>
                <w:szCs w:val="24"/>
              </w:rPr>
              <w:t>Locul 4</w:t>
            </w:r>
          </w:p>
        </w:tc>
        <w:tc>
          <w:tcPr>
            <w:tcW w:w="1890" w:type="dxa"/>
            <w:shd w:val="clear" w:color="auto" w:fill="DBE5F1" w:themeFill="accent1" w:themeFillTint="33"/>
          </w:tcPr>
          <w:p w:rsidR="00B424DC" w:rsidRPr="008A3343" w:rsidRDefault="00A06ECA" w:rsidP="00DC2FB5">
            <w:pPr>
              <w:autoSpaceDE w:val="0"/>
              <w:autoSpaceDN w:val="0"/>
              <w:adjustRightInd w:val="0"/>
              <w:spacing w:line="276" w:lineRule="auto"/>
              <w:rPr>
                <w:rFonts w:ascii="Arial" w:hAnsi="Arial" w:cs="Arial"/>
                <w:b/>
                <w:color w:val="000000"/>
                <w:sz w:val="24"/>
                <w:szCs w:val="24"/>
              </w:rPr>
            </w:pPr>
            <w:r w:rsidRPr="008A3343">
              <w:rPr>
                <w:rFonts w:ascii="Arial" w:hAnsi="Arial" w:cs="Arial"/>
                <w:b/>
                <w:color w:val="000000"/>
                <w:sz w:val="24"/>
                <w:szCs w:val="24"/>
              </w:rPr>
              <w:t>Cadmiu</w:t>
            </w:r>
          </w:p>
        </w:tc>
        <w:tc>
          <w:tcPr>
            <w:tcW w:w="1080" w:type="dxa"/>
            <w:shd w:val="clear" w:color="auto" w:fill="E5DFEC" w:themeFill="accent4" w:themeFillTint="33"/>
          </w:tcPr>
          <w:p w:rsidR="00B424DC" w:rsidRPr="008A3343" w:rsidRDefault="00A06ECA" w:rsidP="00DC2FB5">
            <w:pPr>
              <w:autoSpaceDE w:val="0"/>
              <w:autoSpaceDN w:val="0"/>
              <w:adjustRightInd w:val="0"/>
              <w:spacing w:line="276" w:lineRule="auto"/>
              <w:rPr>
                <w:rFonts w:ascii="Arial" w:hAnsi="Arial" w:cs="Arial"/>
                <w:b/>
                <w:color w:val="000000"/>
                <w:sz w:val="24"/>
                <w:szCs w:val="24"/>
              </w:rPr>
            </w:pPr>
            <w:r w:rsidRPr="008A3343">
              <w:rPr>
                <w:rFonts w:ascii="Arial" w:hAnsi="Arial" w:cs="Arial"/>
                <w:b/>
                <w:color w:val="000000"/>
                <w:sz w:val="24"/>
                <w:szCs w:val="24"/>
              </w:rPr>
              <w:t>Locul 5</w:t>
            </w:r>
          </w:p>
        </w:tc>
        <w:tc>
          <w:tcPr>
            <w:tcW w:w="2790" w:type="dxa"/>
            <w:shd w:val="clear" w:color="auto" w:fill="DBE5F1" w:themeFill="accent1" w:themeFillTint="33"/>
          </w:tcPr>
          <w:p w:rsidR="00B424DC" w:rsidRPr="008A3343" w:rsidRDefault="00A06ECA" w:rsidP="00DC2FB5">
            <w:pPr>
              <w:autoSpaceDE w:val="0"/>
              <w:autoSpaceDN w:val="0"/>
              <w:adjustRightInd w:val="0"/>
              <w:spacing w:line="276" w:lineRule="auto"/>
              <w:rPr>
                <w:rFonts w:ascii="Arial" w:hAnsi="Arial" w:cs="Arial"/>
                <w:b/>
                <w:color w:val="000000"/>
                <w:sz w:val="24"/>
                <w:szCs w:val="24"/>
              </w:rPr>
            </w:pPr>
            <w:r w:rsidRPr="008A3343">
              <w:rPr>
                <w:rFonts w:ascii="Arial" w:hAnsi="Arial" w:cs="Arial"/>
                <w:b/>
                <w:color w:val="000000"/>
                <w:sz w:val="24"/>
                <w:szCs w:val="24"/>
              </w:rPr>
              <w:t>Plumb, Molibden</w:t>
            </w:r>
          </w:p>
        </w:tc>
        <w:tc>
          <w:tcPr>
            <w:tcW w:w="1080" w:type="dxa"/>
            <w:shd w:val="clear" w:color="auto" w:fill="E5DFEC" w:themeFill="accent4" w:themeFillTint="33"/>
          </w:tcPr>
          <w:p w:rsidR="00B424DC" w:rsidRPr="008A3343" w:rsidRDefault="00A06ECA" w:rsidP="00DC2FB5">
            <w:pPr>
              <w:autoSpaceDE w:val="0"/>
              <w:autoSpaceDN w:val="0"/>
              <w:adjustRightInd w:val="0"/>
              <w:spacing w:line="276" w:lineRule="auto"/>
              <w:rPr>
                <w:rFonts w:ascii="Arial" w:hAnsi="Arial" w:cs="Arial"/>
                <w:b/>
                <w:color w:val="000000"/>
                <w:sz w:val="24"/>
                <w:szCs w:val="24"/>
              </w:rPr>
            </w:pPr>
            <w:r w:rsidRPr="008A3343">
              <w:rPr>
                <w:rFonts w:ascii="Arial" w:hAnsi="Arial" w:cs="Arial"/>
                <w:b/>
                <w:color w:val="000000"/>
                <w:sz w:val="24"/>
                <w:szCs w:val="24"/>
              </w:rPr>
              <w:t>Locul 6</w:t>
            </w:r>
          </w:p>
        </w:tc>
        <w:tc>
          <w:tcPr>
            <w:tcW w:w="2340" w:type="dxa"/>
            <w:shd w:val="clear" w:color="auto" w:fill="DBE5F1" w:themeFill="accent1" w:themeFillTint="33"/>
          </w:tcPr>
          <w:p w:rsidR="00B424DC" w:rsidRPr="008A3343" w:rsidRDefault="00A06ECA" w:rsidP="00DC2FB5">
            <w:pPr>
              <w:autoSpaceDE w:val="0"/>
              <w:autoSpaceDN w:val="0"/>
              <w:adjustRightInd w:val="0"/>
              <w:spacing w:line="276" w:lineRule="auto"/>
              <w:rPr>
                <w:rFonts w:ascii="Arial" w:hAnsi="Arial" w:cs="Arial"/>
                <w:b/>
                <w:sz w:val="24"/>
                <w:szCs w:val="24"/>
              </w:rPr>
            </w:pPr>
            <w:r w:rsidRPr="008A3343">
              <w:rPr>
                <w:rFonts w:ascii="Arial" w:hAnsi="Arial" w:cs="Arial"/>
                <w:b/>
                <w:sz w:val="24"/>
                <w:szCs w:val="24"/>
              </w:rPr>
              <w:t>Zinc</w:t>
            </w:r>
          </w:p>
          <w:p w:rsidR="00A06ECA" w:rsidRPr="008A3343" w:rsidRDefault="00A06ECA" w:rsidP="00DC2FB5">
            <w:pPr>
              <w:autoSpaceDE w:val="0"/>
              <w:autoSpaceDN w:val="0"/>
              <w:adjustRightInd w:val="0"/>
              <w:spacing w:line="276" w:lineRule="auto"/>
              <w:rPr>
                <w:rFonts w:ascii="Arial" w:hAnsi="Arial" w:cs="Arial"/>
                <w:b/>
                <w:sz w:val="24"/>
                <w:szCs w:val="24"/>
              </w:rPr>
            </w:pPr>
          </w:p>
        </w:tc>
      </w:tr>
      <w:tr w:rsidR="00A06ECA" w:rsidRPr="008A3343" w:rsidTr="00DC2FB5">
        <w:tc>
          <w:tcPr>
            <w:tcW w:w="1008" w:type="dxa"/>
            <w:shd w:val="clear" w:color="auto" w:fill="E5DFEC" w:themeFill="accent4" w:themeFillTint="33"/>
          </w:tcPr>
          <w:p w:rsidR="00B424DC" w:rsidRPr="008A3343" w:rsidRDefault="00A06ECA" w:rsidP="00DC2FB5">
            <w:pPr>
              <w:autoSpaceDE w:val="0"/>
              <w:autoSpaceDN w:val="0"/>
              <w:adjustRightInd w:val="0"/>
              <w:spacing w:line="276" w:lineRule="auto"/>
              <w:rPr>
                <w:rFonts w:ascii="Arial" w:hAnsi="Arial" w:cs="Arial"/>
                <w:b/>
                <w:sz w:val="24"/>
                <w:szCs w:val="24"/>
              </w:rPr>
            </w:pPr>
            <w:r w:rsidRPr="008A3343">
              <w:rPr>
                <w:rFonts w:ascii="Arial" w:hAnsi="Arial" w:cs="Arial"/>
                <w:b/>
                <w:sz w:val="24"/>
                <w:szCs w:val="24"/>
              </w:rPr>
              <w:t>Locul 7</w:t>
            </w:r>
          </w:p>
        </w:tc>
        <w:tc>
          <w:tcPr>
            <w:tcW w:w="1890" w:type="dxa"/>
            <w:shd w:val="clear" w:color="auto" w:fill="DBE5F1" w:themeFill="accent1" w:themeFillTint="33"/>
          </w:tcPr>
          <w:p w:rsidR="00B424DC" w:rsidRPr="008A3343" w:rsidRDefault="00A06ECA" w:rsidP="00DC2FB5">
            <w:pPr>
              <w:autoSpaceDE w:val="0"/>
              <w:autoSpaceDN w:val="0"/>
              <w:adjustRightInd w:val="0"/>
              <w:spacing w:line="276" w:lineRule="auto"/>
              <w:rPr>
                <w:rFonts w:ascii="Arial" w:hAnsi="Arial" w:cs="Arial"/>
                <w:b/>
                <w:color w:val="000000"/>
                <w:sz w:val="24"/>
                <w:szCs w:val="24"/>
              </w:rPr>
            </w:pPr>
            <w:r w:rsidRPr="008A3343">
              <w:rPr>
                <w:rFonts w:ascii="Arial" w:hAnsi="Arial" w:cs="Arial"/>
                <w:b/>
                <w:color w:val="000000"/>
                <w:sz w:val="24"/>
                <w:szCs w:val="24"/>
              </w:rPr>
              <w:t>Diatomit, Sare</w:t>
            </w:r>
          </w:p>
        </w:tc>
        <w:tc>
          <w:tcPr>
            <w:tcW w:w="1080" w:type="dxa"/>
            <w:shd w:val="clear" w:color="auto" w:fill="E5DFEC" w:themeFill="accent4" w:themeFillTint="33"/>
          </w:tcPr>
          <w:p w:rsidR="00B424DC" w:rsidRPr="008A3343" w:rsidRDefault="00A06ECA" w:rsidP="00DC2FB5">
            <w:pPr>
              <w:autoSpaceDE w:val="0"/>
              <w:autoSpaceDN w:val="0"/>
              <w:adjustRightInd w:val="0"/>
              <w:spacing w:line="276" w:lineRule="auto"/>
              <w:rPr>
                <w:rFonts w:ascii="Arial" w:hAnsi="Arial" w:cs="Arial"/>
                <w:b/>
                <w:color w:val="000000"/>
                <w:sz w:val="24"/>
                <w:szCs w:val="24"/>
              </w:rPr>
            </w:pPr>
            <w:r w:rsidRPr="008A3343">
              <w:rPr>
                <w:rFonts w:ascii="Arial" w:hAnsi="Arial" w:cs="Arial"/>
                <w:b/>
                <w:color w:val="000000"/>
                <w:sz w:val="24"/>
                <w:szCs w:val="24"/>
              </w:rPr>
              <w:t>Locul 8</w:t>
            </w:r>
          </w:p>
        </w:tc>
        <w:tc>
          <w:tcPr>
            <w:tcW w:w="2790" w:type="dxa"/>
            <w:shd w:val="clear" w:color="auto" w:fill="DBE5F1" w:themeFill="accent1" w:themeFillTint="33"/>
          </w:tcPr>
          <w:p w:rsidR="00B424DC" w:rsidRPr="008A3343" w:rsidRDefault="00A06ECA" w:rsidP="00DC2FB5">
            <w:pPr>
              <w:autoSpaceDE w:val="0"/>
              <w:autoSpaceDN w:val="0"/>
              <w:adjustRightInd w:val="0"/>
              <w:spacing w:line="276" w:lineRule="auto"/>
              <w:rPr>
                <w:rFonts w:ascii="Arial" w:hAnsi="Arial" w:cs="Arial"/>
                <w:b/>
                <w:color w:val="000000"/>
                <w:sz w:val="24"/>
                <w:szCs w:val="24"/>
              </w:rPr>
            </w:pPr>
            <w:r w:rsidRPr="008A3343">
              <w:rPr>
                <w:rFonts w:ascii="Arial" w:hAnsi="Arial" w:cs="Arial"/>
                <w:b/>
                <w:color w:val="000000"/>
                <w:sz w:val="24"/>
                <w:szCs w:val="24"/>
              </w:rPr>
              <w:t>Baritină, Aur, Gips, Grafit</w:t>
            </w:r>
          </w:p>
        </w:tc>
        <w:tc>
          <w:tcPr>
            <w:tcW w:w="1080" w:type="dxa"/>
            <w:shd w:val="clear" w:color="auto" w:fill="E5DFEC" w:themeFill="accent4" w:themeFillTint="33"/>
          </w:tcPr>
          <w:p w:rsidR="00B424DC" w:rsidRPr="008A3343" w:rsidRDefault="00A06ECA" w:rsidP="00DC2FB5">
            <w:pPr>
              <w:autoSpaceDE w:val="0"/>
              <w:autoSpaceDN w:val="0"/>
              <w:adjustRightInd w:val="0"/>
              <w:spacing w:line="276" w:lineRule="auto"/>
              <w:rPr>
                <w:rFonts w:ascii="Arial" w:hAnsi="Arial" w:cs="Arial"/>
                <w:b/>
                <w:color w:val="000000"/>
                <w:sz w:val="24"/>
                <w:szCs w:val="24"/>
              </w:rPr>
            </w:pPr>
            <w:r w:rsidRPr="008A3343">
              <w:rPr>
                <w:rFonts w:ascii="Arial" w:hAnsi="Arial" w:cs="Arial"/>
                <w:b/>
                <w:color w:val="000000"/>
                <w:sz w:val="24"/>
                <w:szCs w:val="24"/>
              </w:rPr>
              <w:t>Locul 9</w:t>
            </w:r>
          </w:p>
        </w:tc>
        <w:tc>
          <w:tcPr>
            <w:tcW w:w="2340" w:type="dxa"/>
            <w:shd w:val="clear" w:color="auto" w:fill="DBE5F1" w:themeFill="accent1" w:themeFillTint="33"/>
          </w:tcPr>
          <w:p w:rsidR="00B424DC" w:rsidRPr="008A3343" w:rsidRDefault="00A06ECA" w:rsidP="00DC2FB5">
            <w:pPr>
              <w:autoSpaceDE w:val="0"/>
              <w:autoSpaceDN w:val="0"/>
              <w:adjustRightInd w:val="0"/>
              <w:spacing w:line="276" w:lineRule="auto"/>
              <w:rPr>
                <w:rFonts w:ascii="Arial" w:hAnsi="Arial" w:cs="Arial"/>
                <w:b/>
                <w:sz w:val="24"/>
                <w:szCs w:val="24"/>
              </w:rPr>
            </w:pPr>
            <w:r w:rsidRPr="008A3343">
              <w:rPr>
                <w:rFonts w:ascii="Arial" w:hAnsi="Arial" w:cs="Arial"/>
                <w:b/>
                <w:sz w:val="24"/>
                <w:szCs w:val="24"/>
              </w:rPr>
              <w:t xml:space="preserve"> Cupru</w:t>
            </w:r>
          </w:p>
          <w:p w:rsidR="00A06ECA" w:rsidRPr="008A3343" w:rsidRDefault="00A06ECA" w:rsidP="00DC2FB5">
            <w:pPr>
              <w:autoSpaceDE w:val="0"/>
              <w:autoSpaceDN w:val="0"/>
              <w:adjustRightInd w:val="0"/>
              <w:spacing w:line="276" w:lineRule="auto"/>
              <w:rPr>
                <w:rFonts w:ascii="Arial" w:hAnsi="Arial" w:cs="Arial"/>
                <w:b/>
                <w:sz w:val="24"/>
                <w:szCs w:val="24"/>
              </w:rPr>
            </w:pPr>
          </w:p>
        </w:tc>
      </w:tr>
    </w:tbl>
    <w:p w:rsidR="001537B4" w:rsidRPr="008A3343" w:rsidRDefault="001537B4" w:rsidP="00DC2FB5">
      <w:pPr>
        <w:autoSpaceDE w:val="0"/>
        <w:autoSpaceDN w:val="0"/>
        <w:adjustRightInd w:val="0"/>
        <w:spacing w:after="0"/>
        <w:rPr>
          <w:rFonts w:cstheme="minorHAnsi"/>
          <w:color w:val="000000"/>
          <w:sz w:val="24"/>
          <w:szCs w:val="24"/>
        </w:rPr>
      </w:pPr>
    </w:p>
    <w:p w:rsidR="00B424DC" w:rsidRPr="005A3A2D" w:rsidRDefault="001537B4" w:rsidP="001537B4">
      <w:pPr>
        <w:autoSpaceDE w:val="0"/>
        <w:autoSpaceDN w:val="0"/>
        <w:adjustRightInd w:val="0"/>
        <w:spacing w:after="0"/>
        <w:jc w:val="right"/>
        <w:rPr>
          <w:rFonts w:cstheme="minorHAnsi"/>
          <w:i/>
          <w:color w:val="000000"/>
          <w:lang w:val="ro-RO"/>
        </w:rPr>
      </w:pPr>
      <w:r w:rsidRPr="005A3A2D">
        <w:rPr>
          <w:rFonts w:cstheme="minorHAnsi"/>
          <w:i/>
          <w:color w:val="000000"/>
        </w:rPr>
        <w:t xml:space="preserve">Sursa: </w:t>
      </w:r>
      <w:r w:rsidRPr="005A3A2D">
        <w:rPr>
          <w:rFonts w:cstheme="minorHAnsi"/>
          <w:i/>
          <w:color w:val="000000"/>
          <w:lang w:val="ro-RO"/>
        </w:rPr>
        <w:t>Mineral Commodity 2014</w:t>
      </w:r>
    </w:p>
    <w:sectPr w:rsidR="00B424DC" w:rsidRPr="005A3A2D">
      <w:footerReference w:type="default" r:id="rId8"/>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A2D" w:rsidRDefault="005A3A2D" w:rsidP="006C72CC">
      <w:pPr>
        <w:spacing w:after="0" w:line="240" w:lineRule="auto"/>
      </w:pPr>
      <w:r>
        <w:separator/>
      </w:r>
    </w:p>
  </w:endnote>
  <w:endnote w:type="continuationSeparator" w:id="0">
    <w:p w:rsidR="005A3A2D" w:rsidRDefault="005A3A2D" w:rsidP="006C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588779"/>
      <w:docPartObj>
        <w:docPartGallery w:val="Page Numbers (Bottom of Page)"/>
        <w:docPartUnique/>
      </w:docPartObj>
    </w:sdtPr>
    <w:sdtEndPr>
      <w:rPr>
        <w:noProof/>
      </w:rPr>
    </w:sdtEndPr>
    <w:sdtContent>
      <w:p w:rsidR="005A3A2D" w:rsidRDefault="005A3A2D">
        <w:pPr>
          <w:pStyle w:val="Footer"/>
          <w:jc w:val="center"/>
        </w:pPr>
        <w:r>
          <w:fldChar w:fldCharType="begin"/>
        </w:r>
        <w:r>
          <w:instrText xml:space="preserve"> PAGE   \* MERGEFORMAT </w:instrText>
        </w:r>
        <w:r>
          <w:fldChar w:fldCharType="separate"/>
        </w:r>
        <w:r w:rsidR="00C3796B">
          <w:rPr>
            <w:noProof/>
          </w:rPr>
          <w:t>6</w:t>
        </w:r>
        <w:r>
          <w:rPr>
            <w:noProof/>
          </w:rPr>
          <w:fldChar w:fldCharType="end"/>
        </w:r>
      </w:p>
    </w:sdtContent>
  </w:sdt>
  <w:p w:rsidR="005A3A2D" w:rsidRDefault="005A3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A2D" w:rsidRDefault="005A3A2D" w:rsidP="006C72CC">
      <w:pPr>
        <w:spacing w:after="0" w:line="240" w:lineRule="auto"/>
      </w:pPr>
      <w:r>
        <w:separator/>
      </w:r>
    </w:p>
  </w:footnote>
  <w:footnote w:type="continuationSeparator" w:id="0">
    <w:p w:rsidR="005A3A2D" w:rsidRDefault="005A3A2D" w:rsidP="006C72CC">
      <w:pPr>
        <w:spacing w:after="0" w:line="240" w:lineRule="auto"/>
      </w:pPr>
      <w:r>
        <w:continuationSeparator/>
      </w:r>
    </w:p>
  </w:footnote>
  <w:footnote w:id="1">
    <w:p w:rsidR="005A3A2D" w:rsidRPr="00E90976" w:rsidRDefault="005A3A2D">
      <w:pPr>
        <w:pStyle w:val="FootnoteText"/>
        <w:rPr>
          <w:sz w:val="16"/>
          <w:szCs w:val="16"/>
        </w:rPr>
      </w:pPr>
      <w:r>
        <w:rPr>
          <w:rStyle w:val="FootnoteReference"/>
        </w:rPr>
        <w:footnoteRef/>
      </w:r>
      <w:r>
        <w:t xml:space="preserve"> </w:t>
      </w:r>
      <w:r w:rsidRPr="00E90976">
        <w:rPr>
          <w:sz w:val="16"/>
          <w:szCs w:val="16"/>
        </w:rPr>
        <w:t xml:space="preserve">Dolbear Behre </w:t>
      </w:r>
      <w:r w:rsidRPr="008C25D6">
        <w:rPr>
          <w:sz w:val="16"/>
          <w:szCs w:val="16"/>
        </w:rPr>
        <w:t xml:space="preserve">Group </w:t>
      </w:r>
      <w:r w:rsidRPr="00E90976">
        <w:rPr>
          <w:sz w:val="16"/>
          <w:szCs w:val="16"/>
        </w:rPr>
        <w:t>este o companie de consultanţă cu sediul în SUA, înfiinţată în anul 1911 având birouri în opt ţări. Aceasta publică anual clasamentul pe ţări privind investiţiile în minerit: "Unde să nu investiţi", pe baza unui sondaj anual în rândul specialiştilor, precum şi a rezultatelor furnizate de către Wall Street Journal / Indicele Fundaţiei pentru Libertatea Economică şi Raportul Competitivităţii Forumului Economic Mondial şi publicaţiile societăţii Transparency International. Pentru sondajul din 2015, au fost evaluate şi incluse 25 de ţări conform următoarelor şapte criterii: sistemul economic; sistemul politic; nivelul impactului problemelor sociale asupra activităţilor miniere; întârzieri în primirea permiselor din cauza obstacolelor birocratice şi altele; nivelul</w:t>
      </w:r>
      <w:r w:rsidRPr="00E90976">
        <w:t xml:space="preserve"> </w:t>
      </w:r>
      <w:r w:rsidRPr="00E90976">
        <w:rPr>
          <w:sz w:val="16"/>
          <w:szCs w:val="16"/>
        </w:rPr>
        <w:t>predominant al corupţiei în ţară; stabilitatea monedei; şi competitivitatea politicii fiscale. Clasamentul acoperă un interval de la 0 la 70, indicele din urmă fiind cel mai mare scor posibil.</w:t>
      </w:r>
    </w:p>
  </w:footnote>
  <w:footnote w:id="2">
    <w:p w:rsidR="005A3A2D" w:rsidRPr="0070228F" w:rsidRDefault="005A3A2D">
      <w:pPr>
        <w:pStyle w:val="FootnoteText"/>
        <w:rPr>
          <w:lang w:val="ro-RO"/>
        </w:rPr>
      </w:pPr>
      <w:r>
        <w:rPr>
          <w:rStyle w:val="FootnoteReference"/>
        </w:rPr>
        <w:footnoteRef/>
      </w:r>
      <w:r>
        <w:t xml:space="preserve"> A</w:t>
      </w:r>
      <w:r w:rsidRPr="00E90976">
        <w:t>probat</w:t>
      </w:r>
      <w:r>
        <w:t>ă</w:t>
      </w:r>
      <w:r w:rsidRPr="00E90976">
        <w:t xml:space="preserve"> de Congres </w:t>
      </w:r>
      <w:r>
        <w:t xml:space="preserve">la </w:t>
      </w:r>
      <w:r w:rsidRPr="00E90976">
        <w:t>31 octom</w:t>
      </w:r>
      <w:r>
        <w:t xml:space="preserve">brie </w:t>
      </w:r>
      <w:r w:rsidRPr="00E90976">
        <w:t>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4E"/>
    <w:rsid w:val="00032FBB"/>
    <w:rsid w:val="00042EBE"/>
    <w:rsid w:val="00045E70"/>
    <w:rsid w:val="000C0BFE"/>
    <w:rsid w:val="00113940"/>
    <w:rsid w:val="00113DB7"/>
    <w:rsid w:val="001410B3"/>
    <w:rsid w:val="001537B4"/>
    <w:rsid w:val="001C2062"/>
    <w:rsid w:val="001E3D49"/>
    <w:rsid w:val="001F717D"/>
    <w:rsid w:val="00281793"/>
    <w:rsid w:val="002A4B0D"/>
    <w:rsid w:val="002E6D7A"/>
    <w:rsid w:val="003961F2"/>
    <w:rsid w:val="00396230"/>
    <w:rsid w:val="003B2DFA"/>
    <w:rsid w:val="004145E3"/>
    <w:rsid w:val="00427278"/>
    <w:rsid w:val="004B2BB7"/>
    <w:rsid w:val="004E20C4"/>
    <w:rsid w:val="005079E5"/>
    <w:rsid w:val="00523362"/>
    <w:rsid w:val="005317C8"/>
    <w:rsid w:val="005A3124"/>
    <w:rsid w:val="005A3A2D"/>
    <w:rsid w:val="00617F88"/>
    <w:rsid w:val="00661D63"/>
    <w:rsid w:val="00691886"/>
    <w:rsid w:val="006A407B"/>
    <w:rsid w:val="006C72CC"/>
    <w:rsid w:val="006E0961"/>
    <w:rsid w:val="0070228F"/>
    <w:rsid w:val="00716164"/>
    <w:rsid w:val="007419E2"/>
    <w:rsid w:val="0075031B"/>
    <w:rsid w:val="007779D4"/>
    <w:rsid w:val="00834A96"/>
    <w:rsid w:val="008A3343"/>
    <w:rsid w:val="008C25D6"/>
    <w:rsid w:val="008F33DC"/>
    <w:rsid w:val="009A2FE5"/>
    <w:rsid w:val="00A06ECA"/>
    <w:rsid w:val="00A07AF6"/>
    <w:rsid w:val="00A46932"/>
    <w:rsid w:val="00AA2A90"/>
    <w:rsid w:val="00B424DC"/>
    <w:rsid w:val="00B639B1"/>
    <w:rsid w:val="00BA32A2"/>
    <w:rsid w:val="00C00F4E"/>
    <w:rsid w:val="00C3796B"/>
    <w:rsid w:val="00CA45CC"/>
    <w:rsid w:val="00CB58A9"/>
    <w:rsid w:val="00D151A4"/>
    <w:rsid w:val="00D8365E"/>
    <w:rsid w:val="00DC19AF"/>
    <w:rsid w:val="00DC2FB5"/>
    <w:rsid w:val="00DD61D5"/>
    <w:rsid w:val="00DD675D"/>
    <w:rsid w:val="00E53D14"/>
    <w:rsid w:val="00E90976"/>
    <w:rsid w:val="00EA64C9"/>
    <w:rsid w:val="00ED189E"/>
    <w:rsid w:val="00EF2319"/>
    <w:rsid w:val="00F319EA"/>
    <w:rsid w:val="00F60A2C"/>
    <w:rsid w:val="00F65F0A"/>
    <w:rsid w:val="00F9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7ACD8-0739-49F6-BBAC-CFAFA793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D7A"/>
    <w:rPr>
      <w:rFonts w:ascii="Tahoma" w:hAnsi="Tahoma" w:cs="Tahoma"/>
      <w:sz w:val="16"/>
      <w:szCs w:val="16"/>
    </w:rPr>
  </w:style>
  <w:style w:type="table" w:styleId="TableGrid">
    <w:name w:val="Table Grid"/>
    <w:basedOn w:val="TableNormal"/>
    <w:uiPriority w:val="59"/>
    <w:rsid w:val="00523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72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72CC"/>
    <w:rPr>
      <w:sz w:val="20"/>
      <w:szCs w:val="20"/>
    </w:rPr>
  </w:style>
  <w:style w:type="character" w:styleId="FootnoteReference">
    <w:name w:val="footnote reference"/>
    <w:basedOn w:val="DefaultParagraphFont"/>
    <w:uiPriority w:val="99"/>
    <w:semiHidden/>
    <w:unhideWhenUsed/>
    <w:rsid w:val="006C72CC"/>
    <w:rPr>
      <w:vertAlign w:val="superscript"/>
    </w:rPr>
  </w:style>
  <w:style w:type="paragraph" w:styleId="Header">
    <w:name w:val="header"/>
    <w:basedOn w:val="Normal"/>
    <w:link w:val="HeaderChar"/>
    <w:uiPriority w:val="99"/>
    <w:unhideWhenUsed/>
    <w:rsid w:val="00BA32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BA32A2"/>
  </w:style>
  <w:style w:type="paragraph" w:styleId="Footer">
    <w:name w:val="footer"/>
    <w:basedOn w:val="Normal"/>
    <w:link w:val="FooterChar"/>
    <w:uiPriority w:val="99"/>
    <w:unhideWhenUsed/>
    <w:rsid w:val="00BA32A2"/>
    <w:pPr>
      <w:tabs>
        <w:tab w:val="center" w:pos="4703"/>
        <w:tab w:val="right" w:pos="9406"/>
      </w:tabs>
      <w:spacing w:after="0" w:line="240" w:lineRule="auto"/>
    </w:pPr>
  </w:style>
  <w:style w:type="character" w:customStyle="1" w:styleId="FooterChar">
    <w:name w:val="Footer Char"/>
    <w:basedOn w:val="DefaultParagraphFont"/>
    <w:link w:val="Footer"/>
    <w:uiPriority w:val="99"/>
    <w:rsid w:val="00BA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76FD4-1975-4DE2-9079-26A153498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6020C0EF.dotm</Template>
  <TotalTime>0</TotalTime>
  <Pages>7</Pages>
  <Words>1822</Words>
  <Characters>10387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Ibolya Szabo</cp:lastModifiedBy>
  <cp:revision>2</cp:revision>
  <dcterms:created xsi:type="dcterms:W3CDTF">2016-08-17T14:11:00Z</dcterms:created>
  <dcterms:modified xsi:type="dcterms:W3CDTF">2016-08-17T14:11:00Z</dcterms:modified>
</cp:coreProperties>
</file>