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69" w:rsidRPr="006C0971" w:rsidRDefault="005B4D69" w:rsidP="00B24F92">
      <w:pPr>
        <w:pStyle w:val="Title"/>
        <w:spacing w:line="360" w:lineRule="auto"/>
        <w:rPr>
          <w:sz w:val="24"/>
          <w:szCs w:val="24"/>
        </w:rPr>
      </w:pPr>
    </w:p>
    <w:p w:rsidR="005B4D69" w:rsidRPr="006C0971" w:rsidRDefault="005B4D69" w:rsidP="00B24F92">
      <w:pPr>
        <w:pStyle w:val="Title"/>
        <w:spacing w:line="360" w:lineRule="auto"/>
        <w:rPr>
          <w:sz w:val="24"/>
          <w:szCs w:val="24"/>
        </w:rPr>
      </w:pPr>
      <w:r w:rsidRPr="006C0971">
        <w:rPr>
          <w:sz w:val="24"/>
          <w:szCs w:val="24"/>
        </w:rPr>
        <w:t>GUVERNUL ROMÂNIEI</w:t>
      </w:r>
    </w:p>
    <w:p w:rsidR="005B4D69" w:rsidRPr="006C0971" w:rsidRDefault="005B4D69" w:rsidP="00B24F92">
      <w:pPr>
        <w:pStyle w:val="Title"/>
        <w:spacing w:line="360" w:lineRule="auto"/>
        <w:rPr>
          <w:sz w:val="24"/>
          <w:szCs w:val="24"/>
        </w:rPr>
      </w:pPr>
    </w:p>
    <w:p w:rsidR="005B4D69" w:rsidRPr="006C0971" w:rsidRDefault="005B4D69" w:rsidP="00B24F92">
      <w:pPr>
        <w:pStyle w:val="Title"/>
        <w:spacing w:line="360" w:lineRule="auto"/>
        <w:rPr>
          <w:i/>
          <w:iCs/>
          <w:sz w:val="24"/>
          <w:szCs w:val="24"/>
        </w:rPr>
      </w:pPr>
      <w:r w:rsidRPr="006C0971">
        <w:rPr>
          <w:sz w:val="24"/>
          <w:szCs w:val="24"/>
        </w:rPr>
        <w:t xml:space="preserve">Hotărârea Guvernului </w:t>
      </w:r>
    </w:p>
    <w:p w:rsidR="005B4D69" w:rsidRPr="006C0971" w:rsidRDefault="005B4D69" w:rsidP="00B24F92">
      <w:pPr>
        <w:pStyle w:val="BodyText2"/>
        <w:spacing w:line="360" w:lineRule="auto"/>
        <w:rPr>
          <w:b/>
          <w:bCs/>
          <w:sz w:val="24"/>
          <w:szCs w:val="24"/>
        </w:rPr>
      </w:pPr>
      <w:r w:rsidRPr="006C0971">
        <w:rPr>
          <w:b/>
          <w:bCs/>
          <w:sz w:val="24"/>
          <w:szCs w:val="24"/>
        </w:rPr>
        <w:t xml:space="preserve">privind stabilirea </w:t>
      </w:r>
      <w:r>
        <w:rPr>
          <w:b/>
          <w:bCs/>
          <w:sz w:val="24"/>
          <w:szCs w:val="24"/>
        </w:rPr>
        <w:t>unor măsuri</w:t>
      </w:r>
      <w:r w:rsidRPr="006C0971">
        <w:rPr>
          <w:b/>
          <w:bCs/>
          <w:sz w:val="24"/>
          <w:szCs w:val="24"/>
        </w:rPr>
        <w:t xml:space="preserve"> de punere în aplicare a Regulamentului (UE) 2016/425 al Parlamentului European și al Consiliului privind echipamentele individuale de protecție și de abrogare a Directivei 89/686/CEE a Consiliului</w:t>
      </w:r>
    </w:p>
    <w:p w:rsidR="005B4D69" w:rsidRPr="006C0971" w:rsidRDefault="005B4D69" w:rsidP="00B24F92">
      <w:pPr>
        <w:spacing w:line="360" w:lineRule="auto"/>
        <w:ind w:firstLine="720"/>
        <w:jc w:val="both"/>
        <w:rPr>
          <w:b/>
          <w:bCs/>
        </w:rPr>
      </w:pPr>
    </w:p>
    <w:p w:rsidR="005B4D69" w:rsidRPr="006C0971" w:rsidRDefault="005B4D69" w:rsidP="00B24F92">
      <w:pPr>
        <w:spacing w:line="360" w:lineRule="auto"/>
        <w:ind w:firstLine="720"/>
        <w:jc w:val="both"/>
      </w:pPr>
      <w:r w:rsidRPr="006C0971">
        <w:t>În scopul aplicării în România a prevederilor Regulamentului (UE) 2016/425 al Parlamentului European și al Consiliului privind echipamentele individuale de protecție și de abrogare a Directivei 89/686/CEE,</w:t>
      </w:r>
    </w:p>
    <w:p w:rsidR="005B4D69" w:rsidRPr="006C0971" w:rsidRDefault="005B4D69" w:rsidP="00B24F92">
      <w:pPr>
        <w:spacing w:line="360" w:lineRule="auto"/>
        <w:ind w:firstLine="720"/>
        <w:jc w:val="both"/>
      </w:pPr>
      <w:r w:rsidRPr="006C0971">
        <w:t xml:space="preserve">În temeiul art.108 din Constituţia României, republicată, </w:t>
      </w:r>
    </w:p>
    <w:p w:rsidR="005B4D69" w:rsidRPr="006C0971" w:rsidRDefault="005B4D69" w:rsidP="00B24F92">
      <w:pPr>
        <w:spacing w:line="360" w:lineRule="auto"/>
        <w:ind w:firstLine="720"/>
      </w:pPr>
      <w:r w:rsidRPr="006C0971">
        <w:t>Guvernul României adoptă prezenta hotărâre.</w:t>
      </w:r>
    </w:p>
    <w:p w:rsidR="005B4D69" w:rsidRPr="006C0971" w:rsidRDefault="005B4D69" w:rsidP="00B24F92">
      <w:pPr>
        <w:spacing w:line="360" w:lineRule="auto"/>
        <w:ind w:firstLine="720"/>
      </w:pPr>
    </w:p>
    <w:p w:rsidR="005B4D69" w:rsidRPr="006C0971" w:rsidRDefault="005B4D69" w:rsidP="00FE3F52">
      <w:pPr>
        <w:spacing w:line="360" w:lineRule="auto"/>
        <w:ind w:firstLine="720"/>
        <w:jc w:val="center"/>
        <w:rPr>
          <w:b/>
          <w:bCs/>
        </w:rPr>
      </w:pPr>
      <w:r w:rsidRPr="006C0971">
        <w:rPr>
          <w:b/>
          <w:bCs/>
        </w:rPr>
        <w:t xml:space="preserve">Articolul 1 </w:t>
      </w:r>
    </w:p>
    <w:p w:rsidR="005B4D69" w:rsidRPr="006C0971" w:rsidRDefault="005B4D69" w:rsidP="00205D5A">
      <w:pPr>
        <w:spacing w:line="360" w:lineRule="auto"/>
        <w:ind w:firstLine="720"/>
        <w:jc w:val="center"/>
        <w:rPr>
          <w:b/>
          <w:bCs/>
        </w:rPr>
      </w:pPr>
      <w:r w:rsidRPr="006C0971">
        <w:rPr>
          <w:b/>
          <w:bCs/>
        </w:rPr>
        <w:t>Dispoziții generale</w:t>
      </w:r>
    </w:p>
    <w:p w:rsidR="005B4D69" w:rsidRPr="006C0971" w:rsidRDefault="005B4D69" w:rsidP="00714F03">
      <w:pPr>
        <w:spacing w:line="360" w:lineRule="auto"/>
        <w:ind w:firstLine="720"/>
        <w:jc w:val="both"/>
      </w:pPr>
      <w:r w:rsidRPr="006C0971">
        <w:t>(1) Prezenta hotărâre stabilește măsurile de punere în aplicare, la nivel național</w:t>
      </w:r>
      <w:r>
        <w:t>,</w:t>
      </w:r>
      <w:r w:rsidRPr="006C0971">
        <w:t xml:space="preserve"> a prevederilor Regulamentului (UE) 2016/425 al Parlamentului European și al Consiliului privind echipamentele individuale de protecție și de abrogare a Directivei 89/686/CEE, publicat în Jurnalul Oficial al UE (JOUE) seria L nr.81/2016, denumit în continuare Regulament, precum și sancțiunile și contravențiile aplicabile în cazul încălcării dispozițiilor acestuia.</w:t>
      </w:r>
    </w:p>
    <w:p w:rsidR="005B4D69" w:rsidRPr="006C0971" w:rsidRDefault="005B4D69" w:rsidP="00205D5A">
      <w:pPr>
        <w:spacing w:line="360" w:lineRule="auto"/>
        <w:ind w:firstLine="720"/>
        <w:jc w:val="both"/>
      </w:pPr>
      <w:r w:rsidRPr="006C0971">
        <w:t>(</w:t>
      </w:r>
      <w:r>
        <w:t>2</w:t>
      </w:r>
      <w:r w:rsidRPr="006C0971">
        <w:t>) Termenii și expresiile utilizate în prezenta hotărâre au semnificația prevăzută în Regulament.</w:t>
      </w:r>
    </w:p>
    <w:p w:rsidR="005B4D69" w:rsidRDefault="005B4D69" w:rsidP="00714F03">
      <w:pPr>
        <w:spacing w:line="360" w:lineRule="auto"/>
        <w:ind w:firstLine="720"/>
        <w:jc w:val="both"/>
      </w:pPr>
      <w:r w:rsidRPr="006C0971">
        <w:t>(</w:t>
      </w:r>
      <w:r>
        <w:t>3</w:t>
      </w:r>
      <w:r w:rsidRPr="006C0971">
        <w:t>) În sensul art. 8 alin.(6), art.8 alin.(7), art.8 alin.(10), art.10 alin.(3), art.10 alin.(4), art.10 alin.(9) și art.11 alin.(2) din Regulament, prin sintagma “limbă ușor de înțeles” se înțelege “limba română”.</w:t>
      </w:r>
    </w:p>
    <w:p w:rsidR="005B4D69" w:rsidRDefault="005B4D69" w:rsidP="00F50F94">
      <w:pPr>
        <w:spacing w:line="360" w:lineRule="auto"/>
        <w:ind w:firstLine="720"/>
        <w:jc w:val="both"/>
      </w:pPr>
      <w:r w:rsidRPr="008E6D19">
        <w:t>(</w:t>
      </w:r>
      <w:r>
        <w:t>4</w:t>
      </w:r>
      <w:r w:rsidRPr="008E6D19">
        <w:t>)</w:t>
      </w:r>
      <w:r w:rsidRPr="008E6D19">
        <w:rPr>
          <w:b/>
          <w:bCs/>
        </w:rPr>
        <w:t xml:space="preserve"> </w:t>
      </w:r>
      <w:r w:rsidRPr="008E6D19">
        <w:t>În sensul art.15 alin.(2) din Regulament, prin sintagma “limba sau limbile impuse de statul membru” se înțelege “limba română”.</w:t>
      </w:r>
      <w:r>
        <w:t xml:space="preserve"> </w:t>
      </w:r>
    </w:p>
    <w:p w:rsidR="005B4D69" w:rsidRPr="006C0971" w:rsidRDefault="005B4D69" w:rsidP="00714F03">
      <w:pPr>
        <w:spacing w:line="360" w:lineRule="auto"/>
        <w:ind w:firstLine="720"/>
        <w:jc w:val="both"/>
      </w:pPr>
      <w:r w:rsidRPr="006C0971">
        <w:t>(</w:t>
      </w:r>
      <w:r>
        <w:t>5</w:t>
      </w:r>
      <w:r w:rsidRPr="006C0971">
        <w:t xml:space="preserve">) În sensul art.8 alin.(9), art.8 alin.(10), art.9 alin.(2) lit.b), art.9 alin.(2) lit.c), art.10 alin.(7), art.10 alin.(9), art.11 alin.(4) și art.11 alin.(5) din Regulament, </w:t>
      </w:r>
      <w:r w:rsidRPr="008E6D19">
        <w:t>prin sintagma “</w:t>
      </w:r>
      <w:r>
        <w:t>autoritate națională competentă</w:t>
      </w:r>
      <w:r w:rsidRPr="008E6D19">
        <w:t>” se înțelege “</w:t>
      </w:r>
      <w:r>
        <w:t>autoritatea de supraveghere a pieței</w:t>
      </w:r>
      <w:r w:rsidRPr="008E6D19">
        <w:t>”.</w:t>
      </w:r>
      <w:r w:rsidRPr="006C0971">
        <w:t xml:space="preserve"> </w:t>
      </w:r>
    </w:p>
    <w:p w:rsidR="005B4D69" w:rsidRDefault="005B4D69" w:rsidP="00714F03">
      <w:pPr>
        <w:spacing w:line="360" w:lineRule="auto"/>
        <w:ind w:firstLine="720"/>
        <w:jc w:val="both"/>
      </w:pPr>
      <w:r w:rsidRPr="008E6D19">
        <w:t xml:space="preserve"> (</w:t>
      </w:r>
      <w:r>
        <w:t>6</w:t>
      </w:r>
      <w:r w:rsidRPr="008E6D19">
        <w:t>)</w:t>
      </w:r>
      <w:r>
        <w:t xml:space="preserve"> </w:t>
      </w:r>
      <w:r w:rsidRPr="008E6D19">
        <w:t>În sensul art.</w:t>
      </w:r>
      <w:r>
        <w:t>24</w:t>
      </w:r>
      <w:r w:rsidRPr="008E6D19">
        <w:t xml:space="preserve"> alin.(</w:t>
      </w:r>
      <w:r>
        <w:t>10</w:t>
      </w:r>
      <w:r w:rsidRPr="008E6D19">
        <w:t>)</w:t>
      </w:r>
      <w:r>
        <w:t xml:space="preserve"> </w:t>
      </w:r>
      <w:r w:rsidRPr="008E6D19">
        <w:t>din Regulament, prin sintagma “</w:t>
      </w:r>
      <w:r>
        <w:t>autoritățile competente</w:t>
      </w:r>
      <w:r w:rsidRPr="008E6D19">
        <w:t xml:space="preserve">” se înțelege </w:t>
      </w:r>
      <w:r w:rsidRPr="006C0971">
        <w:t>Ministerul Muncii, Familiei, Protecției Sociale și Persoanelor Vârstnice</w:t>
      </w:r>
      <w:r>
        <w:t xml:space="preserve"> și/sau Inspecția Muncii</w:t>
      </w:r>
      <w:r w:rsidRPr="008E6D19">
        <w:t>.</w:t>
      </w:r>
    </w:p>
    <w:p w:rsidR="005B4D69" w:rsidRPr="006C0971" w:rsidRDefault="005B4D69" w:rsidP="00714F03">
      <w:pPr>
        <w:spacing w:line="360" w:lineRule="auto"/>
        <w:ind w:firstLine="720"/>
        <w:jc w:val="both"/>
      </w:pPr>
      <w:r w:rsidRPr="008E6D19">
        <w:t>(</w:t>
      </w:r>
      <w:r>
        <w:t>7</w:t>
      </w:r>
      <w:r w:rsidRPr="008E6D19">
        <w:t>)</w:t>
      </w:r>
      <w:r>
        <w:t xml:space="preserve"> </w:t>
      </w:r>
      <w:r w:rsidRPr="008E6D19">
        <w:t xml:space="preserve">În sensul </w:t>
      </w:r>
      <w:r>
        <w:t>pct</w:t>
      </w:r>
      <w:r w:rsidRPr="008E6D19">
        <w:t>.</w:t>
      </w:r>
      <w:r>
        <w:t xml:space="preserve">4.2 din Anexa IV, pct.9 din Anexa V, pct. 3.2 din Anexa VI, pct.5.2 și 6.2 din Anexa VII, pct.5.2 și 6 din Anexa VIII </w:t>
      </w:r>
      <w:r w:rsidRPr="008E6D19">
        <w:t>din Regulament, prin sintagma “</w:t>
      </w:r>
      <w:r>
        <w:t>autoritate națională</w:t>
      </w:r>
      <w:r w:rsidRPr="008E6D19">
        <w:t>” se înțelege “</w:t>
      </w:r>
      <w:r>
        <w:t>autoritatea de supraveghere a pieței</w:t>
      </w:r>
      <w:r w:rsidRPr="008E6D19">
        <w:t>”.</w:t>
      </w:r>
    </w:p>
    <w:p w:rsidR="005B4D69" w:rsidRPr="006C0971" w:rsidRDefault="005B4D69" w:rsidP="00B33BDD">
      <w:pPr>
        <w:spacing w:line="360" w:lineRule="auto"/>
        <w:ind w:firstLine="720"/>
        <w:jc w:val="both"/>
      </w:pPr>
    </w:p>
    <w:p w:rsidR="005B4D69" w:rsidRPr="006C0971" w:rsidRDefault="005B4D69" w:rsidP="003446A5">
      <w:pPr>
        <w:spacing w:line="360" w:lineRule="auto"/>
        <w:ind w:firstLine="720"/>
        <w:jc w:val="center"/>
        <w:rPr>
          <w:b/>
          <w:bCs/>
        </w:rPr>
      </w:pPr>
      <w:r w:rsidRPr="006C0971">
        <w:rPr>
          <w:b/>
          <w:bCs/>
        </w:rPr>
        <w:t xml:space="preserve">Articolul </w:t>
      </w:r>
      <w:r>
        <w:rPr>
          <w:b/>
          <w:bCs/>
        </w:rPr>
        <w:t>2</w:t>
      </w:r>
    </w:p>
    <w:p w:rsidR="005B4D69" w:rsidRPr="006C0971" w:rsidRDefault="005B4D69" w:rsidP="003446A5">
      <w:pPr>
        <w:spacing w:line="360" w:lineRule="auto"/>
        <w:ind w:firstLine="720"/>
        <w:jc w:val="center"/>
        <w:rPr>
          <w:b/>
          <w:bCs/>
        </w:rPr>
      </w:pPr>
      <w:r w:rsidRPr="006C0971">
        <w:rPr>
          <w:b/>
          <w:bCs/>
        </w:rPr>
        <w:t>Libera circulație</w:t>
      </w:r>
    </w:p>
    <w:p w:rsidR="005B4D69" w:rsidRPr="006C0971" w:rsidRDefault="005B4D69" w:rsidP="00A71484">
      <w:pPr>
        <w:spacing w:line="360" w:lineRule="auto"/>
        <w:ind w:firstLine="720"/>
        <w:jc w:val="both"/>
      </w:pPr>
      <w:r w:rsidRPr="006C0971">
        <w:t>(1) Punerea la dispoziție pe piață a echipamentelor individuale de protecție care respectă prevederile Regulamentului nu poate fi împiedicată.</w:t>
      </w:r>
    </w:p>
    <w:p w:rsidR="005B4D69" w:rsidRDefault="005B4D69">
      <w:pPr>
        <w:spacing w:line="360" w:lineRule="auto"/>
        <w:ind w:firstLine="720"/>
        <w:jc w:val="both"/>
      </w:pPr>
      <w:r w:rsidRPr="006C0971">
        <w:t>(</w:t>
      </w:r>
      <w:r>
        <w:t>2</w:t>
      </w:r>
      <w:r w:rsidRPr="006C0971">
        <w:t xml:space="preserve">) Cu ocazia târgurilor, a expozițiilor și a demonstrațiilor sau a altor evenimente similare, echipamentele individuale de protecție care nu sunt conforme prevederilor Regulamentului pot fi expuse, cu condiţia ca un anunţ vizibil să indice clar faptul că astfel de echipamentele individuale de protecție nu sunt conforme prevederilor Regulamentului și că </w:t>
      </w:r>
      <w:r w:rsidRPr="000B4DA6">
        <w:t>ele nu pot fi introduse</w:t>
      </w:r>
      <w:r w:rsidRPr="006C0971">
        <w:t xml:space="preserve"> pe piață dacă nu sunt aduse în stare de conformitate. În timpul demonstraţiilor cu aceste echipamente se iau măsuri corespunzătoare de securitate pentru a se asigura protecţia persoanelor. </w:t>
      </w:r>
    </w:p>
    <w:p w:rsidR="005B4D69" w:rsidRPr="006C0971" w:rsidRDefault="005B4D69">
      <w:pPr>
        <w:spacing w:line="360" w:lineRule="auto"/>
        <w:ind w:firstLine="720"/>
        <w:jc w:val="both"/>
      </w:pPr>
    </w:p>
    <w:p w:rsidR="005B4D69" w:rsidRPr="006C0971" w:rsidRDefault="005B4D69" w:rsidP="00B33BDD">
      <w:pPr>
        <w:spacing w:line="360" w:lineRule="auto"/>
        <w:ind w:firstLine="720"/>
        <w:jc w:val="center"/>
        <w:rPr>
          <w:b/>
          <w:bCs/>
        </w:rPr>
      </w:pPr>
      <w:r w:rsidRPr="006C0971">
        <w:rPr>
          <w:b/>
          <w:bCs/>
        </w:rPr>
        <w:t xml:space="preserve">Articolul </w:t>
      </w:r>
      <w:r>
        <w:rPr>
          <w:b/>
          <w:bCs/>
        </w:rPr>
        <w:t>3</w:t>
      </w:r>
    </w:p>
    <w:p w:rsidR="005B4D69" w:rsidRPr="006C0971" w:rsidRDefault="005B4D69" w:rsidP="00B33BDD">
      <w:pPr>
        <w:spacing w:line="360" w:lineRule="auto"/>
        <w:ind w:firstLine="720"/>
        <w:jc w:val="center"/>
        <w:rPr>
          <w:b/>
          <w:bCs/>
        </w:rPr>
      </w:pPr>
      <w:r w:rsidRPr="006C0971">
        <w:rPr>
          <w:b/>
          <w:bCs/>
        </w:rPr>
        <w:t>Prezumția de conformitate a echipamentelor individuale de protecție</w:t>
      </w:r>
    </w:p>
    <w:p w:rsidR="005B4D69" w:rsidRPr="006C0971" w:rsidRDefault="005B4D69">
      <w:pPr>
        <w:spacing w:line="360" w:lineRule="auto"/>
        <w:ind w:firstLine="720"/>
        <w:jc w:val="both"/>
      </w:pPr>
      <w:r w:rsidRPr="006C0971">
        <w:t xml:space="preserve">(1) Se consideră că echipamentele individuale de </w:t>
      </w:r>
      <w:r>
        <w:t>protecție aflate sub incidenţa R</w:t>
      </w:r>
      <w:r w:rsidRPr="006C0971">
        <w:t>egulamentului sunt conforme cu cerinţele esenţiale de securitate prevăzute în anexa II din Regulament, atunci când sunt conforme cu prevederile standardelor române şi/sau a standardelor naţionale ale celorlalte state membre ale Uniunii Europene, care adoptă standarde armonizate ale căror numere de referinţă au fost publicate în Jurnalul Oficial al Uniunii Europene, sau cu părţi ale acestora.</w:t>
      </w:r>
    </w:p>
    <w:p w:rsidR="005B4D69" w:rsidRPr="006C0971" w:rsidRDefault="005B4D69" w:rsidP="009C14B3">
      <w:pPr>
        <w:spacing w:line="360" w:lineRule="auto"/>
        <w:ind w:firstLine="720"/>
        <w:jc w:val="both"/>
      </w:pPr>
      <w:r w:rsidRPr="006C0971" w:rsidDel="00CC2F81">
        <w:t xml:space="preserve"> </w:t>
      </w:r>
      <w:r w:rsidRPr="006C0971">
        <w:t>(2) Lista cuprinzând referințele standardelor române care adoptă standarde armonizate în domeniul echipamentelor individuale de protecție care intră sub incidența Regulamentului, la care se face referire la alin.(1), se aprobă prin ordin al ministrului muncii, familiei, protecției sociale și persoanelor vârstnice ce se publică în Monitorul Oficial al României, Partea I.</w:t>
      </w:r>
    </w:p>
    <w:p w:rsidR="005B4D69" w:rsidRPr="006C0971" w:rsidRDefault="005B4D69" w:rsidP="009C14B3">
      <w:pPr>
        <w:spacing w:line="360" w:lineRule="auto"/>
        <w:ind w:firstLine="720"/>
        <w:jc w:val="both"/>
      </w:pPr>
      <w:r w:rsidRPr="006C0971">
        <w:t>(3) Ordinul prevăzut la alin.(2) se actualizează ori de câte ori este cazul.</w:t>
      </w:r>
    </w:p>
    <w:p w:rsidR="005B4D69" w:rsidRPr="006C0971" w:rsidRDefault="005B4D69" w:rsidP="009C14B3">
      <w:pPr>
        <w:spacing w:line="360" w:lineRule="auto"/>
        <w:ind w:firstLine="720"/>
        <w:jc w:val="both"/>
      </w:pPr>
    </w:p>
    <w:p w:rsidR="005B4D69" w:rsidRPr="006C0971" w:rsidRDefault="005B4D69" w:rsidP="003A4C6E">
      <w:pPr>
        <w:spacing w:line="360" w:lineRule="auto"/>
        <w:ind w:firstLine="720"/>
        <w:jc w:val="center"/>
        <w:rPr>
          <w:b/>
          <w:bCs/>
        </w:rPr>
      </w:pPr>
      <w:r w:rsidRPr="006C0971">
        <w:rPr>
          <w:b/>
          <w:bCs/>
        </w:rPr>
        <w:t xml:space="preserve">Articolul </w:t>
      </w:r>
      <w:r>
        <w:rPr>
          <w:b/>
          <w:bCs/>
        </w:rPr>
        <w:t>4</w:t>
      </w:r>
      <w:r w:rsidRPr="006C0971">
        <w:rPr>
          <w:b/>
          <w:bCs/>
        </w:rPr>
        <w:t xml:space="preserve"> </w:t>
      </w:r>
    </w:p>
    <w:p w:rsidR="005B4D69" w:rsidRPr="006C0971" w:rsidRDefault="005B4D69" w:rsidP="003A4C6E">
      <w:pPr>
        <w:spacing w:line="360" w:lineRule="auto"/>
        <w:ind w:firstLine="720"/>
        <w:jc w:val="center"/>
        <w:rPr>
          <w:b/>
          <w:bCs/>
        </w:rPr>
      </w:pPr>
      <w:r w:rsidRPr="006C0971">
        <w:rPr>
          <w:b/>
          <w:bCs/>
        </w:rPr>
        <w:t>Notificarea</w:t>
      </w:r>
    </w:p>
    <w:p w:rsidR="005B4D69" w:rsidRDefault="005B4D69" w:rsidP="004E0B87">
      <w:pPr>
        <w:spacing w:line="360" w:lineRule="auto"/>
        <w:ind w:firstLine="720"/>
        <w:jc w:val="both"/>
      </w:pPr>
      <w:r w:rsidRPr="006C0971">
        <w:t>Ministerul Muncii, Familiei, Protecției Sociale și Persoanelor Vârstnice notifică Comisiei Europene și celorlalte State Membre ale Uniunii Europene organismele desemnate să îndeplinească atribuții de evaluare a conformității, ca părți terțe, în temeiul Regulamentului.</w:t>
      </w:r>
    </w:p>
    <w:p w:rsidR="005B4D69" w:rsidRPr="006C0971" w:rsidRDefault="005B4D69" w:rsidP="004F4072">
      <w:pPr>
        <w:spacing w:line="360" w:lineRule="auto"/>
        <w:ind w:firstLine="720"/>
        <w:jc w:val="center"/>
        <w:rPr>
          <w:b/>
          <w:bCs/>
        </w:rPr>
      </w:pPr>
      <w:r w:rsidRPr="006C0971">
        <w:rPr>
          <w:b/>
          <w:bCs/>
        </w:rPr>
        <w:t xml:space="preserve">Articolul </w:t>
      </w:r>
      <w:r>
        <w:rPr>
          <w:b/>
          <w:bCs/>
        </w:rPr>
        <w:t>5</w:t>
      </w:r>
    </w:p>
    <w:p w:rsidR="005B4D69" w:rsidRPr="006C0971" w:rsidRDefault="005B4D69" w:rsidP="004F4072">
      <w:pPr>
        <w:spacing w:line="360" w:lineRule="auto"/>
        <w:ind w:firstLine="720"/>
        <w:jc w:val="center"/>
        <w:rPr>
          <w:b/>
          <w:bCs/>
        </w:rPr>
      </w:pPr>
      <w:r w:rsidRPr="006C0971">
        <w:rPr>
          <w:b/>
          <w:bCs/>
        </w:rPr>
        <w:t>Autoritățile de notificare</w:t>
      </w:r>
    </w:p>
    <w:p w:rsidR="005B4D69" w:rsidRPr="006C0971" w:rsidRDefault="005B4D69" w:rsidP="000B2807">
      <w:pPr>
        <w:spacing w:line="360" w:lineRule="auto"/>
        <w:ind w:firstLine="720"/>
        <w:jc w:val="both"/>
      </w:pPr>
      <w:r w:rsidRPr="00795C93">
        <w:t>(1)</w:t>
      </w:r>
      <w:r w:rsidRPr="006C0971">
        <w:t xml:space="preserve"> Ministerul Muncii, Familiei, Protecției Sociale și Persoanelor Vârstnice este autoritatea de notificare responsabilă de instituirea și îndeplinirea procedurilor necesare pentru evaluarea și notificarea organismelor de evaluare a conformității și pentru monitorizarea organismelor notificate, inclusiv conformitatea cu art</w:t>
      </w:r>
      <w:r>
        <w:t>.</w:t>
      </w:r>
      <w:r w:rsidRPr="006C0971">
        <w:t>26 din Regulament.</w:t>
      </w:r>
    </w:p>
    <w:p w:rsidR="005B4D69" w:rsidRPr="006C0971" w:rsidRDefault="005B4D69" w:rsidP="005A01F1">
      <w:pPr>
        <w:spacing w:line="360" w:lineRule="auto"/>
        <w:ind w:firstLine="720"/>
        <w:jc w:val="both"/>
      </w:pPr>
      <w:r w:rsidRPr="00795C93">
        <w:t>(2)</w:t>
      </w:r>
      <w:r w:rsidRPr="006C0971">
        <w:rPr>
          <w:b/>
          <w:bCs/>
        </w:rPr>
        <w:t xml:space="preserve"> </w:t>
      </w:r>
      <w:r w:rsidRPr="006C0971">
        <w:t>Evaluarea și monitorizarea menționate la alin.(1) se efectuează de către un organism național de acreditare în înțelesul Regulamentului (CE) nr.765/2008 al Parlamentului European și al Consiliului din 9 iulie 2008 de stabilire a cerințelor de acreditare și supraveghere a pieței în ceea ce privește comercializarea produselor și de abrogare a Regulamentului (CEE) nr.339/93.</w:t>
      </w:r>
    </w:p>
    <w:p w:rsidR="005B4D69" w:rsidRPr="006C0971" w:rsidRDefault="005B4D69" w:rsidP="005A01F1">
      <w:pPr>
        <w:spacing w:line="360" w:lineRule="auto"/>
        <w:ind w:firstLine="720"/>
        <w:jc w:val="both"/>
      </w:pPr>
    </w:p>
    <w:p w:rsidR="005B4D69" w:rsidRPr="006C0971" w:rsidRDefault="005B4D69" w:rsidP="00F54323">
      <w:pPr>
        <w:spacing w:line="360" w:lineRule="auto"/>
        <w:ind w:firstLine="720"/>
        <w:jc w:val="center"/>
        <w:rPr>
          <w:b/>
          <w:bCs/>
        </w:rPr>
      </w:pPr>
      <w:r w:rsidRPr="006C0971">
        <w:rPr>
          <w:b/>
          <w:bCs/>
        </w:rPr>
        <w:t xml:space="preserve">Articolul </w:t>
      </w:r>
      <w:r>
        <w:rPr>
          <w:b/>
          <w:bCs/>
        </w:rPr>
        <w:t>6</w:t>
      </w:r>
    </w:p>
    <w:p w:rsidR="005B4D69" w:rsidRPr="006C0971" w:rsidRDefault="005B4D69" w:rsidP="00F54323">
      <w:pPr>
        <w:spacing w:line="360" w:lineRule="auto"/>
        <w:ind w:firstLine="720"/>
        <w:jc w:val="center"/>
        <w:rPr>
          <w:b/>
          <w:bCs/>
        </w:rPr>
      </w:pPr>
      <w:r w:rsidRPr="006C0971">
        <w:rPr>
          <w:b/>
          <w:bCs/>
        </w:rPr>
        <w:t>Obligația de informare a autorităților de notificare</w:t>
      </w:r>
    </w:p>
    <w:p w:rsidR="005B4D69" w:rsidRPr="006C0971" w:rsidRDefault="005B4D69" w:rsidP="005A01F1">
      <w:pPr>
        <w:spacing w:line="360" w:lineRule="auto"/>
        <w:ind w:firstLine="720"/>
        <w:jc w:val="both"/>
      </w:pPr>
      <w:r w:rsidRPr="006C0971">
        <w:t xml:space="preserve">Ministerul Muncii, Familiei, Protecției Sociale și Persoanelor Vârstnice informează Comisia Europeană în legătură cu procedurile pe care le aplică pentru evaluarea și notificarea organismelor de evaluare a conformității și pentru monitorizarea organismelor notificate, precum și în legătură cu orice modificări ale acestora. </w:t>
      </w:r>
    </w:p>
    <w:p w:rsidR="005B4D69" w:rsidRPr="006C0971" w:rsidRDefault="005B4D69" w:rsidP="005A01F1">
      <w:pPr>
        <w:spacing w:line="360" w:lineRule="auto"/>
        <w:ind w:firstLine="720"/>
        <w:jc w:val="both"/>
      </w:pPr>
    </w:p>
    <w:p w:rsidR="005B4D69" w:rsidRPr="006C0971" w:rsidRDefault="005B4D69" w:rsidP="0031143D">
      <w:pPr>
        <w:spacing w:line="360" w:lineRule="auto"/>
        <w:ind w:firstLine="720"/>
        <w:jc w:val="center"/>
        <w:rPr>
          <w:b/>
          <w:bCs/>
        </w:rPr>
      </w:pPr>
      <w:r w:rsidRPr="006C0971">
        <w:rPr>
          <w:b/>
          <w:bCs/>
        </w:rPr>
        <w:t xml:space="preserve">Articolul </w:t>
      </w:r>
      <w:r>
        <w:rPr>
          <w:b/>
          <w:bCs/>
        </w:rPr>
        <w:t>7</w:t>
      </w:r>
    </w:p>
    <w:p w:rsidR="005B4D69" w:rsidRPr="006C0971" w:rsidRDefault="005B4D69" w:rsidP="0031143D">
      <w:pPr>
        <w:spacing w:line="360" w:lineRule="auto"/>
        <w:ind w:firstLine="720"/>
        <w:jc w:val="center"/>
        <w:rPr>
          <w:b/>
          <w:bCs/>
        </w:rPr>
      </w:pPr>
      <w:r w:rsidRPr="006C0971">
        <w:rPr>
          <w:b/>
          <w:bCs/>
        </w:rPr>
        <w:t>Prezumția de conformitate a organismelor notificate</w:t>
      </w:r>
    </w:p>
    <w:p w:rsidR="005B4D69" w:rsidRPr="006C0971" w:rsidRDefault="005B4D69" w:rsidP="004E0B87">
      <w:pPr>
        <w:spacing w:line="360" w:lineRule="auto"/>
        <w:ind w:firstLine="720"/>
        <w:jc w:val="both"/>
      </w:pPr>
      <w:r w:rsidRPr="006C0971">
        <w:t>În cazul în care un organism de evaluare a conformităţii îşi demonstrează conformitatea cu criteriile prevăzute în standardele române şi/sau în standardele naţionale ale celorlalte state membre ale Uniunii Europene care adoptă standardele armonizate relevante ale căror referinţe au fost publicate în Jurnalul Oficial al Uniunii Europene sau în părţi din aceste standarde, se consideră că acesta este în conformitate</w:t>
      </w:r>
      <w:r>
        <w:t xml:space="preserve"> cu cerinţele prevăzute la art.</w:t>
      </w:r>
      <w:r w:rsidRPr="006C0971">
        <w:t>24 din Regulament, în măsura în care acele standarde aplicabile acoperă aceste cerinţe.</w:t>
      </w:r>
    </w:p>
    <w:p w:rsidR="005B4D69" w:rsidRPr="006C0971" w:rsidRDefault="005B4D69" w:rsidP="004E0B87">
      <w:pPr>
        <w:spacing w:line="360" w:lineRule="auto"/>
        <w:ind w:firstLine="720"/>
        <w:jc w:val="both"/>
      </w:pPr>
    </w:p>
    <w:p w:rsidR="005B4D69" w:rsidRPr="006C0971" w:rsidRDefault="005B4D69" w:rsidP="0031143D">
      <w:pPr>
        <w:spacing w:line="360" w:lineRule="auto"/>
        <w:ind w:firstLine="720"/>
        <w:jc w:val="center"/>
        <w:rPr>
          <w:b/>
          <w:bCs/>
        </w:rPr>
      </w:pPr>
      <w:r w:rsidRPr="006C0971">
        <w:rPr>
          <w:b/>
          <w:bCs/>
        </w:rPr>
        <w:t xml:space="preserve">Articolul </w:t>
      </w:r>
      <w:r>
        <w:rPr>
          <w:b/>
          <w:bCs/>
        </w:rPr>
        <w:t>8</w:t>
      </w:r>
    </w:p>
    <w:p w:rsidR="005B4D69" w:rsidRPr="006C0971" w:rsidRDefault="005B4D69" w:rsidP="0031143D">
      <w:pPr>
        <w:spacing w:line="360" w:lineRule="auto"/>
        <w:ind w:firstLine="720"/>
        <w:jc w:val="center"/>
        <w:rPr>
          <w:b/>
          <w:bCs/>
        </w:rPr>
      </w:pPr>
      <w:r w:rsidRPr="006C0971">
        <w:rPr>
          <w:b/>
          <w:bCs/>
        </w:rPr>
        <w:t>Cererea de desemnare în vederea notificării</w:t>
      </w:r>
    </w:p>
    <w:p w:rsidR="005B4D69" w:rsidRPr="006C0971" w:rsidRDefault="005B4D69" w:rsidP="00F83A41">
      <w:pPr>
        <w:spacing w:line="360" w:lineRule="auto"/>
        <w:ind w:firstLine="720"/>
      </w:pPr>
      <w:r w:rsidRPr="00671CE6">
        <w:t>(1)</w:t>
      </w:r>
      <w:r w:rsidRPr="006C0971">
        <w:t xml:space="preserve"> Organismele de evaluare a conformității depun o cerere de desemnare în vederea notificării </w:t>
      </w:r>
      <w:r>
        <w:t>la</w:t>
      </w:r>
      <w:r w:rsidRPr="006C0971">
        <w:t xml:space="preserve"> Ministerul Muncii, Familiei, Protecției Sociale și Persoanelor Vârstnice.</w:t>
      </w:r>
    </w:p>
    <w:p w:rsidR="005B4D69" w:rsidRPr="006C0971" w:rsidRDefault="005B4D69" w:rsidP="00594EA0">
      <w:pPr>
        <w:spacing w:line="360" w:lineRule="auto"/>
        <w:ind w:firstLine="720"/>
        <w:jc w:val="both"/>
      </w:pPr>
      <w:r w:rsidRPr="006C0971">
        <w:t>(2) Cererea prevăzută la alin.(1) trebuie să fie însoțită de următoarele documente:</w:t>
      </w:r>
    </w:p>
    <w:p w:rsidR="005B4D69" w:rsidRPr="006C0971" w:rsidRDefault="005B4D69" w:rsidP="00594EA0">
      <w:pPr>
        <w:spacing w:line="360" w:lineRule="auto"/>
        <w:jc w:val="both"/>
      </w:pPr>
      <w:r w:rsidRPr="006C0971">
        <w:t xml:space="preserve">a) o descriere a activităților de evaluare a conformității, a modulului sau modulelor de evaluare a conformității </w:t>
      </w:r>
      <w:r w:rsidRPr="006C0971">
        <w:rPr>
          <w:rStyle w:val="apple-converted-space"/>
          <w:shd w:val="clear" w:color="auto" w:fill="FFFFFF"/>
        </w:rPr>
        <w:t> </w:t>
      </w:r>
      <w:r w:rsidRPr="006C0971">
        <w:rPr>
          <w:shd w:val="clear" w:color="auto" w:fill="FFFFFF"/>
        </w:rPr>
        <w:t>și a tipurilor de echipamente individuale de protecție pentru care organismul se declară a fi competent</w:t>
      </w:r>
      <w:r w:rsidRPr="006C0971">
        <w:t>;</w:t>
      </w:r>
    </w:p>
    <w:p w:rsidR="005B4D69" w:rsidRPr="006C0971" w:rsidRDefault="005B4D69" w:rsidP="00594EA0">
      <w:pPr>
        <w:spacing w:line="360" w:lineRule="auto"/>
        <w:jc w:val="both"/>
      </w:pPr>
      <w:r w:rsidRPr="006C0971">
        <w:t xml:space="preserve">b) certificatul de acreditare </w:t>
      </w:r>
      <w:r>
        <w:t>emis</w:t>
      </w:r>
      <w:r w:rsidRPr="006C0971">
        <w:t xml:space="preserve"> de un organism național de acreditare care să ateste că organismul de evaluare a conformității îndeplinește cerințele prevăzute la art.24 din Regulament.</w:t>
      </w:r>
    </w:p>
    <w:p w:rsidR="005B4D69" w:rsidRPr="006C0971" w:rsidRDefault="005B4D69" w:rsidP="00A12546">
      <w:pPr>
        <w:spacing w:line="360" w:lineRule="auto"/>
        <w:jc w:val="both"/>
      </w:pPr>
      <w:r w:rsidRPr="006C0971">
        <w:t>c) alte documente stabilite de procedura prevăzută la alin.(4).</w:t>
      </w:r>
    </w:p>
    <w:p w:rsidR="005B4D69" w:rsidRPr="006C0971" w:rsidRDefault="005B4D69" w:rsidP="007E44C8">
      <w:pPr>
        <w:spacing w:line="360" w:lineRule="auto"/>
        <w:ind w:firstLine="720"/>
        <w:jc w:val="both"/>
      </w:pPr>
      <w:r w:rsidRPr="006C0971" w:rsidDel="00A12546">
        <w:rPr>
          <w:b/>
          <w:bCs/>
        </w:rPr>
        <w:t xml:space="preserve"> </w:t>
      </w:r>
      <w:r w:rsidRPr="00671CE6">
        <w:t>(3)</w:t>
      </w:r>
      <w:r w:rsidRPr="006C0971">
        <w:t xml:space="preserve"> Ministerul Muncii, Familiei, Protecției Sociale și Persoanelor Vârstnice desemnează prin ordin al ministrului organismele de evaluare a conformităţii ce se notifică. Acest ordin se actualizează ori de câte ori este necesar.</w:t>
      </w:r>
    </w:p>
    <w:p w:rsidR="005B4D69" w:rsidRPr="006C0971" w:rsidRDefault="005B4D69" w:rsidP="007E44C8">
      <w:pPr>
        <w:spacing w:line="360" w:lineRule="auto"/>
        <w:ind w:firstLine="720"/>
        <w:jc w:val="both"/>
      </w:pPr>
      <w:r w:rsidRPr="00671CE6">
        <w:t>(4)</w:t>
      </w:r>
      <w:r w:rsidRPr="006C0971">
        <w:t xml:space="preserve"> Desemnarea prevăzută la alin.(3) se realizează în baza procedurii aprobate</w:t>
      </w:r>
      <w:r>
        <w:t xml:space="preserve"> potrivit prevederilor art.4 alin. (4) lit.</w:t>
      </w:r>
      <w:r w:rsidRPr="006C0971">
        <w:t>b) din Ordonanţa Guvernului nr. 20/2010 privind stabilirea unor măsuri pentru aplicarea unitară a legislaţiei Uniunii Europene care armonizează condiţiile de comercializare a produselor, aprobată cu modificări prin Legea nr. 50/2015, cu modificările ulterioare.</w:t>
      </w:r>
    </w:p>
    <w:p w:rsidR="005B4D69" w:rsidRPr="006C0971" w:rsidRDefault="005B4D69">
      <w:pPr>
        <w:spacing w:line="360" w:lineRule="auto"/>
        <w:ind w:firstLine="720"/>
        <w:jc w:val="both"/>
        <w:rPr>
          <w:b/>
          <w:bCs/>
        </w:rPr>
      </w:pPr>
      <w:r w:rsidRPr="006C0971">
        <w:t>(5) Ministerul Muncii, Familiei, Protecţiei Sociale şi Persoanelor Vârstnice notifică numai organismele de evaluare a conformității care au îndeplinit cerințele prevăzute la art.24 din Regulament.</w:t>
      </w:r>
    </w:p>
    <w:p w:rsidR="005B4D69" w:rsidRPr="006C0971" w:rsidRDefault="005B4D69">
      <w:pPr>
        <w:spacing w:line="360" w:lineRule="auto"/>
        <w:jc w:val="both"/>
      </w:pPr>
    </w:p>
    <w:p w:rsidR="005B4D69" w:rsidRPr="006C0971" w:rsidRDefault="005B4D69" w:rsidP="0031143D">
      <w:pPr>
        <w:spacing w:line="360" w:lineRule="auto"/>
        <w:ind w:firstLine="720"/>
        <w:jc w:val="center"/>
        <w:rPr>
          <w:b/>
          <w:bCs/>
        </w:rPr>
      </w:pPr>
      <w:r w:rsidRPr="006C0971">
        <w:rPr>
          <w:b/>
          <w:bCs/>
        </w:rPr>
        <w:t xml:space="preserve">Articolul </w:t>
      </w:r>
      <w:r>
        <w:rPr>
          <w:b/>
          <w:bCs/>
        </w:rPr>
        <w:t>9</w:t>
      </w:r>
    </w:p>
    <w:p w:rsidR="005B4D69" w:rsidRPr="006C0971" w:rsidRDefault="005B4D69" w:rsidP="0031143D">
      <w:pPr>
        <w:spacing w:line="360" w:lineRule="auto"/>
        <w:ind w:firstLine="720"/>
        <w:jc w:val="center"/>
        <w:rPr>
          <w:b/>
          <w:bCs/>
        </w:rPr>
      </w:pPr>
      <w:r w:rsidRPr="006C0971">
        <w:rPr>
          <w:b/>
          <w:bCs/>
        </w:rPr>
        <w:t>Contestarea competenței organismelor notificate</w:t>
      </w:r>
    </w:p>
    <w:p w:rsidR="005B4D69" w:rsidRPr="006C0971" w:rsidRDefault="005B4D69" w:rsidP="00977EF3">
      <w:pPr>
        <w:spacing w:line="360" w:lineRule="auto"/>
        <w:ind w:firstLine="720"/>
        <w:jc w:val="both"/>
      </w:pPr>
      <w:r w:rsidRPr="00671CE6">
        <w:t>(1)</w:t>
      </w:r>
      <w:r w:rsidRPr="006C0971">
        <w:t xml:space="preserve"> În cazurile în care Comisia Europeană investighează competenţa unui organism notificat sau continuarea îndeplinirii de către un organism notificat a cerinţelor şi a responsabilităţilor care îi revin, Ministerul Muncii, Familiei, Protecţiei Sociale şi Persoanelor Vârstnice prezintă acesteia, la cerere, toate informaţiile care au fundamentat notificarea sau menţinerea competenţei organismului în cauză.</w:t>
      </w:r>
    </w:p>
    <w:p w:rsidR="005B4D69" w:rsidRDefault="005B4D69" w:rsidP="00977EF3">
      <w:pPr>
        <w:autoSpaceDE w:val="0"/>
        <w:autoSpaceDN w:val="0"/>
        <w:adjustRightInd w:val="0"/>
        <w:spacing w:line="360" w:lineRule="auto"/>
        <w:jc w:val="both"/>
      </w:pPr>
      <w:r w:rsidRPr="006C0971">
        <w:rPr>
          <w:b/>
          <w:bCs/>
        </w:rPr>
        <w:t xml:space="preserve">           </w:t>
      </w:r>
      <w:r w:rsidRPr="00671CE6">
        <w:t>(2)</w:t>
      </w:r>
      <w:r w:rsidRPr="006C0971">
        <w:t xml:space="preserve"> În cazul în care Comisia Europeană constată că un organism notificat nu îndeplineşte sau nu mai îndeplineşte cerinţele pentru a fi notificat, Ministerul Muncii, Familiei, Protecţiei Sociale şi Persoanelor Vârstnice, în baza actului de punere în aplicare adoptat de către Comisia Europeană, ia măsurile corective necesare, inclusiv retragerea notificării, dacă este necesar.</w:t>
      </w:r>
    </w:p>
    <w:p w:rsidR="005B4D69" w:rsidRPr="006C0971" w:rsidRDefault="005B4D69" w:rsidP="00977EF3">
      <w:pPr>
        <w:autoSpaceDE w:val="0"/>
        <w:autoSpaceDN w:val="0"/>
        <w:adjustRightInd w:val="0"/>
        <w:spacing w:line="360" w:lineRule="auto"/>
        <w:jc w:val="both"/>
      </w:pPr>
    </w:p>
    <w:p w:rsidR="005B4D69" w:rsidRPr="006C0971" w:rsidRDefault="005B4D69" w:rsidP="00B56D75">
      <w:pPr>
        <w:autoSpaceDE w:val="0"/>
        <w:autoSpaceDN w:val="0"/>
        <w:adjustRightInd w:val="0"/>
        <w:spacing w:line="360" w:lineRule="auto"/>
        <w:jc w:val="center"/>
        <w:rPr>
          <w:b/>
          <w:bCs/>
        </w:rPr>
      </w:pPr>
      <w:r w:rsidRPr="006C0971">
        <w:rPr>
          <w:b/>
          <w:bCs/>
        </w:rPr>
        <w:t>Articolul 1</w:t>
      </w:r>
      <w:r>
        <w:rPr>
          <w:b/>
          <w:bCs/>
        </w:rPr>
        <w:t>0</w:t>
      </w:r>
    </w:p>
    <w:p w:rsidR="005B4D69" w:rsidRPr="006C0971" w:rsidRDefault="005B4D69" w:rsidP="007E44C8">
      <w:pPr>
        <w:autoSpaceDE w:val="0"/>
        <w:autoSpaceDN w:val="0"/>
        <w:adjustRightInd w:val="0"/>
        <w:spacing w:line="360" w:lineRule="auto"/>
        <w:jc w:val="center"/>
        <w:rPr>
          <w:b/>
          <w:bCs/>
        </w:rPr>
      </w:pPr>
      <w:r w:rsidRPr="006C0971">
        <w:rPr>
          <w:b/>
          <w:bCs/>
        </w:rPr>
        <w:t>Schimbul de experiență</w:t>
      </w:r>
    </w:p>
    <w:p w:rsidR="005B4D69" w:rsidRPr="006C0971" w:rsidRDefault="005B4D69" w:rsidP="00EE659B">
      <w:pPr>
        <w:autoSpaceDE w:val="0"/>
        <w:autoSpaceDN w:val="0"/>
        <w:adjustRightInd w:val="0"/>
        <w:spacing w:line="360" w:lineRule="auto"/>
        <w:ind w:firstLine="720"/>
        <w:jc w:val="both"/>
      </w:pPr>
      <w:r w:rsidRPr="006C0971">
        <w:t>Ministerul Muncii, Familiei, Protecţiei Sociale şi Persoanelor Vârstnice participă la schimbul de experienţă între autorităţile naţionale ale statelor membre responsabile de politica privind notificarea, organizat de către Comisia Europeană.</w:t>
      </w:r>
    </w:p>
    <w:p w:rsidR="005B4D69" w:rsidRPr="006C0971" w:rsidRDefault="005B4D69" w:rsidP="00EE659B">
      <w:pPr>
        <w:autoSpaceDE w:val="0"/>
        <w:autoSpaceDN w:val="0"/>
        <w:adjustRightInd w:val="0"/>
        <w:spacing w:line="360" w:lineRule="auto"/>
        <w:ind w:firstLine="720"/>
        <w:jc w:val="both"/>
      </w:pPr>
    </w:p>
    <w:p w:rsidR="005B4D69" w:rsidRPr="006C0971" w:rsidRDefault="005B4D69" w:rsidP="00B56D75">
      <w:pPr>
        <w:autoSpaceDE w:val="0"/>
        <w:autoSpaceDN w:val="0"/>
        <w:adjustRightInd w:val="0"/>
        <w:spacing w:line="360" w:lineRule="auto"/>
        <w:jc w:val="center"/>
        <w:rPr>
          <w:b/>
          <w:bCs/>
        </w:rPr>
      </w:pPr>
      <w:r w:rsidRPr="006C0971">
        <w:rPr>
          <w:b/>
          <w:bCs/>
        </w:rPr>
        <w:t>Articolul 1</w:t>
      </w:r>
      <w:r>
        <w:rPr>
          <w:b/>
          <w:bCs/>
        </w:rPr>
        <w:t>1</w:t>
      </w:r>
    </w:p>
    <w:p w:rsidR="005B4D69" w:rsidRPr="006C0971" w:rsidRDefault="005B4D69" w:rsidP="00B56D75">
      <w:pPr>
        <w:autoSpaceDE w:val="0"/>
        <w:autoSpaceDN w:val="0"/>
        <w:adjustRightInd w:val="0"/>
        <w:spacing w:line="360" w:lineRule="auto"/>
        <w:jc w:val="center"/>
        <w:rPr>
          <w:b/>
          <w:bCs/>
        </w:rPr>
      </w:pPr>
      <w:r w:rsidRPr="006C0971">
        <w:rPr>
          <w:b/>
          <w:bCs/>
        </w:rPr>
        <w:t>Supravegherea pieței echipamentelor individuale de protecție</w:t>
      </w:r>
    </w:p>
    <w:p w:rsidR="005B4D69" w:rsidRPr="006C0971" w:rsidRDefault="005B4D69" w:rsidP="00CD33F1">
      <w:pPr>
        <w:spacing w:line="360" w:lineRule="auto"/>
        <w:ind w:firstLine="720"/>
        <w:jc w:val="both"/>
      </w:pPr>
      <w:r w:rsidRPr="006C0971">
        <w:t>(1) Se</w:t>
      </w:r>
      <w:r w:rsidRPr="006C0971">
        <w:rPr>
          <w:b/>
          <w:bCs/>
        </w:rPr>
        <w:t xml:space="preserve"> </w:t>
      </w:r>
      <w:r w:rsidRPr="006C0971">
        <w:t>desemnează Inspecția Muncii ca autoritate de supraveghere a pieței pe domeniul reglementat de Regulament.</w:t>
      </w:r>
    </w:p>
    <w:p w:rsidR="005B4D69" w:rsidRPr="006C0971" w:rsidRDefault="005B4D69" w:rsidP="00CD33F1">
      <w:pPr>
        <w:spacing w:line="360" w:lineRule="auto"/>
        <w:ind w:firstLine="720"/>
        <w:jc w:val="both"/>
      </w:pPr>
      <w:r w:rsidRPr="006C0971">
        <w:t>(2) Autoritatea de supraveghere a pieței trebuie să informeze anual Ministerul Muncii, Familiei, Protecției Sociale și Persoanelor Vârstnice și ori de câte ori acesta îi solicită</w:t>
      </w:r>
      <w:r>
        <w:t>,</w:t>
      </w:r>
      <w:r w:rsidRPr="006C0971">
        <w:t xml:space="preserve"> cu privire la activitățile desfășurate privind supravegherea pieței.</w:t>
      </w:r>
    </w:p>
    <w:p w:rsidR="005B4D69" w:rsidRPr="006C0971" w:rsidRDefault="005B4D69" w:rsidP="00CD33F1">
      <w:pPr>
        <w:spacing w:line="360" w:lineRule="auto"/>
        <w:ind w:firstLine="720"/>
        <w:jc w:val="both"/>
      </w:pPr>
    </w:p>
    <w:p w:rsidR="005B4D69" w:rsidRPr="006C0971" w:rsidRDefault="005B4D69" w:rsidP="00B56D75">
      <w:pPr>
        <w:spacing w:line="360" w:lineRule="auto"/>
        <w:jc w:val="center"/>
        <w:rPr>
          <w:b/>
          <w:bCs/>
        </w:rPr>
      </w:pPr>
      <w:r w:rsidRPr="006C0971">
        <w:rPr>
          <w:b/>
          <w:bCs/>
        </w:rPr>
        <w:t>Articolul 1</w:t>
      </w:r>
      <w:r>
        <w:rPr>
          <w:b/>
          <w:bCs/>
        </w:rPr>
        <w:t>2</w:t>
      </w:r>
    </w:p>
    <w:p w:rsidR="005B4D69" w:rsidRPr="006C0971" w:rsidRDefault="005B4D69" w:rsidP="00B56D75">
      <w:pPr>
        <w:spacing w:line="360" w:lineRule="auto"/>
        <w:jc w:val="center"/>
        <w:rPr>
          <w:b/>
          <w:bCs/>
        </w:rPr>
      </w:pPr>
      <w:r w:rsidRPr="006C0971">
        <w:rPr>
          <w:b/>
          <w:bCs/>
        </w:rPr>
        <w:t>Atribuții ale autorității de supraveghere a pieței</w:t>
      </w:r>
    </w:p>
    <w:p w:rsidR="005B4D69" w:rsidRPr="006C0971" w:rsidRDefault="005B4D69" w:rsidP="00CD33F1">
      <w:pPr>
        <w:spacing w:line="360" w:lineRule="auto"/>
        <w:ind w:firstLine="720"/>
        <w:jc w:val="both"/>
      </w:pPr>
      <w:r w:rsidRPr="006C0971">
        <w:t>În aplicarea</w:t>
      </w:r>
      <w:r w:rsidRPr="006C0971">
        <w:rPr>
          <w:b/>
          <w:bCs/>
        </w:rPr>
        <w:t xml:space="preserve"> </w:t>
      </w:r>
      <w:r w:rsidRPr="006C0971">
        <w:t>prevederilor Capitolului VI din Regulament, Inspecția Muncii îndeplinește și următoarele atribuții:</w:t>
      </w:r>
    </w:p>
    <w:p w:rsidR="005B4D69" w:rsidRPr="006C0971" w:rsidRDefault="005B4D69" w:rsidP="00457DF2">
      <w:pPr>
        <w:pStyle w:val="ListParagraph"/>
        <w:numPr>
          <w:ilvl w:val="0"/>
          <w:numId w:val="1"/>
        </w:numPr>
        <w:spacing w:line="360" w:lineRule="auto"/>
        <w:jc w:val="both"/>
      </w:pPr>
      <w:r w:rsidRPr="006C0971">
        <w:t>informează Comisia și celelalte state membre în conformitate cu prevederile art. 38 alin.(6) și art.40 alin.(3) din Regulament;</w:t>
      </w:r>
    </w:p>
    <w:p w:rsidR="005B4D69" w:rsidRPr="006C0971" w:rsidRDefault="005B4D69" w:rsidP="00457DF2">
      <w:pPr>
        <w:pStyle w:val="ListParagraph"/>
        <w:numPr>
          <w:ilvl w:val="0"/>
          <w:numId w:val="1"/>
        </w:numPr>
        <w:spacing w:line="360" w:lineRule="auto"/>
        <w:jc w:val="both"/>
      </w:pPr>
      <w:r w:rsidRPr="006C0971">
        <w:t>se asigură că se iau fără întârziere măsurile restrictive corespunzătoare prevăzute la art.38 alin.(8) din Regulament;</w:t>
      </w:r>
    </w:p>
    <w:p w:rsidR="005B4D69" w:rsidRPr="006C0971" w:rsidRDefault="005B4D69" w:rsidP="00457DF2">
      <w:pPr>
        <w:pStyle w:val="ListParagraph"/>
        <w:numPr>
          <w:ilvl w:val="0"/>
          <w:numId w:val="1"/>
        </w:numPr>
        <w:spacing w:line="360" w:lineRule="auto"/>
        <w:jc w:val="both"/>
      </w:pPr>
      <w:r w:rsidRPr="006C0971">
        <w:t>participă la consultările cu statele membre și operatorul economic relevant/operatorii economici relevanți inițiate de Comisia Europeană în baza art.39 alin.(1) și art.40 alin.(4) din Regulament;</w:t>
      </w:r>
    </w:p>
    <w:p w:rsidR="005B4D69" w:rsidRPr="006C0971" w:rsidRDefault="005B4D69" w:rsidP="00457DF2">
      <w:pPr>
        <w:pStyle w:val="ListParagraph"/>
        <w:numPr>
          <w:ilvl w:val="0"/>
          <w:numId w:val="1"/>
        </w:numPr>
        <w:spacing w:line="360" w:lineRule="auto"/>
        <w:jc w:val="both"/>
      </w:pPr>
      <w:r w:rsidRPr="006C0971">
        <w:t>ia toate măsurile necesare care se impun în aplicarea prevederilor art.39 alin.(2) și art.41 alin.(2) din Regulament;</w:t>
      </w:r>
    </w:p>
    <w:p w:rsidR="005B4D69" w:rsidRPr="006C0971" w:rsidRDefault="005B4D69" w:rsidP="00457DF2">
      <w:pPr>
        <w:pStyle w:val="ListParagraph"/>
        <w:numPr>
          <w:ilvl w:val="0"/>
          <w:numId w:val="1"/>
        </w:numPr>
        <w:spacing w:line="360" w:lineRule="auto"/>
        <w:jc w:val="both"/>
      </w:pPr>
      <w:r w:rsidRPr="006C0971">
        <w:t>informează Comisia în conformitate cu prevederile art.39 alin.(2) din Regulament;</w:t>
      </w:r>
    </w:p>
    <w:p w:rsidR="005B4D69" w:rsidRPr="006C0971" w:rsidRDefault="005B4D69" w:rsidP="00457DF2">
      <w:pPr>
        <w:pStyle w:val="ListParagraph"/>
        <w:numPr>
          <w:ilvl w:val="0"/>
          <w:numId w:val="1"/>
        </w:numPr>
        <w:spacing w:line="360" w:lineRule="auto"/>
        <w:jc w:val="both"/>
      </w:pPr>
      <w:r w:rsidRPr="006C0971">
        <w:t xml:space="preserve">solicită operatorului economic relevant să ia toate măsurile corespunzătoare prevăzute la art.40 alin.(1) din Regulament sau să pună capăt neconformității dacă acesta se află în una din situațiile prevăzute la art.41 alin.(1) din Regulament; </w:t>
      </w:r>
    </w:p>
    <w:p w:rsidR="005B4D69" w:rsidRPr="006C0971" w:rsidRDefault="005B4D69" w:rsidP="00292492">
      <w:pPr>
        <w:spacing w:line="360" w:lineRule="auto"/>
        <w:jc w:val="center"/>
        <w:rPr>
          <w:b/>
          <w:bCs/>
        </w:rPr>
      </w:pPr>
    </w:p>
    <w:p w:rsidR="005B4D69" w:rsidRPr="006C0971" w:rsidRDefault="005B4D69" w:rsidP="00292492">
      <w:pPr>
        <w:spacing w:line="360" w:lineRule="auto"/>
        <w:jc w:val="center"/>
        <w:rPr>
          <w:b/>
          <w:bCs/>
        </w:rPr>
      </w:pPr>
      <w:r w:rsidRPr="006C0971">
        <w:rPr>
          <w:b/>
          <w:bCs/>
        </w:rPr>
        <w:t>Articolul 1</w:t>
      </w:r>
      <w:r>
        <w:rPr>
          <w:b/>
          <w:bCs/>
        </w:rPr>
        <w:t>3</w:t>
      </w:r>
    </w:p>
    <w:p w:rsidR="005B4D69" w:rsidRPr="006C0971" w:rsidRDefault="005B4D69" w:rsidP="00292492">
      <w:pPr>
        <w:spacing w:line="360" w:lineRule="auto"/>
        <w:jc w:val="center"/>
        <w:rPr>
          <w:b/>
          <w:bCs/>
        </w:rPr>
      </w:pPr>
      <w:r w:rsidRPr="006C0971">
        <w:rPr>
          <w:b/>
          <w:bCs/>
        </w:rPr>
        <w:t>Contravenții</w:t>
      </w:r>
    </w:p>
    <w:p w:rsidR="005B4D69" w:rsidRPr="006C0971" w:rsidRDefault="005B4D69" w:rsidP="00E63245">
      <w:pPr>
        <w:spacing w:line="360" w:lineRule="auto"/>
        <w:ind w:left="426" w:hanging="66"/>
      </w:pPr>
      <w:r w:rsidRPr="006C0971">
        <w:t>Constituie contravenţie următoarele fapte:</w:t>
      </w:r>
    </w:p>
    <w:p w:rsidR="005B4D69" w:rsidRPr="006C0971" w:rsidRDefault="005B4D69" w:rsidP="00E63245">
      <w:pPr>
        <w:pStyle w:val="ListParagraph"/>
        <w:numPr>
          <w:ilvl w:val="0"/>
          <w:numId w:val="10"/>
        </w:numPr>
        <w:spacing w:line="360" w:lineRule="auto"/>
        <w:jc w:val="both"/>
      </w:pPr>
      <w:r w:rsidRPr="006C0971">
        <w:t>nerespec</w:t>
      </w:r>
      <w:r>
        <w:t>tarea prevederilor art.8 alin.</w:t>
      </w:r>
      <w:r w:rsidRPr="006C0971">
        <w:t xml:space="preserve">(1) din Regulament, referitoare la îndeplinirea de către producător a cerințelor esențiale de sănătate și securitate aplicabile, pentru proiectarea şi fabricarea </w:t>
      </w:r>
      <w:r>
        <w:t>echipamentelor individuale de protecție</w:t>
      </w:r>
      <w:r w:rsidRPr="006C0971">
        <w:t>;</w:t>
      </w:r>
    </w:p>
    <w:p w:rsidR="005B4D69" w:rsidRPr="006C0971" w:rsidRDefault="005B4D69" w:rsidP="00E63245">
      <w:pPr>
        <w:pStyle w:val="ListParagraph"/>
        <w:numPr>
          <w:ilvl w:val="0"/>
          <w:numId w:val="10"/>
        </w:numPr>
        <w:spacing w:line="360" w:lineRule="auto"/>
        <w:jc w:val="both"/>
      </w:pPr>
      <w:r w:rsidRPr="006C0971">
        <w:t>nerespec</w:t>
      </w:r>
      <w:r>
        <w:t>tarea prevederilor art.8 alin.</w:t>
      </w:r>
      <w:r w:rsidRPr="006C0971">
        <w:t>(2) din Regulament, referitoare la obligativitatea producătorului de întocmire a documentației tehnice și de efectuare a procedurii de evaluare a conformității aplicabilă produsului;</w:t>
      </w:r>
    </w:p>
    <w:p w:rsidR="005B4D69" w:rsidRPr="006C0971" w:rsidRDefault="005B4D69" w:rsidP="00E63245">
      <w:pPr>
        <w:pStyle w:val="ListParagraph"/>
        <w:numPr>
          <w:ilvl w:val="0"/>
          <w:numId w:val="10"/>
        </w:numPr>
        <w:spacing w:line="360" w:lineRule="auto"/>
        <w:jc w:val="both"/>
      </w:pPr>
      <w:r w:rsidRPr="006C0971">
        <w:t>nerespec</w:t>
      </w:r>
      <w:r>
        <w:t>tarea prevederilor art.8 alin.</w:t>
      </w:r>
      <w:r w:rsidRPr="006C0971">
        <w:t>(2) din Regulament, referitoare la obligativitatea producătorului de întocmire a declaraţiei de conformitate UE şi de aplicare a marcajului CE;</w:t>
      </w:r>
    </w:p>
    <w:p w:rsidR="005B4D69" w:rsidRPr="006C0971" w:rsidRDefault="005B4D69" w:rsidP="00E63245">
      <w:pPr>
        <w:pStyle w:val="ListParagraph"/>
        <w:numPr>
          <w:ilvl w:val="0"/>
          <w:numId w:val="10"/>
        </w:numPr>
        <w:spacing w:line="360" w:lineRule="auto"/>
        <w:jc w:val="both"/>
      </w:pPr>
      <w:r w:rsidRPr="006C0971">
        <w:t>nerespec</w:t>
      </w:r>
      <w:r>
        <w:t>tarea prevederilor art.8 alin.</w:t>
      </w:r>
      <w:r w:rsidRPr="006C0971">
        <w:t xml:space="preserve">(3) din Regulament, referitoare la obligativitatea păstrării de către producători a documentației tehnice și a declarației de conformitate UE timp de 10 ani după introducerea pe piață a </w:t>
      </w:r>
      <w:r>
        <w:t>echipamentelor individuale de protecție</w:t>
      </w:r>
      <w:r w:rsidRPr="006C0971">
        <w:t>;</w:t>
      </w:r>
    </w:p>
    <w:p w:rsidR="005B4D69" w:rsidRPr="006C0971" w:rsidRDefault="005B4D69" w:rsidP="00E63245">
      <w:pPr>
        <w:pStyle w:val="ListParagraph"/>
        <w:numPr>
          <w:ilvl w:val="0"/>
          <w:numId w:val="10"/>
        </w:numPr>
        <w:spacing w:line="360" w:lineRule="auto"/>
        <w:jc w:val="both"/>
      </w:pPr>
      <w:r>
        <w:t>nerespectarea prevederilor art.</w:t>
      </w:r>
      <w:r w:rsidRPr="006C0971">
        <w:t>8</w:t>
      </w:r>
      <w:r>
        <w:t xml:space="preserve"> alin.</w:t>
      </w:r>
      <w:r w:rsidRPr="006C0971">
        <w:t>(4) din Regulament, referitoare la existenţa procedurilor pentru ca producția de serie să rămână conformă cu Regulamentul;</w:t>
      </w:r>
    </w:p>
    <w:p w:rsidR="005B4D69" w:rsidRPr="006C0971" w:rsidRDefault="005B4D69" w:rsidP="00E63245">
      <w:pPr>
        <w:pStyle w:val="ListParagraph"/>
        <w:numPr>
          <w:ilvl w:val="0"/>
          <w:numId w:val="10"/>
        </w:numPr>
        <w:spacing w:line="360" w:lineRule="auto"/>
        <w:jc w:val="both"/>
      </w:pPr>
      <w:r w:rsidRPr="006C0971">
        <w:t>nerespec</w:t>
      </w:r>
      <w:r>
        <w:t>tarea prevederilor art.8 alin.</w:t>
      </w:r>
      <w:r w:rsidRPr="006C0971">
        <w:t xml:space="preserve">(4) din Regulament, referitoare la obligativitatea producătorilor de a testa prin eşantionare </w:t>
      </w:r>
      <w:r>
        <w:t>echipamentele individuale de protecție</w:t>
      </w:r>
      <w:r w:rsidRPr="006C0971">
        <w:t xml:space="preserve"> puse la dispoziție pe piață</w:t>
      </w:r>
      <w:r>
        <w:t>,</w:t>
      </w:r>
      <w:r w:rsidRPr="006C0971">
        <w:t xml:space="preserve"> ori de câte ori acest lucru este justificat de riscurile prezentate de </w:t>
      </w:r>
      <w:r>
        <w:t>echipamentele individuale de protecție</w:t>
      </w:r>
      <w:r w:rsidRPr="006C0971">
        <w:t xml:space="preserve">, de a investiga și, după caz, de a ține un registru de plângeri pentru </w:t>
      </w:r>
      <w:r>
        <w:t>echipamentele individuale de protecție</w:t>
      </w:r>
      <w:r w:rsidRPr="006C0971">
        <w:t xml:space="preserve"> neconforme și rechemări ale </w:t>
      </w:r>
      <w:r>
        <w:t>echipamentelor individuale de protecție</w:t>
      </w:r>
      <w:r w:rsidRPr="006C0971">
        <w:t xml:space="preserve"> și de a informa distribuitorii în legătură cu orice astfel de activități de monitorizare;</w:t>
      </w:r>
    </w:p>
    <w:p w:rsidR="005B4D69" w:rsidRPr="006C0971" w:rsidRDefault="005B4D69" w:rsidP="00E63245">
      <w:pPr>
        <w:pStyle w:val="ListParagraph"/>
        <w:numPr>
          <w:ilvl w:val="0"/>
          <w:numId w:val="10"/>
        </w:numPr>
        <w:spacing w:line="360" w:lineRule="auto"/>
        <w:jc w:val="both"/>
      </w:pPr>
      <w:r w:rsidRPr="006C0971">
        <w:t>nerespec</w:t>
      </w:r>
      <w:r>
        <w:t>tarea prevederilor art. 8 alin.</w:t>
      </w:r>
      <w:r w:rsidRPr="006C0971">
        <w:t xml:space="preserve">(5) din Regulament, referitoare la obligativitatea producătorului de afişare pe </w:t>
      </w:r>
      <w:r>
        <w:t>echipamentele individuale de protecție</w:t>
      </w:r>
      <w:r w:rsidRPr="006C0971">
        <w:t xml:space="preserve"> sau pe ambalaj ori într-un document care însoţeşte </w:t>
      </w:r>
      <w:r>
        <w:t>echipamentele individuale de protecție,</w:t>
      </w:r>
      <w:r w:rsidRPr="006C0971">
        <w:t xml:space="preserve"> a tipului, lotului sau numărului de serie ori alt element care să permită identificarea acestora;</w:t>
      </w:r>
    </w:p>
    <w:p w:rsidR="005B4D69" w:rsidRPr="006C0971" w:rsidRDefault="005B4D69" w:rsidP="00E63245">
      <w:pPr>
        <w:pStyle w:val="ListParagraph"/>
        <w:numPr>
          <w:ilvl w:val="0"/>
          <w:numId w:val="10"/>
        </w:numPr>
        <w:spacing w:line="360" w:lineRule="auto"/>
        <w:jc w:val="both"/>
      </w:pPr>
      <w:r w:rsidRPr="006C0971">
        <w:t>nerespec</w:t>
      </w:r>
      <w:r>
        <w:t>tarea prevederilor art.8 alin.</w:t>
      </w:r>
      <w:r w:rsidRPr="006C0971">
        <w:t xml:space="preserve">(6) din Regulament, referitoare la obligativitatea indicării de către producător, pe </w:t>
      </w:r>
      <w:r>
        <w:t>echipamentele individuale de protecție</w:t>
      </w:r>
      <w:r w:rsidRPr="006C0971">
        <w:t xml:space="preserve"> sau pe ambalaj ori într-un document care însoțește </w:t>
      </w:r>
      <w:r>
        <w:t>echipamentele individuale de protecție</w:t>
      </w:r>
      <w:r w:rsidRPr="006C0971">
        <w:t xml:space="preserve"> a denumirii comerciale înregistrată sau marca înregistrată şi a adresei poștale la care poate fi contactat;</w:t>
      </w:r>
    </w:p>
    <w:p w:rsidR="005B4D69" w:rsidRPr="006C0971" w:rsidRDefault="005B4D69" w:rsidP="00E63245">
      <w:pPr>
        <w:pStyle w:val="ListParagraph"/>
        <w:numPr>
          <w:ilvl w:val="0"/>
          <w:numId w:val="10"/>
        </w:numPr>
        <w:spacing w:line="360" w:lineRule="auto"/>
        <w:jc w:val="both"/>
      </w:pPr>
      <w:r w:rsidRPr="006C0971">
        <w:t>nerespec</w:t>
      </w:r>
      <w:r>
        <w:t>tarea prevederilor art.8 alin.</w:t>
      </w:r>
      <w:r w:rsidRPr="006C0971">
        <w:t>(7) din Regulament, referitoare la obligativitatea producătorului de a se asigura că echipamentele individuale de protecție sunt însoțite de instrucțiunile și de informațiile prevăzute în anexa II punctul 1.4 din Regulament, sau că aceste instrucțiuni și informații, precum și orice text imprimat pe etichete sunt clare, ușor de înțeles, inteligibile și lizibile;</w:t>
      </w:r>
    </w:p>
    <w:p w:rsidR="005B4D69" w:rsidRPr="006C0971" w:rsidRDefault="005B4D69" w:rsidP="00E63245">
      <w:pPr>
        <w:pStyle w:val="ListParagraph"/>
        <w:numPr>
          <w:ilvl w:val="0"/>
          <w:numId w:val="10"/>
        </w:numPr>
        <w:spacing w:line="360" w:lineRule="auto"/>
        <w:jc w:val="both"/>
      </w:pPr>
      <w:r w:rsidRPr="006C0971">
        <w:t>nerespe</w:t>
      </w:r>
      <w:r>
        <w:t>ctarea prevederilor art.</w:t>
      </w:r>
      <w:r w:rsidRPr="006C0971">
        <w:t xml:space="preserve">8 alin.(8) din Regulament, referitoare la obligativitatea producătorului de a prezenta declarația de conformitate UE împreună cu </w:t>
      </w:r>
      <w:r>
        <w:t>echipamentele individuale de protecție</w:t>
      </w:r>
      <w:r w:rsidRPr="006C0971">
        <w:t xml:space="preserve">, fie de a include în instrucțiuni și informațiile </w:t>
      </w:r>
      <w:r>
        <w:t>prevăzute</w:t>
      </w:r>
      <w:r w:rsidRPr="006C0971">
        <w:t xml:space="preserve"> în anexa II punctul 1.4 </w:t>
      </w:r>
      <w:r>
        <w:t xml:space="preserve">din Regulament, </w:t>
      </w:r>
      <w:r w:rsidRPr="006C0971">
        <w:t>adresa de internet la care poate fi accesată declarația de conformitate UE;</w:t>
      </w:r>
    </w:p>
    <w:p w:rsidR="005B4D69" w:rsidRPr="006C0971" w:rsidRDefault="005B4D69" w:rsidP="00E63245">
      <w:pPr>
        <w:pStyle w:val="ListParagraph"/>
        <w:numPr>
          <w:ilvl w:val="0"/>
          <w:numId w:val="10"/>
        </w:numPr>
        <w:spacing w:line="360" w:lineRule="auto"/>
        <w:jc w:val="both"/>
      </w:pPr>
      <w:r w:rsidRPr="006C0971">
        <w:t>nerespec</w:t>
      </w:r>
      <w:r>
        <w:t>tarea prevederilor art.8 alin.</w:t>
      </w:r>
      <w:r w:rsidRPr="006C0971">
        <w:t xml:space="preserve">(9) din Regulament, referitoare la obligativitatea producătorului care consideră sau are motive să creadă că anumite </w:t>
      </w:r>
      <w:r>
        <w:t>echipamente individuale de protecție</w:t>
      </w:r>
      <w:r w:rsidRPr="006C0971">
        <w:t xml:space="preserve"> pe care le-a introdus pe piață nu sunt conforme cu Regulamentul</w:t>
      </w:r>
      <w:r>
        <w:t>,</w:t>
      </w:r>
      <w:r w:rsidRPr="006C0971">
        <w:t xml:space="preserve"> de a lua de îndată măsurile corective necesare pentru a aduce respectivele </w:t>
      </w:r>
      <w:r>
        <w:t>echipamente individuale de protecție</w:t>
      </w:r>
      <w:r w:rsidRPr="006C0971">
        <w:t xml:space="preserve"> în conformitate, a le retrage sau a le rechema, după caz, sau în cazul în care </w:t>
      </w:r>
      <w:r>
        <w:t>echipamentele individuale de protecție</w:t>
      </w:r>
      <w:r w:rsidRPr="006C0971">
        <w:t xml:space="preserve"> prezintă un risc, de a informa imediat în acest sens autoritatea de supraveghere a pieței, oferind detalii, în special cu privire la neconformitate și la toate măsurile corective luate;</w:t>
      </w:r>
    </w:p>
    <w:p w:rsidR="005B4D69" w:rsidRPr="006C0971" w:rsidRDefault="005B4D69" w:rsidP="00E63245">
      <w:pPr>
        <w:pStyle w:val="ListParagraph"/>
        <w:numPr>
          <w:ilvl w:val="0"/>
          <w:numId w:val="10"/>
        </w:numPr>
        <w:spacing w:line="360" w:lineRule="auto"/>
        <w:jc w:val="both"/>
      </w:pPr>
      <w:r w:rsidRPr="006C0971">
        <w:t>nerespec</w:t>
      </w:r>
      <w:r>
        <w:t>tarea prevederilor art.8 alin.</w:t>
      </w:r>
      <w:r w:rsidRPr="006C0971">
        <w:t>(10) din Regulament, referitoare la obligativitatea producătorului de a furniza autorității de supraveghere a pieței, în urma unei cereri motivate din partea acesteia, toate informațiile și documentația necesare, sau de a coopera cu autoritatea de supraveghere a pieței, la cererea acesteia, la orice acțiune întreprinsă pentru eliminarea riscurilor prezentate de echipamentele individuale de protecție pe care le-au pus la dispoziție pe piață;</w:t>
      </w:r>
    </w:p>
    <w:p w:rsidR="005B4D69" w:rsidRPr="006C0971" w:rsidRDefault="005B4D69" w:rsidP="00E63245">
      <w:pPr>
        <w:pStyle w:val="ListParagraph"/>
        <w:numPr>
          <w:ilvl w:val="0"/>
          <w:numId w:val="10"/>
        </w:numPr>
        <w:spacing w:line="360" w:lineRule="auto"/>
        <w:jc w:val="both"/>
      </w:pPr>
      <w:r w:rsidRPr="006C0971">
        <w:t>nerespec</w:t>
      </w:r>
      <w:r>
        <w:t>tarea prevederilor art. 9 alin.</w:t>
      </w:r>
      <w:r w:rsidRPr="006C0971">
        <w:t>(2) din Regulament, referitoare la obligativitatea reprezentantului autorizat de a păstra la dispoziția autorității de supraveghere a pieței declarația UE de conformitate și documentația tehnică timp de 10 ani după ce echipamentele individuale de protecție au fost introduse pe piață, sau de a furniza autorității de supraveghere a pieței, în urma unei cereri motivate din partea acesteia, informațiile și documentația necesare pentru a demonstra conformitatea echipamentelor individuale de protecție, sau de a coopera cu autoritatea de supraveghere a pieței, la cererea acesteia, cu privire la orice acțiune întreprinsă pentru eliminarea riscurilor prezentate de echipamentele individuale de protecție acoperite de mandat;</w:t>
      </w:r>
    </w:p>
    <w:p w:rsidR="005B4D69" w:rsidRPr="006C0971" w:rsidRDefault="005B4D69" w:rsidP="00E63245">
      <w:pPr>
        <w:pStyle w:val="ListParagraph"/>
        <w:numPr>
          <w:ilvl w:val="0"/>
          <w:numId w:val="10"/>
        </w:numPr>
        <w:spacing w:line="360" w:lineRule="auto"/>
        <w:jc w:val="both"/>
      </w:pPr>
      <w:r>
        <w:t>nerespectarea prevederilor art.10 alin.</w:t>
      </w:r>
      <w:r w:rsidRPr="006C0971">
        <w:t xml:space="preserve">(1) din Regulament, referitoare la obligativitatea importatorului de a introduce pe piaţă doar </w:t>
      </w:r>
      <w:r>
        <w:t>echipamente individuale de protecție</w:t>
      </w:r>
      <w:r w:rsidRPr="006C0971">
        <w:t xml:space="preserve"> conforme;</w:t>
      </w:r>
    </w:p>
    <w:p w:rsidR="005B4D69" w:rsidRPr="006C0971" w:rsidRDefault="005B4D69" w:rsidP="00E63245">
      <w:pPr>
        <w:pStyle w:val="ListParagraph"/>
        <w:numPr>
          <w:ilvl w:val="0"/>
          <w:numId w:val="10"/>
        </w:numPr>
        <w:spacing w:line="360" w:lineRule="auto"/>
        <w:jc w:val="both"/>
      </w:pPr>
      <w:r>
        <w:t>nerespectarea prevederilor art.10 alin.</w:t>
      </w:r>
      <w:r w:rsidRPr="006C0971">
        <w:t xml:space="preserve">(2) din Regulament, referitoare la obligativitatea importatorului de a se asigura, înainte de introducerea pe piață a </w:t>
      </w:r>
      <w:r>
        <w:t>echipamentelor individuale de protecție</w:t>
      </w:r>
      <w:r w:rsidRPr="006C0971">
        <w:t xml:space="preserve">, că producătorul a îndeplinit procedura corespunzătoare de evaluare a conformității, sau de a se asigura că producătorul a întocmit documentația tehnică, sau că </w:t>
      </w:r>
      <w:r>
        <w:t>echipamentele individuale de protecție</w:t>
      </w:r>
      <w:r w:rsidRPr="006C0971">
        <w:t xml:space="preserve"> poartă marcajul CE, ori că </w:t>
      </w:r>
      <w:r>
        <w:t>echipamentele individuale de protecție</w:t>
      </w:r>
      <w:r w:rsidRPr="006C0971">
        <w:t xml:space="preserve"> sunt însoțite de documentele cerute sau că producătorul a respectat cerințele prevăzute la art</w:t>
      </w:r>
      <w:r>
        <w:t>.</w:t>
      </w:r>
      <w:r w:rsidRPr="006C0971">
        <w:t>8 alin</w:t>
      </w:r>
      <w:r>
        <w:t>.</w:t>
      </w:r>
      <w:r w:rsidRPr="006C0971">
        <w:t>(5) și (6)</w:t>
      </w:r>
      <w:r>
        <w:t xml:space="preserve"> din Regulament</w:t>
      </w:r>
      <w:r w:rsidRPr="006C0971">
        <w:t>;</w:t>
      </w:r>
    </w:p>
    <w:p w:rsidR="005B4D69" w:rsidRPr="006C0971" w:rsidRDefault="005B4D69" w:rsidP="00E63245">
      <w:pPr>
        <w:pStyle w:val="ListParagraph"/>
        <w:numPr>
          <w:ilvl w:val="0"/>
          <w:numId w:val="10"/>
        </w:numPr>
        <w:spacing w:line="360" w:lineRule="auto"/>
        <w:jc w:val="both"/>
      </w:pPr>
      <w:r w:rsidRPr="006C0971">
        <w:t xml:space="preserve">nerespectarea prevederilor </w:t>
      </w:r>
      <w:r>
        <w:t>art.10 alin.</w:t>
      </w:r>
      <w:r w:rsidRPr="006C0971">
        <w:t>(2) din Regulament, referitoare la obligativitatea importatorului</w:t>
      </w:r>
      <w:r>
        <w:t>,</w:t>
      </w:r>
      <w:r w:rsidRPr="006C0971">
        <w:t xml:space="preserve"> care consideră sau are motive să creadă că anumite </w:t>
      </w:r>
      <w:r>
        <w:t>echipamente individuale de protecție</w:t>
      </w:r>
      <w:r w:rsidRPr="006C0971">
        <w:t xml:space="preserve"> nu sunt în conformitate cu cerințele esențiale de sănătate și securitate aplicabile</w:t>
      </w:r>
      <w:r>
        <w:t>,</w:t>
      </w:r>
      <w:r w:rsidRPr="006C0971">
        <w:t xml:space="preserve"> de a nu introduce aceste produse pe piață înainte ca ele să fi fost puse în conformitate sau de a informa producătorul și autoritățile de supraveghere a pieței atunci când </w:t>
      </w:r>
      <w:r>
        <w:t>echipamentele individuale de protecție</w:t>
      </w:r>
      <w:r w:rsidRPr="006C0971">
        <w:t xml:space="preserve"> prezintă un risc;</w:t>
      </w:r>
    </w:p>
    <w:p w:rsidR="005B4D69" w:rsidRPr="006C0971" w:rsidRDefault="005B4D69" w:rsidP="00E63245">
      <w:pPr>
        <w:pStyle w:val="ListParagraph"/>
        <w:numPr>
          <w:ilvl w:val="0"/>
          <w:numId w:val="10"/>
        </w:numPr>
        <w:spacing w:line="360" w:lineRule="auto"/>
        <w:jc w:val="both"/>
      </w:pPr>
      <w:r>
        <w:t>nerespectarea prevederilor art.10 alin.</w:t>
      </w:r>
      <w:r w:rsidRPr="006C0971">
        <w:t>(3) din Regulament, referitoare la obligativitatea importatorului de a indica denumirea, denumirea comercială înregistrată sau marca înregistrată și adresa poștală la care pot fi contactați;</w:t>
      </w:r>
    </w:p>
    <w:p w:rsidR="005B4D69" w:rsidRPr="006C0971" w:rsidRDefault="005B4D69" w:rsidP="00E63245">
      <w:pPr>
        <w:pStyle w:val="ListParagraph"/>
        <w:numPr>
          <w:ilvl w:val="0"/>
          <w:numId w:val="10"/>
        </w:numPr>
        <w:spacing w:line="360" w:lineRule="auto"/>
        <w:jc w:val="both"/>
      </w:pPr>
      <w:r>
        <w:t>nerespectarea prevederilor art.10 alin.</w:t>
      </w:r>
      <w:r w:rsidRPr="006C0971">
        <w:t xml:space="preserve">(4) din Regulament, referitoare la obligativitatea importatorului de a se asigura că </w:t>
      </w:r>
      <w:r>
        <w:t>echipamentele individuale de protecție</w:t>
      </w:r>
      <w:r w:rsidRPr="006C0971">
        <w:t xml:space="preserve"> sunt însoțite de instrucțiunile și informațiile prevăzute în anexa II punctul 1.4</w:t>
      </w:r>
      <w:r>
        <w:t xml:space="preserve"> din Regulament</w:t>
      </w:r>
      <w:r w:rsidRPr="006C0971">
        <w:t>;</w:t>
      </w:r>
    </w:p>
    <w:p w:rsidR="005B4D69" w:rsidRPr="006C0971" w:rsidRDefault="005B4D69" w:rsidP="00E63245">
      <w:pPr>
        <w:pStyle w:val="ListParagraph"/>
        <w:numPr>
          <w:ilvl w:val="0"/>
          <w:numId w:val="10"/>
        </w:numPr>
        <w:spacing w:line="360" w:lineRule="auto"/>
        <w:jc w:val="both"/>
      </w:pPr>
      <w:r>
        <w:t>nerespectarea prevederilor art.10 alin.</w:t>
      </w:r>
      <w:r w:rsidRPr="006C0971">
        <w:t xml:space="preserve">(5) din Regulament, referitoare la obligativitatea importatorului de a se asigura că, atât timp cât </w:t>
      </w:r>
      <w:r>
        <w:t>echipamentele individuale de protecție</w:t>
      </w:r>
      <w:r w:rsidRPr="006C0971">
        <w:t xml:space="preserve"> se află în responsabilitatea lor, condițiile de depozitare sau transport ale acestora nu le periclitează conformitatea cu cerințele esențiale de sănătate și securitate aplicabile prevăzute în anexa II</w:t>
      </w:r>
      <w:r>
        <w:t xml:space="preserve"> din Regulament</w:t>
      </w:r>
      <w:r w:rsidRPr="006C0971">
        <w:t>;</w:t>
      </w:r>
    </w:p>
    <w:p w:rsidR="005B4D69" w:rsidRPr="006C0971" w:rsidRDefault="005B4D69" w:rsidP="00E63245">
      <w:pPr>
        <w:pStyle w:val="ListParagraph"/>
        <w:numPr>
          <w:ilvl w:val="0"/>
          <w:numId w:val="10"/>
        </w:numPr>
        <w:spacing w:line="360" w:lineRule="auto"/>
        <w:jc w:val="both"/>
      </w:pPr>
      <w:r>
        <w:t>nerespectarea prevederilor art.10 alin.</w:t>
      </w:r>
      <w:r w:rsidRPr="006C0971">
        <w:t xml:space="preserve">(6) din Regulament, referitoare la obligativitatea importatorului de a testa prin eșantionare </w:t>
      </w:r>
      <w:r>
        <w:t>echipamentele individuale de protecție</w:t>
      </w:r>
      <w:r w:rsidRPr="006C0971">
        <w:t xml:space="preserve"> puse la dispoziție pe piață</w:t>
      </w:r>
      <w:r>
        <w:t>,</w:t>
      </w:r>
      <w:r w:rsidRPr="006C0971">
        <w:t xml:space="preserve"> ori de câte ori acest lucru este justificat de riscurile prezentate de </w:t>
      </w:r>
      <w:r>
        <w:t>echipamentele individuale de protecție</w:t>
      </w:r>
      <w:r w:rsidRPr="006C0971">
        <w:t xml:space="preserve">, de a investiga și, după caz, de a ține un registru de plângeri pentru </w:t>
      </w:r>
      <w:r>
        <w:t>echipamentele individuale de protecție</w:t>
      </w:r>
      <w:r w:rsidRPr="006C0971">
        <w:t xml:space="preserve"> neconforme și rechemări ale </w:t>
      </w:r>
      <w:r>
        <w:t>echipamentelor individuale de protecție</w:t>
      </w:r>
      <w:r w:rsidRPr="006C0971">
        <w:t xml:space="preserve"> şi de a informa distribuitorii în legătură cu orice astfel de activități de monitorizare;</w:t>
      </w:r>
      <w:r>
        <w:t xml:space="preserve"> </w:t>
      </w:r>
    </w:p>
    <w:p w:rsidR="005B4D69" w:rsidRPr="006C0971" w:rsidRDefault="005B4D69" w:rsidP="00E63245">
      <w:pPr>
        <w:pStyle w:val="ListParagraph"/>
        <w:numPr>
          <w:ilvl w:val="0"/>
          <w:numId w:val="10"/>
        </w:numPr>
        <w:spacing w:line="360" w:lineRule="auto"/>
        <w:jc w:val="both"/>
      </w:pPr>
      <w:r>
        <w:t>nerespectarea prevederilor art.10 alin.</w:t>
      </w:r>
      <w:r w:rsidRPr="006C0971">
        <w:t xml:space="preserve">(7) din Regulament, referitoare la obligativitatea importatorului care consideră sau are motive să creadă că anumite </w:t>
      </w:r>
      <w:r>
        <w:t>echipamente individuale de protecție</w:t>
      </w:r>
      <w:r w:rsidRPr="006C0971">
        <w:t xml:space="preserve"> pe care le-a introdus pe piață</w:t>
      </w:r>
      <w:r>
        <w:t>,</w:t>
      </w:r>
      <w:r w:rsidRPr="006C0971">
        <w:t xml:space="preserve"> nu sun</w:t>
      </w:r>
      <w:r>
        <w:t>t în conformitate cu prezentul R</w:t>
      </w:r>
      <w:r w:rsidRPr="006C0971">
        <w:t xml:space="preserve">egulament, de a lua de îndată măsurile corective necesare pentru a aduce respectivele </w:t>
      </w:r>
      <w:r>
        <w:t>echipamente individuale de protecție</w:t>
      </w:r>
      <w:r w:rsidRPr="006C0971">
        <w:t xml:space="preserve"> în conformitate, a le retrage sau a le rechema, după caz, sau în cazul în care </w:t>
      </w:r>
      <w:r>
        <w:t>echipamentele individuale de protecție</w:t>
      </w:r>
      <w:r w:rsidRPr="006C0971">
        <w:t xml:space="preserve"> prezintă un risc, de a informa imediat în acest sens autoritatea </w:t>
      </w:r>
      <w:r>
        <w:t>de supraveghere a pieței</w:t>
      </w:r>
      <w:r w:rsidRPr="006C0971">
        <w:t>;</w:t>
      </w:r>
    </w:p>
    <w:p w:rsidR="005B4D69" w:rsidRPr="006C0971" w:rsidRDefault="005B4D69" w:rsidP="00E63245">
      <w:pPr>
        <w:pStyle w:val="ListParagraph"/>
        <w:numPr>
          <w:ilvl w:val="0"/>
          <w:numId w:val="10"/>
        </w:numPr>
        <w:spacing w:line="360" w:lineRule="auto"/>
        <w:jc w:val="both"/>
      </w:pPr>
      <w:r>
        <w:t>nerespectarea prevederilor art.10 alin.</w:t>
      </w:r>
      <w:r w:rsidRPr="006C0971">
        <w:t xml:space="preserve">(8) din Regulament, referitoare la obligativitatea importatorului de a păstra o copie a declarației de conformitate UE la dispoziția autorității de supraveghere a pieței timp de 10 ani după introducerea pe piață a </w:t>
      </w:r>
      <w:r>
        <w:t>echipamentelor individuale de protecție</w:t>
      </w:r>
      <w:r w:rsidRPr="006C0971">
        <w:t xml:space="preserve"> și de a se asigura că documentația tehnică poate fi pusă la dispoziția acestei autorități, la cerere;</w:t>
      </w:r>
      <w:r>
        <w:t xml:space="preserve"> </w:t>
      </w:r>
    </w:p>
    <w:p w:rsidR="005B4D69" w:rsidRPr="006C0971" w:rsidRDefault="005B4D69" w:rsidP="00E63245">
      <w:pPr>
        <w:pStyle w:val="ListParagraph"/>
        <w:numPr>
          <w:ilvl w:val="0"/>
          <w:numId w:val="10"/>
        </w:numPr>
        <w:spacing w:line="360" w:lineRule="auto"/>
        <w:jc w:val="both"/>
      </w:pPr>
      <w:r>
        <w:t>nerespectarea prevederilor art.10 alin.</w:t>
      </w:r>
      <w:r w:rsidRPr="006C0971">
        <w:t>(9) din Regulament, referitoare la obligativitatea importatorului de a furniza autorității de supraveghere a pieței, în urma unei cereri motivate din partea acesteia, toate informațiile și documentația necesare, sau de a coopera cu autoritatea de supraveghere a pieței, la cererea acesteia, la orice acțiune întreprinsă pentru eliminarea riscurilor prezentate de echipamentele individuale de protecție pe care le-au pus la dispoziție pe piață;</w:t>
      </w:r>
    </w:p>
    <w:p w:rsidR="005B4D69" w:rsidRPr="006C0971" w:rsidRDefault="005B4D69" w:rsidP="00E63245">
      <w:pPr>
        <w:pStyle w:val="ListParagraph"/>
        <w:numPr>
          <w:ilvl w:val="0"/>
          <w:numId w:val="10"/>
        </w:numPr>
        <w:spacing w:line="360" w:lineRule="auto"/>
        <w:jc w:val="both"/>
      </w:pPr>
      <w:r>
        <w:t>nerespectarea prevederilor art.11 alin.</w:t>
      </w:r>
      <w:r w:rsidRPr="006C0971">
        <w:t>(2) din Regulament, referitoare la obligativitatea distribuitorului de a se asigura, înainte de a pune la dispoziție pe piață</w:t>
      </w:r>
      <w:r>
        <w:t xml:space="preserve"> echipamentele individuale de protecție</w:t>
      </w:r>
      <w:r w:rsidRPr="006C0971">
        <w:t xml:space="preserve">, că </w:t>
      </w:r>
      <w:r>
        <w:t>acestea</w:t>
      </w:r>
      <w:r w:rsidRPr="006C0971">
        <w:t xml:space="preserve"> poartă marcajul CE, sunt însoțite de documentele necesare și de instrucțiunile și informațiile prevăzute în anexa II punctul 1.4</w:t>
      </w:r>
      <w:r>
        <w:t xml:space="preserve"> din Regulament</w:t>
      </w:r>
      <w:r w:rsidRPr="006C0971">
        <w:t>, precum și că producătorul și importatorul au respectat cerințele prevăzute la art</w:t>
      </w:r>
      <w:r>
        <w:t>.</w:t>
      </w:r>
      <w:r w:rsidRPr="006C0971">
        <w:t>8 alin</w:t>
      </w:r>
      <w:r>
        <w:t>.</w:t>
      </w:r>
      <w:r w:rsidRPr="006C0971">
        <w:t>(5) și (6) și, respectiv, la art</w:t>
      </w:r>
      <w:r>
        <w:t>.</w:t>
      </w:r>
      <w:r w:rsidRPr="006C0971">
        <w:t>10 alin</w:t>
      </w:r>
      <w:r>
        <w:t>.</w:t>
      </w:r>
      <w:r w:rsidRPr="006C0971">
        <w:t>(3)</w:t>
      </w:r>
      <w:r>
        <w:t xml:space="preserve"> din Regulament</w:t>
      </w:r>
      <w:r w:rsidRPr="006C0971">
        <w:t>;</w:t>
      </w:r>
    </w:p>
    <w:p w:rsidR="005B4D69" w:rsidRPr="006C0971" w:rsidRDefault="005B4D69" w:rsidP="00E63245">
      <w:pPr>
        <w:pStyle w:val="ListParagraph"/>
        <w:numPr>
          <w:ilvl w:val="0"/>
          <w:numId w:val="10"/>
        </w:numPr>
        <w:spacing w:line="360" w:lineRule="auto"/>
        <w:jc w:val="both"/>
      </w:pPr>
      <w:r>
        <w:t>nerespectarea prevederilor art.11 alin.</w:t>
      </w:r>
      <w:r w:rsidRPr="006C0971">
        <w:t xml:space="preserve">(2) din Regulament, referitoare la obligativitatea distribuitorului care consideră sau are motive să creadă că anumite </w:t>
      </w:r>
      <w:r>
        <w:t>echipamente individuale de protecție</w:t>
      </w:r>
      <w:r w:rsidRPr="006C0971">
        <w:t xml:space="preserve"> nu sunt în conformitate cu cerințele esențiale de sănătate și securitate aplicabile prevăzute în anexa II</w:t>
      </w:r>
      <w:r>
        <w:t xml:space="preserve"> din Regulament</w:t>
      </w:r>
      <w:r w:rsidRPr="006C0971">
        <w:t xml:space="preserve">, de a nu pune respectivele </w:t>
      </w:r>
      <w:r>
        <w:t>echipamente individuale de protecție</w:t>
      </w:r>
      <w:r w:rsidRPr="006C0971">
        <w:t xml:space="preserve"> la dispoziție pe piață înainte ca acestea să fi fost puse în conformitate, sau, dacă </w:t>
      </w:r>
      <w:r>
        <w:t>echipamentele individuale de protecție</w:t>
      </w:r>
      <w:r w:rsidRPr="006C0971">
        <w:t xml:space="preserve"> prezintă un risc, de a informa producătorul sau importatorul, precum și autorit</w:t>
      </w:r>
      <w:r>
        <w:t>atea</w:t>
      </w:r>
      <w:r w:rsidRPr="006C0971">
        <w:t xml:space="preserve"> de supraveghere a pieței;</w:t>
      </w:r>
    </w:p>
    <w:p w:rsidR="005B4D69" w:rsidRPr="006C0971" w:rsidRDefault="005B4D69" w:rsidP="00E63245">
      <w:pPr>
        <w:pStyle w:val="ListParagraph"/>
        <w:numPr>
          <w:ilvl w:val="0"/>
          <w:numId w:val="10"/>
        </w:numPr>
        <w:spacing w:line="360" w:lineRule="auto"/>
        <w:jc w:val="both"/>
      </w:pPr>
      <w:r>
        <w:t>nerespectarea prevederilor art.11 alin.</w:t>
      </w:r>
      <w:r w:rsidRPr="006C0971">
        <w:t xml:space="preserve">(3) din Regulament, referitoare la obligativitatea distribuitorului de a se asigură că, atât timp cât </w:t>
      </w:r>
      <w:r>
        <w:t>echipamentele individuale de protecție</w:t>
      </w:r>
      <w:r w:rsidRPr="006C0971">
        <w:t xml:space="preserve"> se află în responsabilitatea lor, condițiile de depozitare sau de transport ale acestora nu le periclitează conformitatea cu cerințele esențiale de sănătate și securitate aplicabile prevăzute în anexa II</w:t>
      </w:r>
      <w:r>
        <w:t xml:space="preserve"> din Regulament</w:t>
      </w:r>
      <w:r w:rsidRPr="006C0971">
        <w:t>;</w:t>
      </w:r>
    </w:p>
    <w:p w:rsidR="005B4D69" w:rsidRPr="006C0971" w:rsidRDefault="005B4D69" w:rsidP="00E63245">
      <w:pPr>
        <w:pStyle w:val="ListParagraph"/>
        <w:numPr>
          <w:ilvl w:val="0"/>
          <w:numId w:val="10"/>
        </w:numPr>
        <w:spacing w:line="360" w:lineRule="auto"/>
        <w:jc w:val="both"/>
      </w:pPr>
      <w:r>
        <w:t>nerespectarea prevederilor art.11 alin.</w:t>
      </w:r>
      <w:r w:rsidRPr="006C0971">
        <w:t xml:space="preserve">(4) din Regulament, referitoare la obligativitatea distribuitorului care consideră sau are motive să creadă că anumite </w:t>
      </w:r>
      <w:r>
        <w:t>echipamente individuale de protecție</w:t>
      </w:r>
      <w:r w:rsidRPr="006C0971">
        <w:t xml:space="preserve"> pe care le-a pus la dispoziție pe piață nu sun</w:t>
      </w:r>
      <w:r>
        <w:t>t în conformitate cu R</w:t>
      </w:r>
      <w:r w:rsidRPr="006C0971">
        <w:t>egulament</w:t>
      </w:r>
      <w:r>
        <w:t>ul</w:t>
      </w:r>
      <w:r w:rsidRPr="006C0971">
        <w:t xml:space="preserve">, de a se asigură că sunt luate de îndată măsurile corective necesare pentru a le pune în conformitate, a le retrage sau a le rechema, după caz, sau, dacă </w:t>
      </w:r>
      <w:r>
        <w:t>echipamentele individuale de protecție</w:t>
      </w:r>
      <w:r w:rsidRPr="006C0971">
        <w:t xml:space="preserve"> prezintă un risc, de a informa imediat în acest sens autoritatea </w:t>
      </w:r>
      <w:r>
        <w:t>de supraveghere a pieței</w:t>
      </w:r>
      <w:r w:rsidRPr="006C0971">
        <w:t>;</w:t>
      </w:r>
    </w:p>
    <w:p w:rsidR="005B4D69" w:rsidRPr="006C0971" w:rsidRDefault="005B4D69" w:rsidP="00E63245">
      <w:pPr>
        <w:pStyle w:val="ListParagraph"/>
        <w:numPr>
          <w:ilvl w:val="0"/>
          <w:numId w:val="10"/>
        </w:numPr>
        <w:spacing w:line="360" w:lineRule="auto"/>
        <w:jc w:val="both"/>
      </w:pPr>
      <w:r>
        <w:t>nerespectarea prevederilor art.11 alin.</w:t>
      </w:r>
      <w:r w:rsidRPr="006C0971">
        <w:t xml:space="preserve">(5) din Regulament, referitoare la obligativitatea distribuitorului de a </w:t>
      </w:r>
      <w:r w:rsidRPr="00847F7D">
        <w:t xml:space="preserve">furniza autorității </w:t>
      </w:r>
      <w:r>
        <w:t>de supraveghere a pieței</w:t>
      </w:r>
      <w:r w:rsidRPr="00847F7D">
        <w:t>, la cererea motivată a</w:t>
      </w:r>
      <w:r w:rsidRPr="006C0971">
        <w:t xml:space="preserve"> acesteia, toate informațiile și documentația necesare, pentru a demonstra conformitatea </w:t>
      </w:r>
      <w:r>
        <w:t xml:space="preserve">echipamentelor individuale de protecție, sau de a </w:t>
      </w:r>
      <w:r w:rsidRPr="006C0971">
        <w:t xml:space="preserve">coopera cu autoritatea respectivă la orice acțiune de eliminare a riscurilor prezentate de </w:t>
      </w:r>
      <w:r>
        <w:t>echipamentele individuale de protecție</w:t>
      </w:r>
      <w:r w:rsidRPr="006C0971">
        <w:t xml:space="preserve"> pe care le-au pus la dispoziție pe piață, la cererea acesteia;</w:t>
      </w:r>
      <w:r>
        <w:t xml:space="preserve"> </w:t>
      </w:r>
    </w:p>
    <w:p w:rsidR="005B4D69" w:rsidRPr="006C0971" w:rsidRDefault="005B4D69" w:rsidP="00E63245">
      <w:pPr>
        <w:pStyle w:val="ListParagraph"/>
        <w:numPr>
          <w:ilvl w:val="0"/>
          <w:numId w:val="10"/>
        </w:numPr>
        <w:spacing w:line="360" w:lineRule="auto"/>
        <w:jc w:val="both"/>
      </w:pPr>
      <w:r>
        <w:t>nerespectarea prevederilor art.</w:t>
      </w:r>
      <w:r w:rsidRPr="006C0971">
        <w:t xml:space="preserve">13 din Regulament, referitoare la obligativitatea operatorilor economici de a transmite către autoritatea de supraveghere a pieței, la cererea acesteia, datele de identificare ale oricărui operator economic care le-a furnizat </w:t>
      </w:r>
      <w:r>
        <w:t>echipamente individuale de protecție</w:t>
      </w:r>
      <w:r w:rsidRPr="006C0971">
        <w:t xml:space="preserve"> şi/sau ale oricărui operator economic căruia i-au furnizat </w:t>
      </w:r>
      <w:r>
        <w:t>echipamente individuale de protecție</w:t>
      </w:r>
      <w:r w:rsidRPr="006C0971">
        <w:t>;</w:t>
      </w:r>
    </w:p>
    <w:p w:rsidR="005B4D69" w:rsidRPr="006C0971" w:rsidRDefault="005B4D69" w:rsidP="00E63245">
      <w:pPr>
        <w:pStyle w:val="ListParagraph"/>
        <w:numPr>
          <w:ilvl w:val="0"/>
          <w:numId w:val="10"/>
        </w:numPr>
        <w:spacing w:line="360" w:lineRule="auto"/>
        <w:jc w:val="both"/>
      </w:pPr>
      <w:r>
        <w:t>nerespectarea prevederilor art.</w:t>
      </w:r>
      <w:r w:rsidRPr="006C0971">
        <w:t xml:space="preserve">15 alin. (2) din Regulament, referitoare la structura şi </w:t>
      </w:r>
      <w:r>
        <w:t xml:space="preserve">conținutul </w:t>
      </w:r>
      <w:r w:rsidRPr="006C0971">
        <w:t xml:space="preserve">declaraţiei de conformitate UE; </w:t>
      </w:r>
    </w:p>
    <w:p w:rsidR="005B4D69" w:rsidRDefault="005B4D69" w:rsidP="00E63245">
      <w:pPr>
        <w:pStyle w:val="ListParagraph"/>
        <w:numPr>
          <w:ilvl w:val="0"/>
          <w:numId w:val="10"/>
        </w:numPr>
        <w:spacing w:line="360" w:lineRule="auto"/>
        <w:jc w:val="both"/>
      </w:pPr>
      <w:r w:rsidRPr="006C0971">
        <w:t>nerespect</w:t>
      </w:r>
      <w:r>
        <w:t>area prevederilor art.17 alin.</w:t>
      </w:r>
      <w:r w:rsidRPr="006C0971">
        <w:t xml:space="preserve">(1) şi/sau (3) din Regulament, referitoare la condiţiile de aplicare a marcajului CE. </w:t>
      </w:r>
    </w:p>
    <w:p w:rsidR="005B4D69" w:rsidRDefault="005B4D69" w:rsidP="006C0971">
      <w:pPr>
        <w:spacing w:line="360" w:lineRule="auto"/>
        <w:jc w:val="both"/>
      </w:pPr>
    </w:p>
    <w:p w:rsidR="005B4D69" w:rsidRDefault="005B4D69" w:rsidP="006C0971">
      <w:pPr>
        <w:spacing w:line="360" w:lineRule="auto"/>
        <w:jc w:val="both"/>
      </w:pPr>
    </w:p>
    <w:p w:rsidR="005B4D69" w:rsidRDefault="005B4D69" w:rsidP="006C0971">
      <w:pPr>
        <w:spacing w:line="360" w:lineRule="auto"/>
        <w:jc w:val="both"/>
      </w:pPr>
    </w:p>
    <w:p w:rsidR="005B4D69" w:rsidRPr="006C0971" w:rsidRDefault="005B4D69" w:rsidP="006C0971">
      <w:pPr>
        <w:spacing w:line="360" w:lineRule="auto"/>
        <w:jc w:val="both"/>
      </w:pPr>
    </w:p>
    <w:p w:rsidR="005B4D69" w:rsidRPr="006C0971" w:rsidRDefault="005B4D69" w:rsidP="00E63245">
      <w:pPr>
        <w:spacing w:line="360" w:lineRule="auto"/>
        <w:jc w:val="center"/>
        <w:rPr>
          <w:b/>
          <w:bCs/>
        </w:rPr>
      </w:pPr>
      <w:r w:rsidRPr="006C0971">
        <w:rPr>
          <w:b/>
          <w:bCs/>
        </w:rPr>
        <w:t>Articolul 1</w:t>
      </w:r>
      <w:r>
        <w:rPr>
          <w:b/>
          <w:bCs/>
        </w:rPr>
        <w:t>4</w:t>
      </w:r>
    </w:p>
    <w:p w:rsidR="005B4D69" w:rsidRPr="006C0971" w:rsidRDefault="005B4D69" w:rsidP="00E63245">
      <w:pPr>
        <w:spacing w:line="360" w:lineRule="auto"/>
        <w:jc w:val="center"/>
        <w:rPr>
          <w:b/>
          <w:bCs/>
        </w:rPr>
      </w:pPr>
      <w:r w:rsidRPr="006C0971">
        <w:rPr>
          <w:b/>
          <w:bCs/>
        </w:rPr>
        <w:t>Sancțiuni</w:t>
      </w:r>
    </w:p>
    <w:p w:rsidR="005B4D69" w:rsidRPr="006C0971" w:rsidRDefault="005B4D69" w:rsidP="00E63245">
      <w:pPr>
        <w:spacing w:line="360" w:lineRule="auto"/>
        <w:ind w:firstLine="360"/>
        <w:jc w:val="both"/>
      </w:pPr>
      <w:r>
        <w:t>(1) Faptele prevăzute la art.</w:t>
      </w:r>
      <w:r w:rsidRPr="006C0971">
        <w:t>1</w:t>
      </w:r>
      <w:r>
        <w:t>3 lit.</w:t>
      </w:r>
      <w:r w:rsidRPr="006C0971">
        <w:t xml:space="preserve">a) se sancţionează cu amendă de la 5.000lei la 10.000lei, retragerea, rechemarea de pe piață și interzicerea punerii la dispoziție pe piață a produselor neconforme; </w:t>
      </w:r>
    </w:p>
    <w:p w:rsidR="005B4D69" w:rsidRPr="006C0971" w:rsidRDefault="005B4D69" w:rsidP="00E63245">
      <w:pPr>
        <w:spacing w:line="360" w:lineRule="auto"/>
        <w:ind w:firstLine="360"/>
        <w:jc w:val="both"/>
      </w:pPr>
      <w:r>
        <w:t>(2) Faptele prevăzute la art.</w:t>
      </w:r>
      <w:r w:rsidRPr="006C0971">
        <w:t>1</w:t>
      </w:r>
      <w:r>
        <w:t>3 lit.</w:t>
      </w:r>
      <w:r w:rsidRPr="006C0971">
        <w:t xml:space="preserve">b), n), s), z) se sancţionează cu amendă de la 4.000lei la 8.000lei, retragerea, rechemarea de pe piață și interzicerea punerii la dispoziție pe piață a produselor neconforme; </w:t>
      </w:r>
    </w:p>
    <w:p w:rsidR="005B4D69" w:rsidRPr="006C0971" w:rsidRDefault="005B4D69" w:rsidP="00E63245">
      <w:pPr>
        <w:spacing w:line="360" w:lineRule="auto"/>
        <w:ind w:firstLine="360"/>
        <w:jc w:val="both"/>
      </w:pPr>
      <w:r>
        <w:t>(3) Faptele prevăzute la art.</w:t>
      </w:r>
      <w:r w:rsidRPr="006C0971">
        <w:t>1</w:t>
      </w:r>
      <w:r>
        <w:t>3 lit.</w:t>
      </w:r>
      <w:r w:rsidRPr="006C0971">
        <w:t xml:space="preserve">i), j), l), m), dd) se sancţionează cu amendă de la 4.000lei la 8.000lei, retragerea și/sau interzicerea punerii la dispoziție pe piață a produselor neconforme; </w:t>
      </w:r>
    </w:p>
    <w:p w:rsidR="005B4D69" w:rsidRPr="006C0971" w:rsidRDefault="005B4D69" w:rsidP="00E63245">
      <w:pPr>
        <w:spacing w:line="360" w:lineRule="auto"/>
        <w:ind w:firstLine="360"/>
        <w:jc w:val="both"/>
      </w:pPr>
      <w:r>
        <w:t>(4) Faptele prevăzute la art.</w:t>
      </w:r>
      <w:r w:rsidRPr="006C0971">
        <w:t>1</w:t>
      </w:r>
      <w:r>
        <w:t>3 lit.</w:t>
      </w:r>
      <w:r w:rsidRPr="006C0971">
        <w:t>c), d), e), f), g), h), k), o), p), r), w), cc) se sancţionează cu amendă de la 3.000lei la 6.000lei, retragerea și/sau interzicerea punerii la dispoziție pe piață a produselor neconforme;</w:t>
      </w:r>
    </w:p>
    <w:p w:rsidR="005B4D69" w:rsidRPr="006C0971" w:rsidRDefault="005B4D69" w:rsidP="00E63245">
      <w:pPr>
        <w:spacing w:line="360" w:lineRule="auto"/>
        <w:ind w:firstLine="360"/>
        <w:jc w:val="both"/>
      </w:pPr>
      <w:r>
        <w:t>(5) Faptele prevăzute la art.</w:t>
      </w:r>
      <w:r w:rsidRPr="006C0971">
        <w:t>1</w:t>
      </w:r>
      <w:r>
        <w:t>3 lit.</w:t>
      </w:r>
      <w:r w:rsidRPr="006C0971">
        <w:t>q), t), u), v), x), y), aa), bb), ee) se sancţionează cu amendă de la 2.000lei la 4.000lei, retragerea și/sau interzicerea punerii la dispoziție pe piață a produselor neconforme.</w:t>
      </w:r>
    </w:p>
    <w:p w:rsidR="005B4D69" w:rsidRPr="006C0971" w:rsidRDefault="005B4D69" w:rsidP="00E63245">
      <w:pPr>
        <w:spacing w:line="360" w:lineRule="auto"/>
        <w:ind w:firstLine="360"/>
        <w:jc w:val="both"/>
      </w:pPr>
      <w:r w:rsidRPr="006C0971">
        <w:t>(6)</w:t>
      </w:r>
      <w:r w:rsidRPr="006C0971">
        <w:rPr>
          <w:b/>
          <w:bCs/>
        </w:rPr>
        <w:t xml:space="preserve"> </w:t>
      </w:r>
      <w:r w:rsidRPr="006C0971">
        <w:t>Constatarea contravențiilor prevăzute la art.1</w:t>
      </w:r>
      <w:r>
        <w:t>3</w:t>
      </w:r>
      <w:r w:rsidRPr="006C0971">
        <w:t xml:space="preserve"> și aplicarea sancțiunilor prevăzute la a</w:t>
      </w:r>
      <w:r>
        <w:t>lin.</w:t>
      </w:r>
      <w:r w:rsidRPr="006C0971">
        <w:t>(1) – (5) se face de către personalul împuternicit din cadrul Inspecției Muncii.</w:t>
      </w:r>
    </w:p>
    <w:p w:rsidR="005B4D69" w:rsidRPr="006C0971" w:rsidRDefault="005B4D69" w:rsidP="00E63245">
      <w:pPr>
        <w:spacing w:line="360" w:lineRule="auto"/>
        <w:ind w:firstLine="360"/>
        <w:jc w:val="both"/>
      </w:pPr>
      <w:r w:rsidRPr="006C0971">
        <w:t>(7) Contravențiilor prevăzute la art.1</w:t>
      </w:r>
      <w:r>
        <w:t>3</w:t>
      </w:r>
      <w:r w:rsidRPr="006C0971">
        <w:t xml:space="preserve"> le sunt aplicabile dispozițiile Ordonanței Guvernului nr.2/2001 privind regimul juridic al contravențiilor, aprobată cu modificări și completări prin Legea nr.180/2002, cu modificările și completările ulterioare. </w:t>
      </w:r>
    </w:p>
    <w:p w:rsidR="005B4D69" w:rsidRPr="006C0971" w:rsidRDefault="005B4D69" w:rsidP="004E0B87">
      <w:pPr>
        <w:spacing w:line="360" w:lineRule="auto"/>
        <w:ind w:firstLine="720"/>
        <w:jc w:val="both"/>
      </w:pPr>
    </w:p>
    <w:p w:rsidR="005B4D69" w:rsidRPr="006C0971" w:rsidRDefault="005B4D69" w:rsidP="001E3ABD">
      <w:pPr>
        <w:spacing w:line="360" w:lineRule="auto"/>
        <w:ind w:firstLine="720"/>
        <w:jc w:val="center"/>
        <w:rPr>
          <w:b/>
          <w:bCs/>
        </w:rPr>
      </w:pPr>
      <w:r w:rsidRPr="006C0971">
        <w:rPr>
          <w:b/>
          <w:bCs/>
        </w:rPr>
        <w:t>Articolul 1</w:t>
      </w:r>
      <w:r>
        <w:rPr>
          <w:b/>
          <w:bCs/>
        </w:rPr>
        <w:t>5</w:t>
      </w:r>
    </w:p>
    <w:p w:rsidR="005B4D69" w:rsidRPr="006C0971" w:rsidRDefault="005B4D69" w:rsidP="001E3ABD">
      <w:pPr>
        <w:spacing w:line="360" w:lineRule="auto"/>
        <w:ind w:firstLine="720"/>
        <w:jc w:val="center"/>
        <w:rPr>
          <w:b/>
          <w:bCs/>
        </w:rPr>
      </w:pPr>
      <w:r w:rsidRPr="006C0971">
        <w:rPr>
          <w:b/>
          <w:bCs/>
        </w:rPr>
        <w:t>Abrogare</w:t>
      </w:r>
    </w:p>
    <w:p w:rsidR="005B4D69" w:rsidRPr="006C0971" w:rsidRDefault="005B4D69" w:rsidP="001E3ABD">
      <w:pPr>
        <w:spacing w:line="360" w:lineRule="auto"/>
        <w:ind w:firstLine="720"/>
        <w:jc w:val="both"/>
      </w:pPr>
      <w:r w:rsidRPr="006C0971">
        <w:t xml:space="preserve">(1) La 21 aprilie 2018, </w:t>
      </w:r>
      <w:r>
        <w:t>Hotărârea Guvernului nr.</w:t>
      </w:r>
      <w:r w:rsidRPr="006C0971">
        <w:t>115/2004 privind stabilirea cerințelor esențiale de securitate ale echipamentelor individuale de protecție și a condițiilor pentru introducerea lor pe piață, publicată în Monitorul Oficial al României, Partea I, nr. 166 din 26 februarie 2004, cu modificările și completările ulterioare, se abrogă.</w:t>
      </w:r>
    </w:p>
    <w:p w:rsidR="005B4D69" w:rsidRPr="006C0971" w:rsidRDefault="005B4D69" w:rsidP="001E3ABD">
      <w:pPr>
        <w:spacing w:line="360" w:lineRule="auto"/>
        <w:ind w:firstLine="720"/>
        <w:jc w:val="both"/>
      </w:pPr>
      <w:r w:rsidRPr="006C0971">
        <w:t>(2) Ori de câte ori în alt act normativ anterior se face trimitere la actul normativ abrogat la alin. (1), trimiterea se va considera a fi făcută la Regulament și la dispoziţiile corespunzătoare din prezenta hotărâre, după caz.</w:t>
      </w:r>
    </w:p>
    <w:p w:rsidR="005B4D69" w:rsidRDefault="005B4D69" w:rsidP="001E3ABD">
      <w:pPr>
        <w:spacing w:line="360" w:lineRule="auto"/>
        <w:ind w:firstLine="720"/>
        <w:jc w:val="both"/>
      </w:pPr>
    </w:p>
    <w:p w:rsidR="005B4D69" w:rsidRPr="006C0971" w:rsidRDefault="005B4D69" w:rsidP="001E3ABD">
      <w:pPr>
        <w:spacing w:line="360" w:lineRule="auto"/>
        <w:ind w:firstLine="720"/>
        <w:jc w:val="both"/>
      </w:pPr>
    </w:p>
    <w:p w:rsidR="005B4D69" w:rsidRPr="006C0971" w:rsidRDefault="005B4D69" w:rsidP="001E3ABD">
      <w:pPr>
        <w:spacing w:line="360" w:lineRule="auto"/>
        <w:ind w:firstLine="720"/>
        <w:jc w:val="center"/>
        <w:rPr>
          <w:b/>
          <w:bCs/>
        </w:rPr>
      </w:pPr>
      <w:r w:rsidRPr="006C0971">
        <w:rPr>
          <w:b/>
          <w:bCs/>
        </w:rPr>
        <w:t>Articolul 1</w:t>
      </w:r>
      <w:r>
        <w:rPr>
          <w:b/>
          <w:bCs/>
        </w:rPr>
        <w:t>6</w:t>
      </w:r>
    </w:p>
    <w:p w:rsidR="005B4D69" w:rsidRPr="006C0971" w:rsidRDefault="005B4D69" w:rsidP="001E3ABD">
      <w:pPr>
        <w:spacing w:line="360" w:lineRule="auto"/>
        <w:ind w:firstLine="720"/>
        <w:jc w:val="center"/>
        <w:rPr>
          <w:b/>
          <w:bCs/>
        </w:rPr>
      </w:pPr>
      <w:r w:rsidRPr="006C0971">
        <w:rPr>
          <w:b/>
          <w:bCs/>
        </w:rPr>
        <w:t>Dispoziții tranzitorii și finale</w:t>
      </w:r>
    </w:p>
    <w:p w:rsidR="005B4D69" w:rsidRPr="006C0971" w:rsidRDefault="005B4D69" w:rsidP="00124531">
      <w:pPr>
        <w:spacing w:line="360" w:lineRule="auto"/>
        <w:ind w:firstLine="720"/>
        <w:jc w:val="both"/>
      </w:pPr>
      <w:r w:rsidRPr="006C0971">
        <w:t xml:space="preserve"> (1) Produsele introduse pe piaţă înainte de data de 21 aprilie 201</w:t>
      </w:r>
      <w:r>
        <w:t>9</w:t>
      </w:r>
      <w:r w:rsidRPr="006C0971">
        <w:t>, potrivit preved</w:t>
      </w:r>
      <w:r>
        <w:t>erilor Hotărârii Guvernului nr.</w:t>
      </w:r>
      <w:r w:rsidRPr="006C0971">
        <w:t>115/2004, cu modificările și completările ulterioare, pot fi puse la dispoziţie pe piaţă și după această dată.</w:t>
      </w:r>
    </w:p>
    <w:p w:rsidR="005B4D69" w:rsidRPr="006C0971" w:rsidRDefault="005B4D69" w:rsidP="00124531">
      <w:pPr>
        <w:spacing w:line="360" w:lineRule="auto"/>
        <w:ind w:firstLine="720"/>
        <w:jc w:val="both"/>
      </w:pPr>
      <w:r w:rsidRPr="006C0971">
        <w:t>(2) Certificatele de examinare CE de tip și deciziile de aprobare emise în temeiul Hotărâri</w:t>
      </w:r>
      <w:r>
        <w:t>i Guvernului nr.</w:t>
      </w:r>
      <w:r w:rsidRPr="006C0971">
        <w:t>115/2004, cu modificările și completările ulterioare, rămân valabile până la 21 aprilie 2023, cu excepția cazului în care expiră înainte de această dată.</w:t>
      </w:r>
    </w:p>
    <w:p w:rsidR="005B4D69" w:rsidRPr="006C0971" w:rsidRDefault="005B4D69" w:rsidP="00124531">
      <w:pPr>
        <w:spacing w:line="360" w:lineRule="auto"/>
        <w:ind w:firstLine="720"/>
        <w:jc w:val="both"/>
      </w:pPr>
    </w:p>
    <w:p w:rsidR="005B4D69" w:rsidRPr="006C0971" w:rsidRDefault="005B4D69" w:rsidP="001E3ABD">
      <w:pPr>
        <w:spacing w:line="360" w:lineRule="auto"/>
        <w:ind w:firstLine="720"/>
        <w:jc w:val="center"/>
        <w:rPr>
          <w:b/>
          <w:bCs/>
        </w:rPr>
      </w:pPr>
      <w:r w:rsidRPr="006C0971">
        <w:rPr>
          <w:b/>
          <w:bCs/>
        </w:rPr>
        <w:t>Articolul 1</w:t>
      </w:r>
      <w:r>
        <w:rPr>
          <w:b/>
          <w:bCs/>
        </w:rPr>
        <w:t>7</w:t>
      </w:r>
    </w:p>
    <w:p w:rsidR="005B4D69" w:rsidRPr="006C0971" w:rsidRDefault="005B4D69" w:rsidP="001E3ABD">
      <w:pPr>
        <w:spacing w:line="360" w:lineRule="auto"/>
        <w:ind w:firstLine="720"/>
        <w:jc w:val="center"/>
        <w:rPr>
          <w:b/>
          <w:bCs/>
        </w:rPr>
      </w:pPr>
      <w:r w:rsidRPr="006C0971">
        <w:rPr>
          <w:b/>
          <w:bCs/>
        </w:rPr>
        <w:t>Intrare în vigoare și aplicare</w:t>
      </w:r>
    </w:p>
    <w:p w:rsidR="005B4D69" w:rsidRPr="006C0971" w:rsidRDefault="005B4D69" w:rsidP="004E0B87">
      <w:pPr>
        <w:spacing w:line="360" w:lineRule="auto"/>
        <w:ind w:firstLine="720"/>
        <w:jc w:val="both"/>
      </w:pPr>
      <w:r w:rsidRPr="006C0971">
        <w:t>Prezenta hotărâre intră în vigoare la data de 21 aprilie 2018, cu excepția art.</w:t>
      </w:r>
      <w:r>
        <w:t>4</w:t>
      </w:r>
      <w:r w:rsidRPr="006C0971">
        <w:t xml:space="preserve"> - 1</w:t>
      </w:r>
      <w:r>
        <w:t>0</w:t>
      </w:r>
      <w:r w:rsidRPr="006C0971">
        <w:t xml:space="preserve"> care intră în vigoare la data de 21 octombrie 2016.</w:t>
      </w:r>
    </w:p>
    <w:p w:rsidR="005B4D69" w:rsidRDefault="005B4D69" w:rsidP="004E0B87">
      <w:pPr>
        <w:spacing w:line="360" w:lineRule="auto"/>
        <w:ind w:firstLine="720"/>
        <w:jc w:val="both"/>
      </w:pPr>
    </w:p>
    <w:p w:rsidR="005B4D69" w:rsidRPr="006C0971" w:rsidRDefault="005B4D69" w:rsidP="004E0B87">
      <w:pPr>
        <w:spacing w:line="360" w:lineRule="auto"/>
        <w:ind w:firstLine="720"/>
        <w:jc w:val="both"/>
      </w:pPr>
    </w:p>
    <w:p w:rsidR="005B4D69" w:rsidRPr="006C0971" w:rsidRDefault="005B4D69" w:rsidP="004E0B87">
      <w:pPr>
        <w:spacing w:line="360" w:lineRule="auto"/>
        <w:ind w:firstLine="720"/>
        <w:jc w:val="both"/>
      </w:pPr>
    </w:p>
    <w:p w:rsidR="005B4D69" w:rsidRPr="006C0971" w:rsidRDefault="005B4D69" w:rsidP="00D2740D">
      <w:pPr>
        <w:spacing w:line="360" w:lineRule="auto"/>
        <w:ind w:firstLine="720"/>
        <w:jc w:val="center"/>
        <w:rPr>
          <w:b/>
          <w:bCs/>
        </w:rPr>
      </w:pPr>
      <w:r w:rsidRPr="006C0971">
        <w:rPr>
          <w:b/>
          <w:bCs/>
        </w:rPr>
        <w:t>PRIM – MINISTRU</w:t>
      </w:r>
    </w:p>
    <w:p w:rsidR="005B4D69" w:rsidRPr="006C0971" w:rsidRDefault="005B4D69" w:rsidP="00D2740D">
      <w:pPr>
        <w:spacing w:line="360" w:lineRule="auto"/>
        <w:ind w:firstLine="720"/>
        <w:jc w:val="center"/>
        <w:rPr>
          <w:b/>
          <w:bCs/>
        </w:rPr>
      </w:pPr>
    </w:p>
    <w:p w:rsidR="005B4D69" w:rsidRPr="00ED398C" w:rsidRDefault="005B4D69" w:rsidP="00ED398C">
      <w:pPr>
        <w:spacing w:line="360" w:lineRule="auto"/>
        <w:ind w:firstLine="720"/>
        <w:jc w:val="center"/>
        <w:rPr>
          <w:b/>
          <w:bCs/>
        </w:rPr>
      </w:pPr>
      <w:r w:rsidRPr="006C0971">
        <w:rPr>
          <w:b/>
          <w:bCs/>
        </w:rPr>
        <w:t>DACIAN JULIEN CIOLOȘ</w:t>
      </w:r>
    </w:p>
    <w:sectPr w:rsidR="005B4D69" w:rsidRPr="00ED398C" w:rsidSect="00B87666">
      <w:footerReference w:type="default" r:id="rId7"/>
      <w:pgSz w:w="11906" w:h="16838"/>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D69" w:rsidRDefault="005B4D69" w:rsidP="00ED398C">
      <w:r>
        <w:separator/>
      </w:r>
    </w:p>
  </w:endnote>
  <w:endnote w:type="continuationSeparator" w:id="0">
    <w:p w:rsidR="005B4D69" w:rsidRDefault="005B4D69" w:rsidP="00ED3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69" w:rsidRDefault="005B4D69">
    <w:pPr>
      <w:pStyle w:val="Footer"/>
      <w:jc w:val="right"/>
    </w:pPr>
    <w:fldSimple w:instr=" PAGE   \* MERGEFORMAT ">
      <w:r>
        <w:rPr>
          <w:noProof/>
        </w:rPr>
        <w:t>1</w:t>
      </w:r>
    </w:fldSimple>
  </w:p>
  <w:p w:rsidR="005B4D69" w:rsidRDefault="005B4D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D69" w:rsidRDefault="005B4D69" w:rsidP="00ED398C">
      <w:r>
        <w:separator/>
      </w:r>
    </w:p>
  </w:footnote>
  <w:footnote w:type="continuationSeparator" w:id="0">
    <w:p w:rsidR="005B4D69" w:rsidRDefault="005B4D69" w:rsidP="00ED3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E1A"/>
    <w:multiLevelType w:val="hybridMultilevel"/>
    <w:tmpl w:val="003433A0"/>
    <w:lvl w:ilvl="0" w:tplc="24647C1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2F42D6"/>
    <w:multiLevelType w:val="hybridMultilevel"/>
    <w:tmpl w:val="715C4BB2"/>
    <w:lvl w:ilvl="0" w:tplc="3FBC95D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11C900F1"/>
    <w:multiLevelType w:val="hybridMultilevel"/>
    <w:tmpl w:val="7D42CAC2"/>
    <w:lvl w:ilvl="0" w:tplc="CCBCDAD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28A45430"/>
    <w:multiLevelType w:val="hybridMultilevel"/>
    <w:tmpl w:val="1C1CC762"/>
    <w:lvl w:ilvl="0" w:tplc="A8F6537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2B330D2E"/>
    <w:multiLevelType w:val="hybridMultilevel"/>
    <w:tmpl w:val="D1DEE9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BB02BA2"/>
    <w:multiLevelType w:val="hybridMultilevel"/>
    <w:tmpl w:val="C750F50A"/>
    <w:lvl w:ilvl="0" w:tplc="B32C279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3C926403"/>
    <w:multiLevelType w:val="hybridMultilevel"/>
    <w:tmpl w:val="AF82AF4A"/>
    <w:lvl w:ilvl="0" w:tplc="58EEF8B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434E3D37"/>
    <w:multiLevelType w:val="hybridMultilevel"/>
    <w:tmpl w:val="8126F412"/>
    <w:lvl w:ilvl="0" w:tplc="1BECADE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4AB24E36"/>
    <w:multiLevelType w:val="hybridMultilevel"/>
    <w:tmpl w:val="A28C80B2"/>
    <w:lvl w:ilvl="0" w:tplc="DEB4480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54643EA4"/>
    <w:multiLevelType w:val="hybridMultilevel"/>
    <w:tmpl w:val="372E281C"/>
    <w:lvl w:ilvl="0" w:tplc="FC782F7C">
      <w:start w:val="1"/>
      <w:numFmt w:val="lowerLetter"/>
      <w:lvlText w:val="%1)"/>
      <w:lvlJc w:val="left"/>
      <w:pPr>
        <w:ind w:left="1800" w:hanging="360"/>
      </w:pPr>
      <w:rPr>
        <w:rFonts w:hint="default"/>
        <w:b w:val="0"/>
        <w:bCs w:val="0"/>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nsid w:val="67696A97"/>
    <w:multiLevelType w:val="hybridMultilevel"/>
    <w:tmpl w:val="8D04747C"/>
    <w:lvl w:ilvl="0" w:tplc="4A200296">
      <w:start w:val="1"/>
      <w:numFmt w:val="decimal"/>
      <w:lvlText w:val="(%1)"/>
      <w:lvlJc w:val="left"/>
      <w:pPr>
        <w:ind w:left="1080" w:hanging="360"/>
      </w:pPr>
      <w:rPr>
        <w:rFonts w:hint="default"/>
        <w:b/>
        <w:b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9"/>
  </w:num>
  <w:num w:numId="2">
    <w:abstractNumId w:val="10"/>
  </w:num>
  <w:num w:numId="3">
    <w:abstractNumId w:val="2"/>
  </w:num>
  <w:num w:numId="4">
    <w:abstractNumId w:val="6"/>
  </w:num>
  <w:num w:numId="5">
    <w:abstractNumId w:val="8"/>
  </w:num>
  <w:num w:numId="6">
    <w:abstractNumId w:val="5"/>
  </w:num>
  <w:num w:numId="7">
    <w:abstractNumId w:val="1"/>
  </w:num>
  <w:num w:numId="8">
    <w:abstractNumId w:val="7"/>
  </w:num>
  <w:num w:numId="9">
    <w:abstractNumId w:val="3"/>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F92"/>
    <w:rsid w:val="00007B55"/>
    <w:rsid w:val="00013E9B"/>
    <w:rsid w:val="00027EEE"/>
    <w:rsid w:val="00042E14"/>
    <w:rsid w:val="000548B8"/>
    <w:rsid w:val="00063689"/>
    <w:rsid w:val="00082F21"/>
    <w:rsid w:val="00084B71"/>
    <w:rsid w:val="00090845"/>
    <w:rsid w:val="00094313"/>
    <w:rsid w:val="0009787C"/>
    <w:rsid w:val="000B1382"/>
    <w:rsid w:val="000B2807"/>
    <w:rsid w:val="000B49CB"/>
    <w:rsid w:val="000B4DA6"/>
    <w:rsid w:val="000B6A04"/>
    <w:rsid w:val="000D426A"/>
    <w:rsid w:val="000F42F2"/>
    <w:rsid w:val="00100FDC"/>
    <w:rsid w:val="00101CF1"/>
    <w:rsid w:val="00104164"/>
    <w:rsid w:val="00105E00"/>
    <w:rsid w:val="00117425"/>
    <w:rsid w:val="00124531"/>
    <w:rsid w:val="0013432F"/>
    <w:rsid w:val="001447E8"/>
    <w:rsid w:val="00165048"/>
    <w:rsid w:val="001723E8"/>
    <w:rsid w:val="001B329B"/>
    <w:rsid w:val="001E3ABD"/>
    <w:rsid w:val="002019E6"/>
    <w:rsid w:val="00202627"/>
    <w:rsid w:val="00203DB2"/>
    <w:rsid w:val="002040EA"/>
    <w:rsid w:val="00205D5A"/>
    <w:rsid w:val="00213CA8"/>
    <w:rsid w:val="002400EB"/>
    <w:rsid w:val="002538E3"/>
    <w:rsid w:val="00256F2B"/>
    <w:rsid w:val="00267301"/>
    <w:rsid w:val="0027406F"/>
    <w:rsid w:val="00292492"/>
    <w:rsid w:val="002944FD"/>
    <w:rsid w:val="00295F2B"/>
    <w:rsid w:val="0029769B"/>
    <w:rsid w:val="002D2405"/>
    <w:rsid w:val="002F77DB"/>
    <w:rsid w:val="0031143D"/>
    <w:rsid w:val="00315536"/>
    <w:rsid w:val="00322E4C"/>
    <w:rsid w:val="003446A5"/>
    <w:rsid w:val="00346640"/>
    <w:rsid w:val="0034692A"/>
    <w:rsid w:val="00354003"/>
    <w:rsid w:val="00355DB6"/>
    <w:rsid w:val="00363267"/>
    <w:rsid w:val="00385923"/>
    <w:rsid w:val="003A4C6E"/>
    <w:rsid w:val="003B3260"/>
    <w:rsid w:val="003C09C9"/>
    <w:rsid w:val="003C1699"/>
    <w:rsid w:val="003D4C0C"/>
    <w:rsid w:val="003E205F"/>
    <w:rsid w:val="003F2A5E"/>
    <w:rsid w:val="003F4EE9"/>
    <w:rsid w:val="003F5A28"/>
    <w:rsid w:val="00401030"/>
    <w:rsid w:val="00421FAD"/>
    <w:rsid w:val="0043546D"/>
    <w:rsid w:val="004354F2"/>
    <w:rsid w:val="0044526E"/>
    <w:rsid w:val="00457DF2"/>
    <w:rsid w:val="0046041A"/>
    <w:rsid w:val="00465128"/>
    <w:rsid w:val="00485588"/>
    <w:rsid w:val="004A5DC3"/>
    <w:rsid w:val="004A73D7"/>
    <w:rsid w:val="004B1626"/>
    <w:rsid w:val="004B7179"/>
    <w:rsid w:val="004D7AED"/>
    <w:rsid w:val="004E0B87"/>
    <w:rsid w:val="004E62F0"/>
    <w:rsid w:val="004F4072"/>
    <w:rsid w:val="004F728B"/>
    <w:rsid w:val="00507B50"/>
    <w:rsid w:val="005247B5"/>
    <w:rsid w:val="00530FBB"/>
    <w:rsid w:val="00537633"/>
    <w:rsid w:val="005400DF"/>
    <w:rsid w:val="00546235"/>
    <w:rsid w:val="0055106F"/>
    <w:rsid w:val="00570D6F"/>
    <w:rsid w:val="00594EA0"/>
    <w:rsid w:val="005953E0"/>
    <w:rsid w:val="00595A94"/>
    <w:rsid w:val="005A01F1"/>
    <w:rsid w:val="005B4D69"/>
    <w:rsid w:val="005D52DE"/>
    <w:rsid w:val="005E28C2"/>
    <w:rsid w:val="005E332F"/>
    <w:rsid w:val="005E3F75"/>
    <w:rsid w:val="006039F3"/>
    <w:rsid w:val="00604E01"/>
    <w:rsid w:val="00606528"/>
    <w:rsid w:val="00611B15"/>
    <w:rsid w:val="00620A82"/>
    <w:rsid w:val="00624B9C"/>
    <w:rsid w:val="0065096A"/>
    <w:rsid w:val="006513E7"/>
    <w:rsid w:val="00667438"/>
    <w:rsid w:val="00671CE6"/>
    <w:rsid w:val="00681505"/>
    <w:rsid w:val="00684DCD"/>
    <w:rsid w:val="006947EA"/>
    <w:rsid w:val="0069601A"/>
    <w:rsid w:val="006A1E50"/>
    <w:rsid w:val="006B6ECF"/>
    <w:rsid w:val="006C0971"/>
    <w:rsid w:val="006C51A4"/>
    <w:rsid w:val="006C5764"/>
    <w:rsid w:val="006D791F"/>
    <w:rsid w:val="006F02F0"/>
    <w:rsid w:val="0071048A"/>
    <w:rsid w:val="00714F03"/>
    <w:rsid w:val="00724CD0"/>
    <w:rsid w:val="00742450"/>
    <w:rsid w:val="00745D8E"/>
    <w:rsid w:val="00754D94"/>
    <w:rsid w:val="007570D5"/>
    <w:rsid w:val="00757B02"/>
    <w:rsid w:val="00766D1D"/>
    <w:rsid w:val="00786013"/>
    <w:rsid w:val="00795C93"/>
    <w:rsid w:val="007A1027"/>
    <w:rsid w:val="007A6C35"/>
    <w:rsid w:val="007C0C36"/>
    <w:rsid w:val="007E22E6"/>
    <w:rsid w:val="007E44C8"/>
    <w:rsid w:val="007E4F46"/>
    <w:rsid w:val="007F2D5A"/>
    <w:rsid w:val="00805F08"/>
    <w:rsid w:val="00832948"/>
    <w:rsid w:val="00834548"/>
    <w:rsid w:val="00847F7D"/>
    <w:rsid w:val="008503D8"/>
    <w:rsid w:val="00853C06"/>
    <w:rsid w:val="00860DB0"/>
    <w:rsid w:val="00861071"/>
    <w:rsid w:val="00872134"/>
    <w:rsid w:val="00895C53"/>
    <w:rsid w:val="008A3CAC"/>
    <w:rsid w:val="008C6A1B"/>
    <w:rsid w:val="008E6D19"/>
    <w:rsid w:val="00903325"/>
    <w:rsid w:val="0090421C"/>
    <w:rsid w:val="009179E4"/>
    <w:rsid w:val="00921E5B"/>
    <w:rsid w:val="00926AF2"/>
    <w:rsid w:val="00944444"/>
    <w:rsid w:val="00952804"/>
    <w:rsid w:val="00977EF3"/>
    <w:rsid w:val="00982243"/>
    <w:rsid w:val="00991676"/>
    <w:rsid w:val="009B54EF"/>
    <w:rsid w:val="009C14B3"/>
    <w:rsid w:val="009D2D32"/>
    <w:rsid w:val="009F4C8B"/>
    <w:rsid w:val="00A12546"/>
    <w:rsid w:val="00A2382A"/>
    <w:rsid w:val="00A364CB"/>
    <w:rsid w:val="00A4019E"/>
    <w:rsid w:val="00A465BF"/>
    <w:rsid w:val="00A53F31"/>
    <w:rsid w:val="00A66970"/>
    <w:rsid w:val="00A71484"/>
    <w:rsid w:val="00A75376"/>
    <w:rsid w:val="00A83F58"/>
    <w:rsid w:val="00A97CBD"/>
    <w:rsid w:val="00AA78F6"/>
    <w:rsid w:val="00AC3F34"/>
    <w:rsid w:val="00AD0B0D"/>
    <w:rsid w:val="00B044EA"/>
    <w:rsid w:val="00B1742E"/>
    <w:rsid w:val="00B24B2C"/>
    <w:rsid w:val="00B24F92"/>
    <w:rsid w:val="00B33BDD"/>
    <w:rsid w:val="00B52298"/>
    <w:rsid w:val="00B56D75"/>
    <w:rsid w:val="00B57A58"/>
    <w:rsid w:val="00B57AFA"/>
    <w:rsid w:val="00B6422C"/>
    <w:rsid w:val="00B75F7C"/>
    <w:rsid w:val="00B87666"/>
    <w:rsid w:val="00BA399F"/>
    <w:rsid w:val="00BB70FD"/>
    <w:rsid w:val="00BB7B31"/>
    <w:rsid w:val="00BB7C7A"/>
    <w:rsid w:val="00BC3858"/>
    <w:rsid w:val="00BD4B7B"/>
    <w:rsid w:val="00BE20B3"/>
    <w:rsid w:val="00BE59D5"/>
    <w:rsid w:val="00C14AB5"/>
    <w:rsid w:val="00C15C9B"/>
    <w:rsid w:val="00C275B4"/>
    <w:rsid w:val="00C30B99"/>
    <w:rsid w:val="00C36CF6"/>
    <w:rsid w:val="00C47887"/>
    <w:rsid w:val="00C51E70"/>
    <w:rsid w:val="00C570C2"/>
    <w:rsid w:val="00C72AC6"/>
    <w:rsid w:val="00C76377"/>
    <w:rsid w:val="00CA612B"/>
    <w:rsid w:val="00CA7E03"/>
    <w:rsid w:val="00CC2F81"/>
    <w:rsid w:val="00CC7316"/>
    <w:rsid w:val="00CD33F1"/>
    <w:rsid w:val="00CE1146"/>
    <w:rsid w:val="00CE179F"/>
    <w:rsid w:val="00CE4C57"/>
    <w:rsid w:val="00CF63A0"/>
    <w:rsid w:val="00D07EB7"/>
    <w:rsid w:val="00D25CB8"/>
    <w:rsid w:val="00D2670B"/>
    <w:rsid w:val="00D2740D"/>
    <w:rsid w:val="00D3195F"/>
    <w:rsid w:val="00D44338"/>
    <w:rsid w:val="00D64CD0"/>
    <w:rsid w:val="00D76DE3"/>
    <w:rsid w:val="00D8210A"/>
    <w:rsid w:val="00D86725"/>
    <w:rsid w:val="00D9207F"/>
    <w:rsid w:val="00DA1B0A"/>
    <w:rsid w:val="00DA6D7B"/>
    <w:rsid w:val="00DC0570"/>
    <w:rsid w:val="00DD5010"/>
    <w:rsid w:val="00DF212E"/>
    <w:rsid w:val="00E10C98"/>
    <w:rsid w:val="00E10CB3"/>
    <w:rsid w:val="00E152DB"/>
    <w:rsid w:val="00E20F67"/>
    <w:rsid w:val="00E25739"/>
    <w:rsid w:val="00E507E0"/>
    <w:rsid w:val="00E6160E"/>
    <w:rsid w:val="00E63245"/>
    <w:rsid w:val="00E7721B"/>
    <w:rsid w:val="00E91426"/>
    <w:rsid w:val="00EA17A5"/>
    <w:rsid w:val="00EA7DD8"/>
    <w:rsid w:val="00EC105A"/>
    <w:rsid w:val="00EC2D92"/>
    <w:rsid w:val="00ED398C"/>
    <w:rsid w:val="00ED4F8D"/>
    <w:rsid w:val="00EE0F27"/>
    <w:rsid w:val="00EE659B"/>
    <w:rsid w:val="00EF1ECC"/>
    <w:rsid w:val="00EF6202"/>
    <w:rsid w:val="00F02FE3"/>
    <w:rsid w:val="00F240FF"/>
    <w:rsid w:val="00F33DB6"/>
    <w:rsid w:val="00F50F94"/>
    <w:rsid w:val="00F54323"/>
    <w:rsid w:val="00F668A2"/>
    <w:rsid w:val="00F83A41"/>
    <w:rsid w:val="00FA23D8"/>
    <w:rsid w:val="00FC01A4"/>
    <w:rsid w:val="00FC13F4"/>
    <w:rsid w:val="00FC76CF"/>
    <w:rsid w:val="00FC79A7"/>
    <w:rsid w:val="00FE3F52"/>
    <w:rsid w:val="00FF6C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92"/>
    <w:rPr>
      <w:rFonts w:ascii="Times New Roman" w:eastAsia="Times New Roman" w:hAnsi="Times New Roman"/>
      <w:sz w:val="24"/>
      <w:szCs w:val="24"/>
      <w:lang w:val="ro-RO"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24F92"/>
    <w:pPr>
      <w:jc w:val="center"/>
    </w:pPr>
    <w:rPr>
      <w:b/>
      <w:bCs/>
      <w:sz w:val="36"/>
      <w:szCs w:val="36"/>
    </w:rPr>
  </w:style>
  <w:style w:type="character" w:customStyle="1" w:styleId="TitleChar">
    <w:name w:val="Title Char"/>
    <w:basedOn w:val="DefaultParagraphFont"/>
    <w:link w:val="Title"/>
    <w:uiPriority w:val="99"/>
    <w:locked/>
    <w:rsid w:val="00B24F92"/>
    <w:rPr>
      <w:rFonts w:ascii="Times New Roman" w:hAnsi="Times New Roman" w:cs="Times New Roman"/>
      <w:b/>
      <w:bCs/>
      <w:sz w:val="28"/>
      <w:szCs w:val="28"/>
      <w:lang w:val="ro-RO" w:eastAsia="en-GB"/>
    </w:rPr>
  </w:style>
  <w:style w:type="paragraph" w:styleId="BodyText2">
    <w:name w:val="Body Text 2"/>
    <w:basedOn w:val="Normal"/>
    <w:link w:val="BodyText2Char"/>
    <w:uiPriority w:val="99"/>
    <w:semiHidden/>
    <w:rsid w:val="00B24F92"/>
    <w:pPr>
      <w:jc w:val="center"/>
    </w:pPr>
    <w:rPr>
      <w:sz w:val="28"/>
      <w:szCs w:val="28"/>
    </w:rPr>
  </w:style>
  <w:style w:type="character" w:customStyle="1" w:styleId="BodyText2Char">
    <w:name w:val="Body Text 2 Char"/>
    <w:basedOn w:val="DefaultParagraphFont"/>
    <w:link w:val="BodyText2"/>
    <w:uiPriority w:val="99"/>
    <w:semiHidden/>
    <w:locked/>
    <w:rsid w:val="00B24F92"/>
    <w:rPr>
      <w:rFonts w:ascii="Times New Roman" w:hAnsi="Times New Roman" w:cs="Times New Roman"/>
      <w:sz w:val="28"/>
      <w:szCs w:val="28"/>
      <w:lang w:val="ro-RO" w:eastAsia="en-GB"/>
    </w:rPr>
  </w:style>
  <w:style w:type="paragraph" w:styleId="ListParagraph">
    <w:name w:val="List Paragraph"/>
    <w:basedOn w:val="Normal"/>
    <w:uiPriority w:val="99"/>
    <w:qFormat/>
    <w:rsid w:val="00457DF2"/>
    <w:pPr>
      <w:ind w:left="720"/>
    </w:pPr>
  </w:style>
  <w:style w:type="character" w:styleId="CommentReference">
    <w:name w:val="annotation reference"/>
    <w:basedOn w:val="DefaultParagraphFont"/>
    <w:uiPriority w:val="99"/>
    <w:semiHidden/>
    <w:rsid w:val="00C36CF6"/>
    <w:rPr>
      <w:sz w:val="16"/>
      <w:szCs w:val="16"/>
    </w:rPr>
  </w:style>
  <w:style w:type="paragraph" w:styleId="CommentText">
    <w:name w:val="annotation text"/>
    <w:basedOn w:val="Normal"/>
    <w:link w:val="CommentTextChar"/>
    <w:uiPriority w:val="99"/>
    <w:semiHidden/>
    <w:rsid w:val="00C36CF6"/>
    <w:rPr>
      <w:sz w:val="20"/>
      <w:szCs w:val="20"/>
    </w:rPr>
  </w:style>
  <w:style w:type="character" w:customStyle="1" w:styleId="CommentTextChar">
    <w:name w:val="Comment Text Char"/>
    <w:basedOn w:val="DefaultParagraphFont"/>
    <w:link w:val="CommentText"/>
    <w:uiPriority w:val="99"/>
    <w:semiHidden/>
    <w:locked/>
    <w:rsid w:val="00C36CF6"/>
    <w:rPr>
      <w:rFonts w:ascii="Times New Roman" w:hAnsi="Times New Roman" w:cs="Times New Roman"/>
      <w:sz w:val="20"/>
      <w:szCs w:val="20"/>
      <w:lang w:val="ro-RO" w:eastAsia="en-GB"/>
    </w:rPr>
  </w:style>
  <w:style w:type="paragraph" w:styleId="CommentSubject">
    <w:name w:val="annotation subject"/>
    <w:basedOn w:val="CommentText"/>
    <w:next w:val="CommentText"/>
    <w:link w:val="CommentSubjectChar"/>
    <w:uiPriority w:val="99"/>
    <w:semiHidden/>
    <w:rsid w:val="00C36CF6"/>
    <w:rPr>
      <w:b/>
      <w:bCs/>
    </w:rPr>
  </w:style>
  <w:style w:type="character" w:customStyle="1" w:styleId="CommentSubjectChar">
    <w:name w:val="Comment Subject Char"/>
    <w:basedOn w:val="CommentTextChar"/>
    <w:link w:val="CommentSubject"/>
    <w:uiPriority w:val="99"/>
    <w:semiHidden/>
    <w:locked/>
    <w:rsid w:val="00C36CF6"/>
    <w:rPr>
      <w:b/>
      <w:bCs/>
    </w:rPr>
  </w:style>
  <w:style w:type="paragraph" w:styleId="BalloonText">
    <w:name w:val="Balloon Text"/>
    <w:basedOn w:val="Normal"/>
    <w:link w:val="BalloonTextChar"/>
    <w:uiPriority w:val="99"/>
    <w:semiHidden/>
    <w:rsid w:val="00C36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CF6"/>
    <w:rPr>
      <w:rFonts w:ascii="Tahoma" w:hAnsi="Tahoma" w:cs="Tahoma"/>
      <w:sz w:val="16"/>
      <w:szCs w:val="16"/>
      <w:lang w:val="ro-RO" w:eastAsia="en-GB"/>
    </w:rPr>
  </w:style>
  <w:style w:type="character" w:customStyle="1" w:styleId="apple-converted-space">
    <w:name w:val="apple-converted-space"/>
    <w:basedOn w:val="DefaultParagraphFont"/>
    <w:uiPriority w:val="99"/>
    <w:rsid w:val="00A12546"/>
  </w:style>
  <w:style w:type="paragraph" w:styleId="Header">
    <w:name w:val="header"/>
    <w:basedOn w:val="Normal"/>
    <w:link w:val="HeaderChar"/>
    <w:uiPriority w:val="99"/>
    <w:semiHidden/>
    <w:rsid w:val="00ED398C"/>
    <w:pPr>
      <w:tabs>
        <w:tab w:val="center" w:pos="4513"/>
        <w:tab w:val="right" w:pos="9026"/>
      </w:tabs>
    </w:pPr>
  </w:style>
  <w:style w:type="character" w:customStyle="1" w:styleId="HeaderChar">
    <w:name w:val="Header Char"/>
    <w:basedOn w:val="DefaultParagraphFont"/>
    <w:link w:val="Header"/>
    <w:uiPriority w:val="99"/>
    <w:semiHidden/>
    <w:locked/>
    <w:rsid w:val="00ED398C"/>
    <w:rPr>
      <w:rFonts w:ascii="Times New Roman" w:hAnsi="Times New Roman" w:cs="Times New Roman"/>
      <w:sz w:val="24"/>
      <w:szCs w:val="24"/>
      <w:lang w:val="ro-RO" w:eastAsia="en-GB"/>
    </w:rPr>
  </w:style>
  <w:style w:type="paragraph" w:styleId="Footer">
    <w:name w:val="footer"/>
    <w:basedOn w:val="Normal"/>
    <w:link w:val="FooterChar"/>
    <w:uiPriority w:val="99"/>
    <w:rsid w:val="00ED398C"/>
    <w:pPr>
      <w:tabs>
        <w:tab w:val="center" w:pos="4513"/>
        <w:tab w:val="right" w:pos="9026"/>
      </w:tabs>
    </w:pPr>
  </w:style>
  <w:style w:type="character" w:customStyle="1" w:styleId="FooterChar">
    <w:name w:val="Footer Char"/>
    <w:basedOn w:val="DefaultParagraphFont"/>
    <w:link w:val="Footer"/>
    <w:uiPriority w:val="99"/>
    <w:locked/>
    <w:rsid w:val="00ED398C"/>
    <w:rPr>
      <w:rFonts w:ascii="Times New Roman" w:hAnsi="Times New Roman" w:cs="Times New Roman"/>
      <w:sz w:val="24"/>
      <w:szCs w:val="24"/>
      <w:lang w:val="ro-RO" w:eastAsia="en-GB"/>
    </w:rPr>
  </w:style>
</w:styles>
</file>

<file path=word/webSettings.xml><?xml version="1.0" encoding="utf-8"?>
<w:webSettings xmlns:r="http://schemas.openxmlformats.org/officeDocument/2006/relationships" xmlns:w="http://schemas.openxmlformats.org/wordprocessingml/2006/main">
  <w:divs>
    <w:div w:id="1335569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3782</Words>
  <Characters>21937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elena.perju</dc:creator>
  <cp:keywords/>
  <dc:description/>
  <cp:lastModifiedBy> </cp:lastModifiedBy>
  <cp:revision>2</cp:revision>
  <cp:lastPrinted>2016-09-19T05:36:00Z</cp:lastPrinted>
  <dcterms:created xsi:type="dcterms:W3CDTF">2016-11-16T12:24:00Z</dcterms:created>
  <dcterms:modified xsi:type="dcterms:W3CDTF">2016-11-16T12:24:00Z</dcterms:modified>
</cp:coreProperties>
</file>