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5DEF8" w14:textId="77777777" w:rsidR="00C519A8" w:rsidRPr="00C519A8" w:rsidRDefault="00C519A8" w:rsidP="00B31961">
      <w:pPr>
        <w:pStyle w:val="NormalWeb"/>
        <w:spacing w:before="0" w:beforeAutospacing="0" w:after="0" w:afterAutospacing="0" w:line="288" w:lineRule="auto"/>
        <w:rPr>
          <w:b/>
          <w:bCs/>
        </w:rPr>
      </w:pPr>
    </w:p>
    <w:p w14:paraId="1A177F9A" w14:textId="77777777" w:rsidR="004860E9" w:rsidRPr="00C519A8" w:rsidRDefault="007D2DC7" w:rsidP="007D2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A8">
        <w:rPr>
          <w:rFonts w:ascii="Times New Roman" w:hAnsi="Times New Roman" w:cs="Times New Roman"/>
          <w:b/>
          <w:sz w:val="24"/>
          <w:szCs w:val="24"/>
        </w:rPr>
        <w:t xml:space="preserve">Taxa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solidaritate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impozitul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cifra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afaceri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pot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519A8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efect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negativ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economiei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Românești</w:t>
      </w:r>
      <w:proofErr w:type="spellEnd"/>
      <w:r w:rsidR="008C055B">
        <w:rPr>
          <w:rFonts w:ascii="Times New Roman" w:hAnsi="Times New Roman" w:cs="Times New Roman"/>
          <w:b/>
          <w:sz w:val="24"/>
          <w:szCs w:val="24"/>
        </w:rPr>
        <w:t>,</w:t>
      </w:r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conducând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scăderea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investițiilor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străine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creării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locurilor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muncă</w:t>
      </w:r>
      <w:proofErr w:type="spellEnd"/>
    </w:p>
    <w:p w14:paraId="1286F091" w14:textId="565406C5" w:rsidR="007D2DC7" w:rsidRDefault="007D2DC7" w:rsidP="007D2D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519A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București, </w:t>
      </w:r>
      <w:r w:rsidR="000C39CF">
        <w:rPr>
          <w:rFonts w:ascii="Times New Roman" w:hAnsi="Times New Roman" w:cs="Times New Roman"/>
          <w:b/>
          <w:bCs/>
          <w:sz w:val="24"/>
          <w:szCs w:val="24"/>
          <w:lang w:val="ro-RO"/>
        </w:rPr>
        <w:t>4</w:t>
      </w:r>
      <w:bookmarkStart w:id="0" w:name="_GoBack"/>
      <w:bookmarkEnd w:id="0"/>
      <w:r w:rsidRPr="00C519A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iulie 2017</w:t>
      </w:r>
    </w:p>
    <w:p w14:paraId="5DC7B84D" w14:textId="77777777" w:rsidR="00C519A8" w:rsidRPr="00C519A8" w:rsidRDefault="00C519A8" w:rsidP="007D2DC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1F642B4" w14:textId="77777777" w:rsidR="007D2DC7" w:rsidRPr="00C519A8" w:rsidRDefault="007D2DC7" w:rsidP="007D2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A8">
        <w:rPr>
          <w:rFonts w:ascii="Times New Roman" w:hAnsi="Times New Roman" w:cs="Times New Roman"/>
          <w:b/>
          <w:sz w:val="24"/>
          <w:szCs w:val="24"/>
        </w:rPr>
        <w:t xml:space="preserve">ABSL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România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analizat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Guvernare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propus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noul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Guvern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României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cursul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zilei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29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iunie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2017 (cu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referire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impozitul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cifra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afaceri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taxa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solidaritate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consideră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implementarea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acestora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afecta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negativ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competitivitatea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României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plan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internațional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industriei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reprezentate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asociația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noastră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descurajând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invesțiile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străine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domeniu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plus,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considerăm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această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modificare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519A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reduce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crearea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locuri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m</w:t>
      </w:r>
      <w:r w:rsidR="008C055B">
        <w:rPr>
          <w:rFonts w:ascii="Times New Roman" w:hAnsi="Times New Roman" w:cs="Times New Roman"/>
          <w:b/>
          <w:sz w:val="24"/>
          <w:szCs w:val="24"/>
        </w:rPr>
        <w:t>uncă</w:t>
      </w:r>
      <w:proofErr w:type="spellEnd"/>
      <w:r w:rsidR="008C055B">
        <w:rPr>
          <w:rFonts w:ascii="Times New Roman" w:hAnsi="Times New Roman" w:cs="Times New Roman"/>
          <w:b/>
          <w:sz w:val="24"/>
          <w:szCs w:val="24"/>
        </w:rPr>
        <w:t xml:space="preserve"> bine </w:t>
      </w:r>
      <w:proofErr w:type="spellStart"/>
      <w:r w:rsidR="008C055B">
        <w:rPr>
          <w:rFonts w:ascii="Times New Roman" w:hAnsi="Times New Roman" w:cs="Times New Roman"/>
          <w:b/>
          <w:sz w:val="24"/>
          <w:szCs w:val="24"/>
        </w:rPr>
        <w:t>plătite</w:t>
      </w:r>
      <w:proofErr w:type="spellEnd"/>
      <w:r w:rsidR="008C0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8C0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b/>
          <w:sz w:val="24"/>
          <w:szCs w:val="24"/>
        </w:rPr>
        <w:t>inovația</w:t>
      </w:r>
      <w:proofErr w:type="spellEnd"/>
      <w:r w:rsidR="008C05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19A8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asemenea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considerăm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procesul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transparența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decizională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consultarea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mediul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afaceri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înaintea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adoptării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act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normativ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519A8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foarte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util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societății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românești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>.</w:t>
      </w:r>
    </w:p>
    <w:p w14:paraId="6F69E055" w14:textId="77777777" w:rsidR="007D2DC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Industria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activând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250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(109.000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angajați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aproximativ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2% din PIB-</w:t>
      </w:r>
      <w:proofErr w:type="spellStart"/>
      <w:proofErr w:type="gramStart"/>
      <w:r w:rsidRPr="00C519A8">
        <w:rPr>
          <w:rFonts w:ascii="Times New Roman" w:hAnsi="Times New Roman" w:cs="Times New Roman"/>
          <w:sz w:val="24"/>
          <w:szCs w:val="24"/>
        </w:rPr>
        <w:t>ul</w:t>
      </w:r>
      <w:proofErr w:type="spellEnd"/>
      <w:proofErr w:type="gram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D02120" w14:textId="77777777" w:rsidR="007D2DC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inregistrează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sustinută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proiecțiile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creștere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anuală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15%-20%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stabilitate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legislativă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-conform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industriei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KPMG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ABSL.</w:t>
      </w:r>
    </w:p>
    <w:p w14:paraId="0A93B965" w14:textId="77777777" w:rsidR="007D2DC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Companiile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ABSL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predictibilitatea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un factor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cheie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creșterii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radicală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consultări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af</w:t>
      </w:r>
      <w:r w:rsidR="008C055B">
        <w:rPr>
          <w:rFonts w:ascii="Times New Roman" w:hAnsi="Times New Roman" w:cs="Times New Roman"/>
          <w:sz w:val="24"/>
          <w:szCs w:val="24"/>
        </w:rPr>
        <w:t>aceri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de impact</w:t>
      </w:r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ansamblu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imediate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industriei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cr</w:t>
      </w:r>
      <w:r w:rsidR="008C055B">
        <w:rPr>
          <w:rFonts w:ascii="Times New Roman" w:hAnsi="Times New Roman" w:cs="Times New Roman"/>
          <w:sz w:val="24"/>
          <w:szCs w:val="24"/>
        </w:rPr>
        <w:t>eă</w:t>
      </w:r>
      <w:r w:rsidRPr="00C519A8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03C1954" w14:textId="77777777" w:rsidR="007D2DC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inițiativele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solidaritate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afectează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>,</w:t>
      </w:r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salariului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net,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segmentul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profesioniștilo</w:t>
      </w:r>
      <w:r w:rsidR="008C055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performanți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mediul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care, </w:t>
      </w:r>
      <w:r w:rsidRPr="00C519A8">
        <w:rPr>
          <w:rFonts w:ascii="Times New Roman" w:hAnsi="Times New Roman" w:cs="Times New Roman"/>
          <w:sz w:val="24"/>
          <w:szCs w:val="24"/>
        </w:rPr>
        <w:t xml:space="preserve">inter alia,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responsabili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atragerea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piața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efecte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benefice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întregii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economii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CA489D9" w14:textId="77777777" w:rsidR="007D2DC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8">
        <w:rPr>
          <w:rFonts w:ascii="Times New Roman" w:hAnsi="Times New Roman" w:cs="Times New Roman"/>
          <w:sz w:val="24"/>
          <w:szCs w:val="24"/>
        </w:rPr>
        <w:t xml:space="preserve">Mai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salariile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încasările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cetățenii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afectați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inițiativă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pensia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la stat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plafonată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ceeea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conduce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crearea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inechități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românească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>.</w:t>
      </w:r>
    </w:p>
    <w:p w14:paraId="4F493DF8" w14:textId="77777777" w:rsidR="007D2DC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8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extrem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valoroase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economia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Românească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acum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profund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dezavantajate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migrarea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proiectele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destinații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atractive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19A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C519A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sporită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>.</w:t>
      </w:r>
    </w:p>
    <w:p w14:paraId="47DB41EA" w14:textId="77777777" w:rsidR="007D2DC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cifra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519A8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conflict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plus,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descurajeze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investitile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>.</w:t>
      </w:r>
    </w:p>
    <w:p w14:paraId="417C7A49" w14:textId="77777777" w:rsidR="007D2DC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8">
        <w:rPr>
          <w:rFonts w:ascii="Times New Roman" w:hAnsi="Times New Roman" w:cs="Times New Roman"/>
          <w:sz w:val="24"/>
          <w:szCs w:val="24"/>
        </w:rPr>
        <w:lastRenderedPageBreak/>
        <w:t xml:space="preserve">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investitii</w:t>
      </w:r>
      <w:r w:rsidRPr="00C519A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urmăresc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profitul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existența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6C18E9" w14:textId="77777777" w:rsidR="0072270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9A8">
        <w:rPr>
          <w:rFonts w:ascii="Times New Roman" w:hAnsi="Times New Roman" w:cs="Times New Roman"/>
          <w:sz w:val="24"/>
          <w:szCs w:val="24"/>
        </w:rPr>
        <w:t>Taxarea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încă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reduce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se</w:t>
      </w:r>
      <w:r w:rsidR="008C055B">
        <w:rPr>
          <w:rFonts w:ascii="Times New Roman" w:hAnsi="Times New Roman" w:cs="Times New Roman"/>
          <w:sz w:val="24"/>
          <w:szCs w:val="24"/>
        </w:rPr>
        <w:t>mnificativ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șansele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8C05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055B">
        <w:rPr>
          <w:rFonts w:ascii="Times New Roman" w:hAnsi="Times New Roman" w:cs="Times New Roman"/>
          <w:sz w:val="24"/>
          <w:szCs w:val="24"/>
        </w:rPr>
        <w:t>succe</w:t>
      </w:r>
      <w:r w:rsidRPr="00C519A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apetitul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investitorilor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generând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9A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cascadă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economia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românească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048D0B" w14:textId="77777777" w:rsidR="007D2DC7" w:rsidRPr="00C519A8" w:rsidRDefault="007D2DC7" w:rsidP="007D2DC7">
      <w:pPr>
        <w:jc w:val="both"/>
        <w:rPr>
          <w:rFonts w:ascii="Times New Roman" w:hAnsi="Times New Roman" w:cs="Times New Roman"/>
          <w:sz w:val="24"/>
          <w:szCs w:val="24"/>
        </w:rPr>
      </w:pPr>
      <w:r w:rsidRPr="00C519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plus,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relațiilor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nivele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subcontractori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taxat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similar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impozitare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circulatia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marfurilor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” care s-a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dovedit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ineficient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abolit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mulți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urmă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sz w:val="24"/>
          <w:szCs w:val="24"/>
        </w:rPr>
        <w:t>dezvoltate</w:t>
      </w:r>
      <w:proofErr w:type="spellEnd"/>
      <w:r w:rsidRPr="00C519A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A3B623" w14:textId="77777777" w:rsidR="007D2DC7" w:rsidRPr="00C519A8" w:rsidRDefault="007D2DC7" w:rsidP="007D2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Astfel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, ABSL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consideră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operarea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risc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ridicat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impredictibilitate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519A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face din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dificilă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atragerea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n</w:t>
      </w:r>
      <w:r w:rsidR="008C055B">
        <w:rPr>
          <w:rFonts w:ascii="Times New Roman" w:hAnsi="Times New Roman" w:cs="Times New Roman"/>
          <w:b/>
          <w:sz w:val="24"/>
          <w:szCs w:val="24"/>
        </w:rPr>
        <w:t>oi</w:t>
      </w:r>
      <w:proofErr w:type="spellEnd"/>
      <w:r w:rsidR="008C0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b/>
          <w:sz w:val="24"/>
          <w:szCs w:val="24"/>
        </w:rPr>
        <w:t>proiecte</w:t>
      </w:r>
      <w:proofErr w:type="spellEnd"/>
      <w:r w:rsidR="008C0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8C0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b/>
          <w:sz w:val="24"/>
          <w:szCs w:val="24"/>
        </w:rPr>
        <w:t>piața</w:t>
      </w:r>
      <w:proofErr w:type="spellEnd"/>
      <w:r w:rsidR="008C0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55B">
        <w:rPr>
          <w:rFonts w:ascii="Times New Roman" w:hAnsi="Times New Roman" w:cs="Times New Roman"/>
          <w:b/>
          <w:sz w:val="24"/>
          <w:szCs w:val="24"/>
        </w:rPr>
        <w:t>romanească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promovarea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României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destinație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atractivă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competitivă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investitorii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această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industrie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14:paraId="418F4012" w14:textId="77777777" w:rsidR="007D2DC7" w:rsidRPr="00C519A8" w:rsidRDefault="007D2DC7" w:rsidP="007D2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9A8">
        <w:rPr>
          <w:rFonts w:ascii="Times New Roman" w:hAnsi="Times New Roman" w:cs="Times New Roman"/>
          <w:b/>
          <w:sz w:val="24"/>
          <w:szCs w:val="24"/>
        </w:rPr>
        <w:t xml:space="preserve">Ca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urmare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celor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expuse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sus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propunem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reconsiderarea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imediată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acestor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dezbaterea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reprezentanții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mediului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afaceri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, ABSL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asigurând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noul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Guvern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aloca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resurse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grupuri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dezbaterea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acestor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teme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veni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propuneri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concrete ca alternative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viabile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asigurarea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cadrului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legislativ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propice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dezvoltării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industriei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noastre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economiei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b/>
          <w:sz w:val="24"/>
          <w:szCs w:val="24"/>
        </w:rPr>
        <w:t>României</w:t>
      </w:r>
      <w:proofErr w:type="spellEnd"/>
      <w:r w:rsidRPr="00C519A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2F99C6D6" w14:textId="77777777" w:rsidR="007D2DC7" w:rsidRPr="00C519A8" w:rsidRDefault="007D2DC7" w:rsidP="007D2DC7">
      <w:pPr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</w:pPr>
      <w:r w:rsidRPr="00C519A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Din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 ABSL  Romania  fac  parte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atât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companii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autohtone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cât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și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multinaționale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de  profil,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leaderi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regionali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şi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globali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precum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: </w:t>
      </w:r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Accenture Services, APT Resources &amp; Services, Allianz Worldwide Partners Romania, Be Think Solve Execute, CRH Romania,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Capgemini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, Central Europe Technologies, Connections Consult, DB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Schenker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, Deloitte Audit, Ernst &amp; Young,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Eucom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Business Language,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Genpact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Romania, Global Remote Services, HP Enterprise, HP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Inc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Romania,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Luxoft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Professional Romania,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Mazars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Consulting, Mood Media, Microsoft Romania, Office Depot Service Center, Optima Solutions Services, Outsourcing Advisors, PwC Services, Process Solutions, Procter &amp; Gamble Marketing Romania, Renault Business Services, Samsung Romania, SCC Services Romania, SELIR,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Societe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Generale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European Business Services,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Stefanini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Romania,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Telus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International TMF/ UCMS Group Romania,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UniCredit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Business Integrated Solutions,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Valoris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Center, Vauban IT,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Veeam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Software, Vodafone Shared Services Romania,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Webhelp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, Wipro Technologies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>și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</w:rPr>
        <w:t xml:space="preserve"> WNS Global Services Romania.</w:t>
      </w:r>
    </w:p>
    <w:p w14:paraId="396DC07B" w14:textId="77777777" w:rsidR="007D2DC7" w:rsidRPr="00C519A8" w:rsidRDefault="007D2DC7" w:rsidP="007D2DC7">
      <w:pPr>
        <w:jc w:val="both"/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</w:pP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Partenerii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strategici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ai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asociaţiei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sunt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: ACCA, Colliers International, Fine Law, KPMG, COS,</w:t>
      </w:r>
    </w:p>
    <w:p w14:paraId="427E0620" w14:textId="77777777" w:rsidR="007D2DC7" w:rsidRPr="00C519A8" w:rsidRDefault="007D2DC7" w:rsidP="007D2DC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iFuture</w:t>
      </w:r>
      <w:proofErr w:type="spellEnd"/>
      <w:proofErr w:type="gram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 </w:t>
      </w:r>
      <w:proofErr w:type="spellStart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>și</w:t>
      </w:r>
      <w:proofErr w:type="spellEnd"/>
      <w:r w:rsidRPr="00C519A8">
        <w:rPr>
          <w:rFonts w:ascii="Times New Roman" w:hAnsi="Times New Roman" w:cs="Times New Roman"/>
          <w:i/>
          <w:color w:val="171717" w:themeColor="background2" w:themeShade="1A"/>
          <w:sz w:val="24"/>
          <w:szCs w:val="24"/>
          <w:lang w:val="fr-FR"/>
        </w:rPr>
        <w:t xml:space="preserve"> HAYS.</w:t>
      </w:r>
    </w:p>
    <w:p w14:paraId="77BDD27D" w14:textId="77777777" w:rsidR="007D2DC7" w:rsidRPr="00C519A8" w:rsidRDefault="007D2DC7" w:rsidP="007D2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0EF95" w14:textId="77777777" w:rsidR="00C519A8" w:rsidRPr="00C519A8" w:rsidRDefault="00C519A8" w:rsidP="007D2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19A8" w:rsidRPr="00C519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C8DC4" w14:textId="77777777" w:rsidR="00F12D3B" w:rsidRDefault="00F12D3B" w:rsidP="007D2DC7">
      <w:pPr>
        <w:spacing w:after="0" w:line="240" w:lineRule="auto"/>
      </w:pPr>
      <w:r>
        <w:separator/>
      </w:r>
    </w:p>
  </w:endnote>
  <w:endnote w:type="continuationSeparator" w:id="0">
    <w:p w14:paraId="68A11565" w14:textId="77777777" w:rsidR="00F12D3B" w:rsidRDefault="00F12D3B" w:rsidP="007D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0132" w14:textId="77777777" w:rsidR="00F12D3B" w:rsidRDefault="00F12D3B" w:rsidP="007D2DC7">
      <w:pPr>
        <w:spacing w:after="0" w:line="240" w:lineRule="auto"/>
      </w:pPr>
      <w:r>
        <w:separator/>
      </w:r>
    </w:p>
  </w:footnote>
  <w:footnote w:type="continuationSeparator" w:id="0">
    <w:p w14:paraId="3E7C399C" w14:textId="77777777" w:rsidR="00F12D3B" w:rsidRDefault="00F12D3B" w:rsidP="007D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E33E7" w14:textId="77777777" w:rsidR="007D2DC7" w:rsidRPr="007D2DC7" w:rsidRDefault="007D2DC7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3F0F7F" wp14:editId="69424B15">
          <wp:simplePos x="0" y="0"/>
          <wp:positionH relativeFrom="margin">
            <wp:posOffset>4333875</wp:posOffset>
          </wp:positionH>
          <wp:positionV relativeFrom="paragraph">
            <wp:posOffset>-200025</wp:posOffset>
          </wp:positionV>
          <wp:extent cx="1733550" cy="483036"/>
          <wp:effectExtent l="0" t="0" r="0" b="0"/>
          <wp:wrapThrough wrapText="bothSides">
            <wp:wrapPolygon edited="0">
              <wp:start x="1424" y="0"/>
              <wp:lineTo x="0" y="3411"/>
              <wp:lineTo x="0" y="17053"/>
              <wp:lineTo x="1662" y="20463"/>
              <wp:lineTo x="3323" y="20463"/>
              <wp:lineTo x="21363" y="17905"/>
              <wp:lineTo x="21363" y="13642"/>
              <wp:lineTo x="20176" y="13642"/>
              <wp:lineTo x="20651" y="2558"/>
              <wp:lineTo x="18989" y="1705"/>
              <wp:lineTo x="3560" y="0"/>
              <wp:lineTo x="142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3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16"/>
    <w:rsid w:val="000C39CF"/>
    <w:rsid w:val="00217745"/>
    <w:rsid w:val="004860E9"/>
    <w:rsid w:val="005B1304"/>
    <w:rsid w:val="006000A3"/>
    <w:rsid w:val="00722707"/>
    <w:rsid w:val="007D2DC7"/>
    <w:rsid w:val="00806035"/>
    <w:rsid w:val="0084597A"/>
    <w:rsid w:val="008C055B"/>
    <w:rsid w:val="00B31961"/>
    <w:rsid w:val="00B3265F"/>
    <w:rsid w:val="00C519A8"/>
    <w:rsid w:val="00F12D3B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3D98"/>
  <w15:chartTrackingRefBased/>
  <w15:docId w15:val="{4AF09C84-378E-454A-AC9E-0A0D7C3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C7"/>
  </w:style>
  <w:style w:type="paragraph" w:styleId="Footer">
    <w:name w:val="footer"/>
    <w:basedOn w:val="Normal"/>
    <w:link w:val="FooterChar"/>
    <w:uiPriority w:val="99"/>
    <w:unhideWhenUsed/>
    <w:rsid w:val="007D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2017-07-04T09:18:00Z</dcterms:created>
  <dcterms:modified xsi:type="dcterms:W3CDTF">2017-07-04T11:16:00Z</dcterms:modified>
</cp:coreProperties>
</file>