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sz w:val="36"/>
          <w:szCs w:val="36"/>
        </w:rPr>
        <w:t>Dear customer</w:t>
      </w:r>
      <w:r w:rsidR="00F42E14">
        <w:rPr>
          <w:rFonts w:ascii="Times New Roman" w:hAnsi="Times New Roman" w:cs="Times New Roman"/>
          <w:b/>
          <w:bCs/>
          <w:color w:val="000000"/>
          <w:sz w:val="36"/>
          <w:szCs w:val="36"/>
        </w:rPr>
        <w:t>,</w:t>
      </w:r>
    </w:p>
    <w:p w:rsidR="00312881" w:rsidRDefault="00312881" w:rsidP="00312881">
      <w:pPr>
        <w:bidi w:val="0"/>
        <w:spacing w:before="100" w:beforeAutospacing="1" w:after="100" w:afterAutospacing="1"/>
        <w:rPr>
          <w:rFonts w:ascii="Arial" w:hAnsi="Arial" w:cs="Arial"/>
        </w:rPr>
      </w:pPr>
      <w:r>
        <w:rPr>
          <w:b/>
          <w:bCs/>
          <w:color w:val="000000"/>
        </w:rPr>
        <w:t xml:space="preserve">We are Global Fruits </w:t>
      </w:r>
      <w:proofErr w:type="spellStart"/>
      <w:r>
        <w:rPr>
          <w:b/>
          <w:bCs/>
          <w:color w:val="000000"/>
        </w:rPr>
        <w:t>LLc</w:t>
      </w:r>
      <w:proofErr w:type="spellEnd"/>
      <w:r>
        <w:rPr>
          <w:b/>
          <w:bCs/>
          <w:color w:val="000000"/>
        </w:rPr>
        <w:t xml:space="preserve"> from Egypt. Our company supplies IQF products since 2008 to EU and Russia, sure we can send you direct products to you. As we are glad to cooperate with you kindly, find our offer below and feel free to contact me for further information. </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u w:val="single"/>
        </w:rPr>
        <w:t xml:space="preserve">IQF STRAWBERRIES: </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Price FOB: Grad A</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10 Kg / carton </w:t>
      </w:r>
      <w:proofErr w:type="gramStart"/>
      <w:r>
        <w:rPr>
          <w:rFonts w:ascii="Times New Roman" w:hAnsi="Times New Roman" w:cs="Times New Roman"/>
          <w:b/>
          <w:bCs/>
          <w:color w:val="000000"/>
        </w:rPr>
        <w:t>850  $</w:t>
      </w:r>
      <w:proofErr w:type="gramEnd"/>
      <w:r>
        <w:rPr>
          <w:rFonts w:ascii="Times New Roman" w:hAnsi="Times New Roman" w:cs="Times New Roman"/>
          <w:b/>
          <w:bCs/>
          <w:color w:val="000000"/>
        </w:rPr>
        <w:t xml:space="preserve"> per ton  </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1. GENERAL PRODUCT SPECIFICATIONS</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Product: Frozen strawberries 'IQF'</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Origin: Egypt</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Class: A</w:t>
      </w:r>
      <w:bookmarkStart w:id="0" w:name="_GoBack"/>
      <w:bookmarkEnd w:id="0"/>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Variety: Festival (as customer request)</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Size: un calibrated  </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Product description: whole.</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Process: washed, sorted, IQF, packed</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Production date:  2017</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Packing available: 10 K.G in bags into carton box,</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 xml:space="preserve">25 K.G in </w:t>
      </w:r>
      <w:proofErr w:type="spellStart"/>
      <w:r>
        <w:rPr>
          <w:rFonts w:ascii="Times New Roman" w:hAnsi="Times New Roman" w:cs="Times New Roman"/>
          <w:b/>
          <w:bCs/>
          <w:color w:val="000000"/>
        </w:rPr>
        <w:t>p.p</w:t>
      </w:r>
      <w:proofErr w:type="spellEnd"/>
      <w:r>
        <w:rPr>
          <w:rFonts w:ascii="Times New Roman" w:hAnsi="Times New Roman" w:cs="Times New Roman"/>
          <w:b/>
          <w:bCs/>
          <w:color w:val="000000"/>
        </w:rPr>
        <w:t xml:space="preserve"> bags, 1 K.G in bags into carton box 8 K.G (according costumer request).</w:t>
      </w:r>
    </w:p>
    <w:p w:rsidR="00312881" w:rsidRDefault="00312881" w:rsidP="00312881">
      <w:pPr>
        <w:bidi w:val="0"/>
        <w:spacing w:before="100" w:beforeAutospacing="1" w:after="240"/>
        <w:rPr>
          <w:rFonts w:ascii="Times New Roman" w:hAnsi="Times New Roman" w:cs="Times New Roman"/>
          <w:sz w:val="24"/>
          <w:szCs w:val="24"/>
        </w:rPr>
      </w:pPr>
      <w:r>
        <w:rPr>
          <w:rFonts w:ascii="Times New Roman" w:hAnsi="Times New Roman" w:cs="Times New Roman"/>
          <w:b/>
          <w:bCs/>
          <w:color w:val="000000"/>
          <w:u w:val="single"/>
        </w:rPr>
        <w:t>2. PHYSICAL AND SENSORIAL CHARACTERISTICS</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 Appearance: whole, typical, uniform variety</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 Color: typical, without oxidation</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 Aroma: typical of strawberry</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 Taste: typical of strawberry</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 Consistency: Firm</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-Foreign materials:</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lastRenderedPageBreak/>
        <w:t>-Animal (insects, worms, larvae): - not permitted</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-Vegetable: calyx or fragment - up to 3mm max./1 kg fruit</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-Stalks or fragment - up to 3mm max./1 kg fruit</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 xml:space="preserve">-Leave and stalk </w:t>
      </w:r>
      <w:r>
        <w:rPr>
          <w:rFonts w:ascii="Times New Roman" w:hAnsi="Times New Roman" w:cs="Times New Roman"/>
          <w:b/>
          <w:bCs/>
          <w:color w:val="000000"/>
        </w:rPr>
        <w:t>&lt;</w:t>
      </w:r>
      <w:r>
        <w:rPr>
          <w:rFonts w:ascii="Times New Roman" w:hAnsi="Times New Roman" w:cs="Times New Roman"/>
          <w:b/>
          <w:bCs/>
          <w:color w:val="000000"/>
          <w:lang w:val="cs-CZ"/>
        </w:rPr>
        <w:t>1cm     max 5%</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-Other fruits - not permitted</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 xml:space="preserve">-Rot / </w:t>
      </w:r>
      <w:proofErr w:type="spellStart"/>
      <w:r>
        <w:rPr>
          <w:rFonts w:ascii="Times New Roman" w:hAnsi="Times New Roman" w:cs="Times New Roman"/>
          <w:b/>
          <w:bCs/>
          <w:color w:val="000000"/>
        </w:rPr>
        <w:t>mould</w:t>
      </w:r>
      <w:proofErr w:type="spellEnd"/>
      <w:r>
        <w:rPr>
          <w:rFonts w:ascii="Times New Roman" w:hAnsi="Times New Roman" w:cs="Times New Roman"/>
          <w:b/>
          <w:bCs/>
          <w:color w:val="000000"/>
        </w:rPr>
        <w:t xml:space="preserve"> - not permitted</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-Overripe - &lt; 2%</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-Under ripe - &lt; 1%</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-Deformed fruits - &lt; 1%</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-Distorted - &lt; 1%</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-Pink fruits - &lt; 7%</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-Others: wood / earth / straw etc. - not permitted</w:t>
      </w:r>
    </w:p>
    <w:p w:rsidR="00312881" w:rsidRDefault="00312881" w:rsidP="00312881">
      <w:pPr>
        <w:bidi w:val="0"/>
        <w:spacing w:before="100" w:beforeAutospacing="1" w:after="240"/>
        <w:rPr>
          <w:rFonts w:ascii="Times New Roman" w:hAnsi="Times New Roman" w:cs="Times New Roman"/>
          <w:sz w:val="24"/>
          <w:szCs w:val="24"/>
        </w:rPr>
      </w:pPr>
      <w:r>
        <w:rPr>
          <w:rFonts w:ascii="Times New Roman" w:hAnsi="Times New Roman" w:cs="Times New Roman"/>
          <w:b/>
          <w:bCs/>
          <w:color w:val="000000"/>
          <w:u w:val="single"/>
        </w:rPr>
        <w:t>3. CHEMICAL SPECIFICATIONS</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 Brix: Min. 7,0</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 pH: 3,60 - 3,80</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 Acidity (in citric acid): 0.02 : 0.03 %</w:t>
      </w:r>
    </w:p>
    <w:p w:rsidR="00312881" w:rsidRDefault="00312881" w:rsidP="00312881">
      <w:pPr>
        <w:bidi w:val="0"/>
        <w:spacing w:before="100" w:beforeAutospacing="1" w:after="100" w:afterAutospacing="1"/>
        <w:rPr>
          <w:rFonts w:ascii="Times New Roman" w:hAnsi="Times New Roman" w:cs="Times New Roman"/>
          <w:sz w:val="24"/>
          <w:szCs w:val="24"/>
        </w:rPr>
      </w:pPr>
      <w:r w:rsidRPr="00BE0125">
        <w:rPr>
          <w:rFonts w:ascii="Times New Roman" w:hAnsi="Times New Roman" w:cs="Times New Roman"/>
          <w:b/>
          <w:bCs/>
          <w:color w:val="000000"/>
          <w:u w:val="single"/>
        </w:rPr>
        <w:t>4. MICROBIOLOGICAL SPECIFICATIONS</w:t>
      </w:r>
    </w:p>
    <w:p w:rsidR="00312881" w:rsidRPr="00BE0125" w:rsidRDefault="00312881" w:rsidP="00312881">
      <w:pPr>
        <w:autoSpaceDE w:val="0"/>
        <w:autoSpaceDN w:val="0"/>
        <w:bidi w:val="0"/>
        <w:spacing w:before="100" w:beforeAutospacing="1" w:after="100" w:afterAutospacing="1"/>
        <w:rPr>
          <w:rFonts w:ascii="Times New Roman" w:hAnsi="Times New Roman" w:cs="Times New Roman"/>
          <w:b/>
          <w:bCs/>
          <w:color w:val="000000"/>
        </w:rPr>
      </w:pPr>
      <w:r w:rsidRPr="00BE0125">
        <w:rPr>
          <w:rFonts w:ascii="Times New Roman" w:hAnsi="Times New Roman" w:cs="Times New Roman"/>
          <w:b/>
          <w:bCs/>
          <w:color w:val="000000"/>
        </w:rPr>
        <w:t xml:space="preserve">Total plate count: &lt; 50000 </w:t>
      </w:r>
      <w:proofErr w:type="spellStart"/>
      <w:r w:rsidRPr="00BE0125">
        <w:rPr>
          <w:rFonts w:ascii="Times New Roman" w:hAnsi="Times New Roman" w:cs="Times New Roman"/>
          <w:b/>
          <w:bCs/>
          <w:color w:val="000000"/>
        </w:rPr>
        <w:t>cfu</w:t>
      </w:r>
      <w:proofErr w:type="spellEnd"/>
      <w:r w:rsidRPr="00BE0125">
        <w:rPr>
          <w:rFonts w:ascii="Times New Roman" w:hAnsi="Times New Roman" w:cs="Times New Roman"/>
          <w:b/>
          <w:bCs/>
          <w:color w:val="000000"/>
        </w:rPr>
        <w:t xml:space="preserve"> / g</w:t>
      </w:r>
    </w:p>
    <w:p w:rsidR="00312881" w:rsidRPr="00BE0125" w:rsidRDefault="00312881" w:rsidP="00312881">
      <w:pPr>
        <w:autoSpaceDE w:val="0"/>
        <w:autoSpaceDN w:val="0"/>
        <w:bidi w:val="0"/>
        <w:spacing w:before="100" w:beforeAutospacing="1" w:after="100" w:afterAutospacing="1"/>
        <w:rPr>
          <w:rFonts w:ascii="Times New Roman" w:hAnsi="Times New Roman" w:cs="Times New Roman"/>
          <w:b/>
          <w:bCs/>
          <w:color w:val="000000"/>
        </w:rPr>
      </w:pPr>
      <w:r w:rsidRPr="00BE0125">
        <w:rPr>
          <w:rFonts w:ascii="Times New Roman" w:hAnsi="Times New Roman" w:cs="Times New Roman"/>
          <w:b/>
          <w:bCs/>
          <w:color w:val="000000"/>
        </w:rPr>
        <w:t>Total coliforms: Max 10 / GM</w:t>
      </w:r>
    </w:p>
    <w:p w:rsidR="00312881" w:rsidRPr="00BE0125" w:rsidRDefault="00312881" w:rsidP="00312881">
      <w:pPr>
        <w:autoSpaceDE w:val="0"/>
        <w:autoSpaceDN w:val="0"/>
        <w:bidi w:val="0"/>
        <w:spacing w:before="100" w:beforeAutospacing="1" w:after="100" w:afterAutospacing="1"/>
        <w:rPr>
          <w:rFonts w:ascii="Times New Roman" w:hAnsi="Times New Roman" w:cs="Times New Roman"/>
          <w:b/>
          <w:bCs/>
          <w:color w:val="000000"/>
        </w:rPr>
      </w:pPr>
      <w:r w:rsidRPr="00BE0125">
        <w:rPr>
          <w:rFonts w:ascii="Times New Roman" w:hAnsi="Times New Roman" w:cs="Times New Roman"/>
          <w:b/>
          <w:bCs/>
          <w:color w:val="000000"/>
        </w:rPr>
        <w:t xml:space="preserve">Yeasts &lt; 1.000 </w:t>
      </w:r>
      <w:proofErr w:type="spellStart"/>
      <w:r w:rsidRPr="00BE0125">
        <w:rPr>
          <w:rFonts w:ascii="Times New Roman" w:hAnsi="Times New Roman" w:cs="Times New Roman"/>
          <w:b/>
          <w:bCs/>
          <w:color w:val="000000"/>
        </w:rPr>
        <w:t>cfu</w:t>
      </w:r>
      <w:proofErr w:type="spellEnd"/>
      <w:r w:rsidRPr="00BE0125">
        <w:rPr>
          <w:rFonts w:ascii="Times New Roman" w:hAnsi="Times New Roman" w:cs="Times New Roman"/>
          <w:b/>
          <w:bCs/>
          <w:color w:val="000000"/>
        </w:rPr>
        <w:t>/g</w:t>
      </w:r>
    </w:p>
    <w:p w:rsidR="00312881" w:rsidRPr="00BE0125" w:rsidRDefault="00312881" w:rsidP="00312881">
      <w:pPr>
        <w:autoSpaceDE w:val="0"/>
        <w:autoSpaceDN w:val="0"/>
        <w:bidi w:val="0"/>
        <w:spacing w:before="100" w:beforeAutospacing="1" w:after="100" w:afterAutospacing="1"/>
        <w:rPr>
          <w:rFonts w:ascii="Times New Roman" w:hAnsi="Times New Roman" w:cs="Times New Roman"/>
          <w:b/>
          <w:bCs/>
          <w:color w:val="000000"/>
        </w:rPr>
      </w:pPr>
      <w:proofErr w:type="spellStart"/>
      <w:r w:rsidRPr="00BE0125">
        <w:rPr>
          <w:rFonts w:ascii="Times New Roman" w:hAnsi="Times New Roman" w:cs="Times New Roman"/>
          <w:b/>
          <w:bCs/>
          <w:color w:val="000000"/>
        </w:rPr>
        <w:t>Moulds</w:t>
      </w:r>
      <w:proofErr w:type="spellEnd"/>
      <w:r w:rsidRPr="00BE0125">
        <w:rPr>
          <w:rFonts w:ascii="Times New Roman" w:hAnsi="Times New Roman" w:cs="Times New Roman"/>
          <w:b/>
          <w:bCs/>
          <w:color w:val="000000"/>
        </w:rPr>
        <w:t xml:space="preserve"> &lt; 1.000 </w:t>
      </w:r>
      <w:proofErr w:type="spellStart"/>
      <w:r w:rsidRPr="00BE0125">
        <w:rPr>
          <w:rFonts w:ascii="Times New Roman" w:hAnsi="Times New Roman" w:cs="Times New Roman"/>
          <w:b/>
          <w:bCs/>
          <w:color w:val="000000"/>
        </w:rPr>
        <w:t>cfu</w:t>
      </w:r>
      <w:proofErr w:type="spellEnd"/>
      <w:r w:rsidRPr="00BE0125">
        <w:rPr>
          <w:rFonts w:ascii="Times New Roman" w:hAnsi="Times New Roman" w:cs="Times New Roman"/>
          <w:b/>
          <w:bCs/>
          <w:color w:val="000000"/>
        </w:rPr>
        <w:t>/g</w:t>
      </w:r>
    </w:p>
    <w:p w:rsidR="00312881" w:rsidRPr="00BE0125" w:rsidRDefault="00312881" w:rsidP="00312881">
      <w:pPr>
        <w:autoSpaceDE w:val="0"/>
        <w:autoSpaceDN w:val="0"/>
        <w:bidi w:val="0"/>
        <w:spacing w:before="100" w:beforeAutospacing="1" w:after="100" w:afterAutospacing="1"/>
        <w:rPr>
          <w:rFonts w:ascii="Times New Roman" w:hAnsi="Times New Roman" w:cs="Times New Roman"/>
          <w:b/>
          <w:bCs/>
          <w:color w:val="000000"/>
        </w:rPr>
      </w:pPr>
      <w:r w:rsidRPr="00BE0125">
        <w:rPr>
          <w:rFonts w:ascii="Times New Roman" w:hAnsi="Times New Roman" w:cs="Times New Roman"/>
          <w:b/>
          <w:bCs/>
          <w:color w:val="000000"/>
        </w:rPr>
        <w:t xml:space="preserve">Salmonella </w:t>
      </w:r>
      <w:proofErr w:type="gramStart"/>
      <w:r w:rsidRPr="00BE0125">
        <w:rPr>
          <w:rFonts w:ascii="Times New Roman" w:hAnsi="Times New Roman" w:cs="Times New Roman"/>
          <w:b/>
          <w:bCs/>
          <w:color w:val="000000"/>
        </w:rPr>
        <w:t>absent</w:t>
      </w:r>
      <w:proofErr w:type="gramEnd"/>
    </w:p>
    <w:p w:rsidR="00312881" w:rsidRPr="00BE0125" w:rsidRDefault="00312881" w:rsidP="00312881">
      <w:pPr>
        <w:autoSpaceDE w:val="0"/>
        <w:autoSpaceDN w:val="0"/>
        <w:bidi w:val="0"/>
        <w:spacing w:before="100" w:beforeAutospacing="1" w:after="100" w:afterAutospacing="1"/>
        <w:rPr>
          <w:rFonts w:ascii="Times New Roman" w:hAnsi="Times New Roman" w:cs="Times New Roman"/>
          <w:b/>
          <w:bCs/>
          <w:color w:val="000000"/>
        </w:rPr>
      </w:pPr>
      <w:r w:rsidRPr="00BE0125">
        <w:rPr>
          <w:rFonts w:ascii="Times New Roman" w:hAnsi="Times New Roman" w:cs="Times New Roman"/>
          <w:b/>
          <w:bCs/>
          <w:color w:val="000000"/>
        </w:rPr>
        <w:t>E.</w:t>
      </w:r>
      <w:r>
        <w:rPr>
          <w:rFonts w:ascii="Times New Roman" w:hAnsi="Times New Roman" w:cs="Times New Roman"/>
          <w:b/>
          <w:bCs/>
          <w:color w:val="000000"/>
        </w:rPr>
        <w:t xml:space="preserve"> </w:t>
      </w:r>
      <w:proofErr w:type="gramStart"/>
      <w:r>
        <w:rPr>
          <w:rFonts w:ascii="Times New Roman" w:hAnsi="Times New Roman" w:cs="Times New Roman"/>
          <w:b/>
          <w:bCs/>
          <w:color w:val="000000"/>
        </w:rPr>
        <w:t>Coli  absent</w:t>
      </w:r>
      <w:proofErr w:type="gramEnd"/>
    </w:p>
    <w:p w:rsidR="00312881" w:rsidRPr="00BE0125" w:rsidRDefault="00312881" w:rsidP="00312881">
      <w:pPr>
        <w:autoSpaceDE w:val="0"/>
        <w:autoSpaceDN w:val="0"/>
        <w:bidi w:val="0"/>
        <w:spacing w:before="100" w:beforeAutospacing="1" w:after="100" w:afterAutospacing="1"/>
        <w:rPr>
          <w:rFonts w:ascii="Times New Roman" w:hAnsi="Times New Roman" w:cs="Times New Roman"/>
          <w:b/>
          <w:bCs/>
          <w:color w:val="000000"/>
        </w:rPr>
      </w:pPr>
      <w:r w:rsidRPr="00BE0125">
        <w:rPr>
          <w:rFonts w:ascii="Times New Roman" w:hAnsi="Times New Roman" w:cs="Times New Roman"/>
          <w:b/>
          <w:bCs/>
          <w:color w:val="000000"/>
        </w:rPr>
        <w:t xml:space="preserve">Listeria </w:t>
      </w:r>
      <w:proofErr w:type="spellStart"/>
      <w:r w:rsidRPr="00BE0125">
        <w:rPr>
          <w:rFonts w:ascii="Times New Roman" w:hAnsi="Times New Roman" w:cs="Times New Roman"/>
          <w:b/>
          <w:bCs/>
          <w:color w:val="000000"/>
        </w:rPr>
        <w:t>monocyt</w:t>
      </w:r>
      <w:proofErr w:type="spellEnd"/>
      <w:r w:rsidRPr="00BE0125">
        <w:rPr>
          <w:rFonts w:ascii="Times New Roman" w:hAnsi="Times New Roman" w:cs="Times New Roman"/>
          <w:b/>
          <w:bCs/>
          <w:color w:val="000000"/>
        </w:rPr>
        <w:t>. absent</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lastRenderedPageBreak/>
        <w:t> Total Quality tolerance</w:t>
      </w:r>
    </w:p>
    <w:tbl>
      <w:tblPr>
        <w:tblW w:w="0" w:type="auto"/>
        <w:tblInd w:w="77" w:type="dxa"/>
        <w:tblCellMar>
          <w:left w:w="0" w:type="dxa"/>
          <w:right w:w="0" w:type="dxa"/>
        </w:tblCellMar>
        <w:tblLook w:val="04A0" w:firstRow="1" w:lastRow="0" w:firstColumn="1" w:lastColumn="0" w:noHBand="0" w:noVBand="1"/>
      </w:tblPr>
      <w:tblGrid>
        <w:gridCol w:w="3664"/>
        <w:gridCol w:w="4760"/>
      </w:tblGrid>
      <w:tr w:rsidR="00312881" w:rsidTr="00312881">
        <w:tc>
          <w:tcPr>
            <w:tcW w:w="3664"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Unripe fruit</w:t>
            </w:r>
          </w:p>
        </w:tc>
        <w:tc>
          <w:tcPr>
            <w:tcW w:w="4760"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Max 1%</w:t>
            </w:r>
          </w:p>
        </w:tc>
      </w:tr>
      <w:tr w:rsidR="00312881" w:rsidTr="00312881">
        <w:tc>
          <w:tcPr>
            <w:tcW w:w="3664"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 xml:space="preserve">Overripe fruit </w:t>
            </w:r>
          </w:p>
        </w:tc>
        <w:tc>
          <w:tcPr>
            <w:tcW w:w="4760"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Max 2%</w:t>
            </w:r>
          </w:p>
        </w:tc>
      </w:tr>
      <w:tr w:rsidR="00312881" w:rsidTr="00312881">
        <w:tc>
          <w:tcPr>
            <w:tcW w:w="3664"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Mechanicaly demaged fruit</w:t>
            </w:r>
          </w:p>
        </w:tc>
        <w:tc>
          <w:tcPr>
            <w:tcW w:w="4760"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Max 7%</w:t>
            </w:r>
          </w:p>
        </w:tc>
      </w:tr>
      <w:tr w:rsidR="00312881" w:rsidTr="00312881">
        <w:tc>
          <w:tcPr>
            <w:tcW w:w="3664"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Mouldy fruit</w:t>
            </w:r>
          </w:p>
        </w:tc>
        <w:tc>
          <w:tcPr>
            <w:tcW w:w="4760"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Max 0,1%</w:t>
            </w:r>
          </w:p>
        </w:tc>
      </w:tr>
      <w:tr w:rsidR="00312881" w:rsidTr="00312881">
        <w:tc>
          <w:tcPr>
            <w:tcW w:w="3664"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 xml:space="preserve">Leave and stalk </w:t>
            </w:r>
            <w:r>
              <w:rPr>
                <w:rFonts w:ascii="Times New Roman" w:hAnsi="Times New Roman" w:cs="Times New Roman"/>
                <w:b/>
                <w:bCs/>
                <w:color w:val="000000"/>
              </w:rPr>
              <w:t>&lt;</w:t>
            </w:r>
            <w:r>
              <w:rPr>
                <w:rFonts w:ascii="Times New Roman" w:hAnsi="Times New Roman" w:cs="Times New Roman"/>
                <w:b/>
                <w:bCs/>
                <w:color w:val="000000"/>
                <w:lang w:val="cs-CZ"/>
              </w:rPr>
              <w:t>1cm</w:t>
            </w:r>
          </w:p>
        </w:tc>
        <w:tc>
          <w:tcPr>
            <w:tcW w:w="4760"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Max 5 %  </w:t>
            </w:r>
          </w:p>
        </w:tc>
      </w:tr>
      <w:tr w:rsidR="00312881" w:rsidTr="00312881">
        <w:tc>
          <w:tcPr>
            <w:tcW w:w="3664"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 xml:space="preserve">Fruit with remain of stalks </w:t>
            </w:r>
          </w:p>
        </w:tc>
        <w:tc>
          <w:tcPr>
            <w:tcW w:w="4760"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Max 2 %  </w:t>
            </w:r>
          </w:p>
        </w:tc>
      </w:tr>
      <w:tr w:rsidR="00312881" w:rsidTr="00312881">
        <w:tc>
          <w:tcPr>
            <w:tcW w:w="3664"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 xml:space="preserve">Humidity </w:t>
            </w:r>
          </w:p>
        </w:tc>
        <w:tc>
          <w:tcPr>
            <w:tcW w:w="4760"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90 – 92%</w:t>
            </w:r>
          </w:p>
        </w:tc>
      </w:tr>
      <w:tr w:rsidR="00312881" w:rsidTr="00312881">
        <w:tc>
          <w:tcPr>
            <w:tcW w:w="3664"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Brix</w:t>
            </w:r>
          </w:p>
        </w:tc>
        <w:tc>
          <w:tcPr>
            <w:tcW w:w="4760"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7 – 9 %</w:t>
            </w:r>
          </w:p>
        </w:tc>
      </w:tr>
      <w:tr w:rsidR="00312881" w:rsidTr="00312881">
        <w:tc>
          <w:tcPr>
            <w:tcW w:w="3664"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P.H</w:t>
            </w:r>
          </w:p>
        </w:tc>
        <w:tc>
          <w:tcPr>
            <w:tcW w:w="4760"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3.6 : 3.8 %</w:t>
            </w:r>
          </w:p>
        </w:tc>
      </w:tr>
      <w:tr w:rsidR="00312881" w:rsidTr="00312881">
        <w:tc>
          <w:tcPr>
            <w:tcW w:w="3664"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Citric Acid</w:t>
            </w:r>
          </w:p>
        </w:tc>
        <w:tc>
          <w:tcPr>
            <w:tcW w:w="4760"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0.02 : 0.03 %</w:t>
            </w:r>
          </w:p>
        </w:tc>
      </w:tr>
      <w:tr w:rsidR="00312881" w:rsidTr="00312881">
        <w:tc>
          <w:tcPr>
            <w:tcW w:w="3664"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Coliform</w:t>
            </w:r>
          </w:p>
        </w:tc>
        <w:tc>
          <w:tcPr>
            <w:tcW w:w="4760"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Max 10/GM</w:t>
            </w:r>
          </w:p>
        </w:tc>
      </w:tr>
      <w:tr w:rsidR="00312881" w:rsidTr="00312881">
        <w:tc>
          <w:tcPr>
            <w:tcW w:w="3664"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 xml:space="preserve">Salmonella </w:t>
            </w:r>
          </w:p>
        </w:tc>
        <w:tc>
          <w:tcPr>
            <w:tcW w:w="4760"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Free</w:t>
            </w:r>
          </w:p>
        </w:tc>
      </w:tr>
      <w:tr w:rsidR="00312881" w:rsidTr="00312881">
        <w:tc>
          <w:tcPr>
            <w:tcW w:w="3664"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 xml:space="preserve">E.Coli </w:t>
            </w:r>
          </w:p>
        </w:tc>
        <w:tc>
          <w:tcPr>
            <w:tcW w:w="4760" w:type="dxa"/>
            <w:tcMar>
              <w:top w:w="55" w:type="dxa"/>
              <w:left w:w="55" w:type="dxa"/>
              <w:bottom w:w="55" w:type="dxa"/>
              <w:right w:w="55" w:type="dxa"/>
            </w:tcMar>
            <w:hideMark/>
          </w:tcPr>
          <w:p w:rsidR="00312881" w:rsidRDefault="00312881">
            <w:pPr>
              <w:bidi w:val="0"/>
              <w:snapToGrid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lang w:val="cs-CZ"/>
              </w:rPr>
              <w:t>Free</w:t>
            </w:r>
          </w:p>
        </w:tc>
      </w:tr>
    </w:tbl>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u w:val="single"/>
        </w:rPr>
        <w:t> 5. CONTAMINANTS AND LEGISLATIVE REFERENCES</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Food contaminants (heavy metals, pesticides, mycotoxins, radioactivity, dioxins.) within the European</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directives and regulation limits.</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 xml:space="preserve">Product without additives such as </w:t>
      </w:r>
      <w:proofErr w:type="spellStart"/>
      <w:r>
        <w:rPr>
          <w:rFonts w:ascii="Times New Roman" w:hAnsi="Times New Roman" w:cs="Times New Roman"/>
          <w:b/>
          <w:bCs/>
          <w:color w:val="000000"/>
        </w:rPr>
        <w:t>anti foam</w:t>
      </w:r>
      <w:proofErr w:type="spellEnd"/>
      <w:r>
        <w:rPr>
          <w:rFonts w:ascii="Times New Roman" w:hAnsi="Times New Roman" w:cs="Times New Roman"/>
          <w:b/>
          <w:bCs/>
          <w:color w:val="000000"/>
        </w:rPr>
        <w:t xml:space="preserve"> agents, preservatives, artificial aromas or colors, and without GMO products.</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u w:val="single"/>
        </w:rPr>
        <w:t> 6. PACKING / TRANSPORT / STORAGE</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Packing: Primary packaging: plastic bag without staples or other metallic items</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Secondary packaging: Carton bag without staples or other metallic items, closed with Transparent tape.</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 xml:space="preserve">Palletization: </w:t>
      </w:r>
      <w:proofErr w:type="spellStart"/>
      <w:r>
        <w:rPr>
          <w:rFonts w:ascii="Times New Roman" w:hAnsi="Times New Roman" w:cs="Times New Roman"/>
          <w:b/>
          <w:bCs/>
          <w:color w:val="000000"/>
        </w:rPr>
        <w:t>Epal</w:t>
      </w:r>
      <w:proofErr w:type="spellEnd"/>
      <w:r>
        <w:rPr>
          <w:rFonts w:ascii="Times New Roman" w:hAnsi="Times New Roman" w:cs="Times New Roman"/>
          <w:b/>
          <w:bCs/>
          <w:color w:val="000000"/>
        </w:rPr>
        <w:t xml:space="preserve"> pallet 80x120cm.</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Transport: goods must be transported in clean vehicles, without smell and residues of the previous</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Storage: at a temperature of -18°</w:t>
      </w:r>
      <w:proofErr w:type="gramStart"/>
      <w:r>
        <w:rPr>
          <w:rFonts w:ascii="Times New Roman" w:hAnsi="Times New Roman" w:cs="Times New Roman"/>
          <w:b/>
          <w:bCs/>
          <w:color w:val="000000"/>
        </w:rPr>
        <w:t>C .</w:t>
      </w:r>
      <w:proofErr w:type="gramEnd"/>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u w:val="single"/>
        </w:rPr>
        <w:br/>
        <w:t>7. OTHER CONDITIONS</w:t>
      </w:r>
    </w:p>
    <w:p w:rsidR="00312881" w:rsidRDefault="00312881" w:rsidP="00312881">
      <w:pPr>
        <w:bidi w:val="0"/>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rPr>
        <w:t>shelf life: 18 months after production date</w:t>
      </w:r>
    </w:p>
    <w:p w:rsidR="00312881" w:rsidRDefault="00312881" w:rsidP="00312881">
      <w:pPr>
        <w:bidi w:val="0"/>
      </w:pPr>
      <w:r>
        <w:rPr>
          <w:b/>
          <w:bCs/>
          <w:color w:val="000000"/>
        </w:rPr>
        <w:lastRenderedPageBreak/>
        <w:t>Glad</w:t>
      </w:r>
      <w:r w:rsidR="00BE0125">
        <w:rPr>
          <w:b/>
          <w:bCs/>
          <w:color w:val="000000"/>
        </w:rPr>
        <w:t>ly</w:t>
      </w:r>
      <w:r>
        <w:rPr>
          <w:b/>
          <w:bCs/>
          <w:color w:val="000000"/>
        </w:rPr>
        <w:t xml:space="preserve"> to cooperate with you shortly, we remain,</w:t>
      </w:r>
    </w:p>
    <w:p w:rsidR="00312881" w:rsidRDefault="00312881" w:rsidP="00312881">
      <w:pPr>
        <w:bidi w:val="0"/>
      </w:pPr>
    </w:p>
    <w:p w:rsidR="00312881" w:rsidRDefault="00312881" w:rsidP="00312881">
      <w:pPr>
        <w:bidi w:val="0"/>
      </w:pPr>
    </w:p>
    <w:p w:rsidR="00312881" w:rsidRDefault="00312881" w:rsidP="00312881">
      <w:pPr>
        <w:bidi w:val="0"/>
        <w:rPr>
          <w:b/>
          <w:bCs/>
          <w:color w:val="17365D"/>
        </w:rPr>
      </w:pPr>
      <w:r>
        <w:rPr>
          <w:b/>
          <w:bCs/>
          <w:color w:val="17365D"/>
        </w:rPr>
        <w:t>With best regards,</w:t>
      </w:r>
    </w:p>
    <w:p w:rsidR="00312881" w:rsidRDefault="00312881" w:rsidP="00312881">
      <w:pPr>
        <w:bidi w:val="0"/>
        <w:rPr>
          <w:b/>
          <w:bCs/>
          <w:color w:val="17365D"/>
        </w:rPr>
      </w:pPr>
    </w:p>
    <w:p w:rsidR="00312881" w:rsidRDefault="00312881" w:rsidP="00312881">
      <w:pPr>
        <w:bidi w:val="0"/>
        <w:rPr>
          <w:b/>
          <w:bCs/>
          <w:color w:val="17365D"/>
        </w:rPr>
      </w:pPr>
      <w:proofErr w:type="spellStart"/>
      <w:r>
        <w:rPr>
          <w:b/>
          <w:bCs/>
          <w:color w:val="17365D"/>
        </w:rPr>
        <w:t>Mayada</w:t>
      </w:r>
      <w:proofErr w:type="spellEnd"/>
      <w:r>
        <w:rPr>
          <w:b/>
          <w:bCs/>
          <w:color w:val="17365D"/>
        </w:rPr>
        <w:t xml:space="preserve"> Nagy</w:t>
      </w:r>
    </w:p>
    <w:p w:rsidR="00312881" w:rsidRDefault="00312881" w:rsidP="00312881">
      <w:pPr>
        <w:bidi w:val="0"/>
        <w:rPr>
          <w:b/>
          <w:bCs/>
          <w:color w:val="17365D"/>
        </w:rPr>
      </w:pPr>
      <w:r>
        <w:rPr>
          <w:b/>
          <w:bCs/>
          <w:color w:val="17365D"/>
        </w:rPr>
        <w:t xml:space="preserve">GLOBAL FRUIT LLC </w:t>
      </w:r>
    </w:p>
    <w:p w:rsidR="00312881" w:rsidRDefault="00312881" w:rsidP="00312881">
      <w:pPr>
        <w:bidi w:val="0"/>
        <w:rPr>
          <w:b/>
          <w:bCs/>
          <w:color w:val="17365D"/>
        </w:rPr>
      </w:pPr>
    </w:p>
    <w:p w:rsidR="00312881" w:rsidRDefault="00312881" w:rsidP="00312881">
      <w:pPr>
        <w:bidi w:val="0"/>
        <w:rPr>
          <w:b/>
          <w:bCs/>
          <w:color w:val="17365D"/>
        </w:rPr>
      </w:pPr>
      <w:r>
        <w:rPr>
          <w:b/>
          <w:bCs/>
          <w:color w:val="17365D"/>
        </w:rPr>
        <w:t>Web-site.www.global-fruit.net</w:t>
      </w:r>
    </w:p>
    <w:p w:rsidR="00312881" w:rsidRDefault="00312881" w:rsidP="00312881">
      <w:pPr>
        <w:bidi w:val="0"/>
        <w:rPr>
          <w:b/>
          <w:bCs/>
          <w:color w:val="17365D"/>
        </w:rPr>
      </w:pPr>
      <w:r>
        <w:rPr>
          <w:b/>
          <w:bCs/>
          <w:color w:val="17365D"/>
        </w:rPr>
        <w:t xml:space="preserve">E-mail: </w:t>
      </w:r>
      <w:hyperlink r:id="rId4" w:history="1">
        <w:r>
          <w:rPr>
            <w:rStyle w:val="Hyperlink"/>
            <w:b/>
            <w:bCs/>
          </w:rPr>
          <w:t>sales@global-fruit.net</w:t>
        </w:r>
      </w:hyperlink>
    </w:p>
    <w:p w:rsidR="00312881" w:rsidRDefault="00312881" w:rsidP="00312881">
      <w:pPr>
        <w:bidi w:val="0"/>
        <w:rPr>
          <w:b/>
          <w:bCs/>
          <w:color w:val="17365D"/>
        </w:rPr>
      </w:pPr>
      <w:r>
        <w:rPr>
          <w:b/>
          <w:bCs/>
          <w:color w:val="17365D"/>
        </w:rPr>
        <w:t>Egypt: Tel +202 247-036-28</w:t>
      </w:r>
    </w:p>
    <w:p w:rsidR="00312881" w:rsidRDefault="00312881" w:rsidP="00312881">
      <w:pPr>
        <w:bidi w:val="0"/>
        <w:rPr>
          <w:b/>
          <w:bCs/>
          <w:color w:val="17365D"/>
        </w:rPr>
      </w:pPr>
      <w:r>
        <w:rPr>
          <w:b/>
          <w:bCs/>
          <w:color w:val="17365D"/>
        </w:rPr>
        <w:t>+202-247-036-27</w:t>
      </w:r>
    </w:p>
    <w:p w:rsidR="00312881" w:rsidRDefault="00312881" w:rsidP="00312881">
      <w:pPr>
        <w:bidi w:val="0"/>
        <w:rPr>
          <w:b/>
          <w:bCs/>
          <w:color w:val="17365D"/>
        </w:rPr>
      </w:pPr>
      <w:proofErr w:type="gramStart"/>
      <w:r>
        <w:rPr>
          <w:b/>
          <w:bCs/>
          <w:color w:val="17365D"/>
        </w:rPr>
        <w:t>Fax:+</w:t>
      </w:r>
      <w:proofErr w:type="gramEnd"/>
      <w:r>
        <w:rPr>
          <w:b/>
          <w:bCs/>
          <w:color w:val="17365D"/>
        </w:rPr>
        <w:t>202-247-036-28</w:t>
      </w:r>
    </w:p>
    <w:p w:rsidR="00312881" w:rsidRDefault="00312881" w:rsidP="00312881">
      <w:pPr>
        <w:bidi w:val="0"/>
        <w:rPr>
          <w:b/>
          <w:bCs/>
          <w:color w:val="17365D"/>
        </w:rPr>
      </w:pPr>
      <w:r>
        <w:rPr>
          <w:b/>
          <w:bCs/>
          <w:color w:val="17365D"/>
        </w:rPr>
        <w:t>Mob:01125769944</w:t>
      </w:r>
    </w:p>
    <w:p w:rsidR="00312881" w:rsidRDefault="00312881" w:rsidP="00312881">
      <w:pPr>
        <w:bidi w:val="0"/>
      </w:pPr>
    </w:p>
    <w:p w:rsidR="00312881" w:rsidRDefault="00312881" w:rsidP="00312881"/>
    <w:p w:rsidR="00312881" w:rsidRDefault="00312881" w:rsidP="00312881"/>
    <w:p w:rsidR="004E1606" w:rsidRDefault="004E1606"/>
    <w:sectPr w:rsidR="004E1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777B54"/>
    <w:rsid w:val="00312881"/>
    <w:rsid w:val="004E1606"/>
    <w:rsid w:val="00777B54"/>
    <w:rsid w:val="00B674A1"/>
    <w:rsid w:val="00BE0125"/>
    <w:rsid w:val="00F4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97A3"/>
  <w15:chartTrackingRefBased/>
  <w15:docId w15:val="{585BEF90-2D77-4B93-867F-9D7015673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881"/>
    <w:pPr>
      <w:bidi/>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28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4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les@global-frui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Bucharest</dc:creator>
  <cp:keywords/>
  <dc:description/>
  <cp:lastModifiedBy>Bucharest</cp:lastModifiedBy>
  <cp:revision>5</cp:revision>
  <dcterms:created xsi:type="dcterms:W3CDTF">2017-09-13T12:08:00Z</dcterms:created>
  <dcterms:modified xsi:type="dcterms:W3CDTF">2017-09-13T12:12:00Z</dcterms:modified>
</cp:coreProperties>
</file>