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C8B99" w14:textId="77777777" w:rsidR="0008249D" w:rsidRDefault="0008249D" w:rsidP="00DA2B81">
      <w:pPr>
        <w:spacing w:after="0"/>
        <w:jc w:val="center"/>
        <w:rPr>
          <w:b/>
          <w:noProof/>
          <w:sz w:val="28"/>
          <w:szCs w:val="28"/>
          <w:u w:val="single"/>
          <w:lang w:val="ro-RO"/>
        </w:rPr>
      </w:pPr>
    </w:p>
    <w:p w14:paraId="01F1AC72" w14:textId="77777777" w:rsidR="0092292B" w:rsidRPr="00E03986" w:rsidRDefault="00570AD4" w:rsidP="00DA2B81">
      <w:pPr>
        <w:spacing w:after="0"/>
        <w:jc w:val="center"/>
        <w:rPr>
          <w:b/>
          <w:noProof/>
          <w:sz w:val="28"/>
          <w:szCs w:val="28"/>
          <w:u w:val="single"/>
          <w:lang w:val="ro-RO"/>
        </w:rPr>
      </w:pPr>
      <w:r w:rsidRPr="00E03986">
        <w:rPr>
          <w:b/>
          <w:noProof/>
          <w:sz w:val="28"/>
          <w:szCs w:val="28"/>
          <w:u w:val="single"/>
          <w:lang w:val="ro-RO"/>
        </w:rPr>
        <w:t>MATERIAL INFORMATV</w:t>
      </w:r>
    </w:p>
    <w:p w14:paraId="27447251" w14:textId="6D65FF6B" w:rsidR="00570AD4" w:rsidRPr="00E03986" w:rsidRDefault="0092292B" w:rsidP="00E171C3">
      <w:pPr>
        <w:autoSpaceDE w:val="0"/>
        <w:ind w:firstLine="426"/>
        <w:jc w:val="center"/>
        <w:rPr>
          <w:b/>
          <w:noProof/>
          <w:sz w:val="28"/>
          <w:szCs w:val="28"/>
          <w:u w:val="single"/>
          <w:lang w:val="ro-RO"/>
        </w:rPr>
      </w:pPr>
      <w:r w:rsidRPr="00E03986">
        <w:rPr>
          <w:b/>
          <w:noProof/>
          <w:sz w:val="28"/>
          <w:szCs w:val="28"/>
          <w:u w:val="single"/>
          <w:lang w:val="ro-RO"/>
        </w:rPr>
        <w:t xml:space="preserve">Programul </w:t>
      </w:r>
      <w:r w:rsidR="0057462E" w:rsidRPr="00E03986">
        <w:rPr>
          <w:b/>
          <w:noProof/>
          <w:sz w:val="28"/>
          <w:szCs w:val="28"/>
          <w:u w:val="single"/>
          <w:lang w:val="ro-RO"/>
        </w:rPr>
        <w:t>național multianual de microindustrializare</w:t>
      </w:r>
      <w:r w:rsidR="00570AD4" w:rsidRPr="00E03986">
        <w:rPr>
          <w:b/>
          <w:noProof/>
          <w:sz w:val="28"/>
          <w:szCs w:val="28"/>
          <w:u w:val="single"/>
          <w:lang w:val="ro-RO"/>
        </w:rPr>
        <w:t xml:space="preserve"> </w:t>
      </w:r>
      <w:r w:rsidR="00D62F3B" w:rsidRPr="00E03986">
        <w:rPr>
          <w:b/>
          <w:noProof/>
          <w:sz w:val="28"/>
          <w:szCs w:val="28"/>
          <w:u w:val="single"/>
          <w:lang w:val="ro-RO"/>
        </w:rPr>
        <w:t xml:space="preserve">– sesiunea </w:t>
      </w:r>
      <w:r w:rsidR="00570AD4" w:rsidRPr="00E03986">
        <w:rPr>
          <w:b/>
          <w:noProof/>
          <w:sz w:val="28"/>
          <w:szCs w:val="28"/>
          <w:u w:val="single"/>
          <w:lang w:val="ro-RO"/>
        </w:rPr>
        <w:t>2018</w:t>
      </w:r>
    </w:p>
    <w:p w14:paraId="07E2446D" w14:textId="77777777" w:rsidR="00BC5CD3" w:rsidRPr="00E03986" w:rsidRDefault="00BC5CD3" w:rsidP="007028A2">
      <w:pPr>
        <w:widowControl w:val="0"/>
        <w:autoSpaceDE w:val="0"/>
        <w:autoSpaceDN w:val="0"/>
        <w:adjustRightInd w:val="0"/>
        <w:spacing w:after="0" w:line="240" w:lineRule="auto"/>
        <w:jc w:val="both"/>
        <w:rPr>
          <w:noProof/>
          <w:lang w:val="ro-RO"/>
        </w:rPr>
      </w:pPr>
    </w:p>
    <w:p w14:paraId="0E67C984" w14:textId="77777777" w:rsidR="00BC5CD3" w:rsidRPr="00E03986" w:rsidRDefault="00E31CE3" w:rsidP="00E31CE3">
      <w:pPr>
        <w:pStyle w:val="ListParagraph"/>
        <w:numPr>
          <w:ilvl w:val="0"/>
          <w:numId w:val="10"/>
        </w:numPr>
        <w:pBdr>
          <w:top w:val="single" w:sz="4" w:space="0" w:color="auto"/>
          <w:left w:val="single" w:sz="4" w:space="3" w:color="auto"/>
          <w:bottom w:val="single" w:sz="4" w:space="1" w:color="auto"/>
          <w:right w:val="single" w:sz="4" w:space="4" w:color="auto"/>
        </w:pBdr>
        <w:autoSpaceDE w:val="0"/>
        <w:autoSpaceDN w:val="0"/>
        <w:adjustRightInd w:val="0"/>
        <w:spacing w:after="0" w:line="240" w:lineRule="auto"/>
        <w:contextualSpacing w:val="0"/>
        <w:jc w:val="both"/>
        <w:rPr>
          <w:rFonts w:ascii="Calibri Light" w:hAnsi="Calibri Light" w:cs="Calibri"/>
          <w:b/>
          <w:noProof/>
          <w:color w:val="0070C0"/>
          <w:lang w:val="ro-RO"/>
        </w:rPr>
      </w:pPr>
      <w:r w:rsidRPr="00E03986">
        <w:rPr>
          <w:rFonts w:ascii="Calibri Light" w:hAnsi="Calibri Light" w:cs="Calibri"/>
          <w:b/>
          <w:noProof/>
          <w:color w:val="0070C0"/>
          <w:lang w:val="ro-RO"/>
        </w:rPr>
        <w:t>SOLICITANȚ</w:t>
      </w:r>
      <w:r w:rsidR="00570AD4" w:rsidRPr="00E03986">
        <w:rPr>
          <w:rFonts w:ascii="Calibri Light" w:hAnsi="Calibri Light" w:cs="Calibri"/>
          <w:b/>
          <w:noProof/>
          <w:color w:val="0070C0"/>
          <w:lang w:val="ro-RO"/>
        </w:rPr>
        <w:t>I ELIGIBILI</w:t>
      </w:r>
    </w:p>
    <w:p w14:paraId="3EAA7E1B" w14:textId="79539AE9" w:rsidR="00605127" w:rsidRPr="00E03986" w:rsidRDefault="003034C3" w:rsidP="00605127">
      <w:pPr>
        <w:spacing w:before="120" w:after="120"/>
        <w:jc w:val="both"/>
        <w:rPr>
          <w:b/>
          <w:noProof/>
          <w:lang w:val="ro-RO"/>
        </w:rPr>
      </w:pPr>
      <w:r w:rsidRPr="00E03986">
        <w:rPr>
          <w:noProof/>
          <w:lang w:val="ro-RO"/>
        </w:rPr>
        <w:t xml:space="preserve">Pot beneficia de AFN în cadrul Programului </w:t>
      </w:r>
      <w:r w:rsidR="00C21823" w:rsidRPr="00E03986">
        <w:rPr>
          <w:noProof/>
          <w:lang w:val="ro-RO"/>
        </w:rPr>
        <w:t xml:space="preserve">societățile care se încadrează în categoria </w:t>
      </w:r>
      <w:r w:rsidR="00C21823" w:rsidRPr="00E03986">
        <w:rPr>
          <w:b/>
          <w:noProof/>
          <w:lang w:val="ro-RO"/>
        </w:rPr>
        <w:t>întreprinderilor mici sau mijlocii situate într-una din regiunile de dezvoltare: Nord-Est, Sud-Est, Sud Muntenia, Sud-Vest Oltenia, Vest, Nord-Vest, Centru</w:t>
      </w:r>
      <w:r w:rsidR="00C21823" w:rsidRPr="00E03986">
        <w:rPr>
          <w:noProof/>
          <w:lang w:val="ro-RO"/>
        </w:rPr>
        <w:t xml:space="preserve"> </w:t>
      </w:r>
      <w:r w:rsidR="00C21823" w:rsidRPr="00E03986">
        <w:rPr>
          <w:b/>
          <w:noProof/>
          <w:lang w:val="ro-RO"/>
        </w:rPr>
        <w:t>(</w:t>
      </w:r>
      <w:r w:rsidR="00E97583" w:rsidRPr="00E03986">
        <w:rPr>
          <w:b/>
          <w:noProof/>
          <w:lang w:val="ro-RO"/>
        </w:rPr>
        <w:t>microîntreprinderile din aceste regiuni sunt excluse</w:t>
      </w:r>
      <w:r w:rsidR="00C21823" w:rsidRPr="00E03986">
        <w:rPr>
          <w:b/>
          <w:noProof/>
          <w:lang w:val="ro-RO"/>
        </w:rPr>
        <w:t>)</w:t>
      </w:r>
      <w:r w:rsidR="00C21823" w:rsidRPr="00E03986">
        <w:rPr>
          <w:noProof/>
          <w:lang w:val="ro-RO"/>
        </w:rPr>
        <w:t xml:space="preserve"> sau în categoria </w:t>
      </w:r>
      <w:bookmarkStart w:id="0" w:name="_Hlk520110125"/>
      <w:r w:rsidR="00C21823" w:rsidRPr="00E03986">
        <w:rPr>
          <w:noProof/>
          <w:lang w:val="ro-RO"/>
        </w:rPr>
        <w:t xml:space="preserve">microîntreprinderilor, întreprinderilor mici sau întreprinderilor mijlocii </w:t>
      </w:r>
      <w:bookmarkEnd w:id="0"/>
      <w:r w:rsidR="00C21823" w:rsidRPr="00E03986">
        <w:rPr>
          <w:noProof/>
          <w:lang w:val="ro-RO"/>
        </w:rPr>
        <w:t xml:space="preserve">din Bucureşti-Ilfov, </w:t>
      </w:r>
      <w:r w:rsidRPr="00E03986">
        <w:rPr>
          <w:iCs/>
          <w:noProof/>
          <w:lang w:val="ro-RO"/>
        </w:rPr>
        <w:t>care</w:t>
      </w:r>
      <w:r w:rsidRPr="00E03986">
        <w:rPr>
          <w:noProof/>
          <w:lang w:val="ro-RO"/>
        </w:rPr>
        <w:t xml:space="preserve"> îndeplinesc cumulativ următoarele </w:t>
      </w:r>
      <w:r w:rsidRPr="00E03986">
        <w:rPr>
          <w:b/>
          <w:noProof/>
          <w:lang w:val="ro-RO"/>
        </w:rPr>
        <w:t>criterii de eligibilitate:</w:t>
      </w:r>
    </w:p>
    <w:p w14:paraId="2DB4B1A5" w14:textId="77777777" w:rsidR="007D25F9" w:rsidRPr="00E03986" w:rsidRDefault="00605127" w:rsidP="00605127">
      <w:pPr>
        <w:pStyle w:val="NormalJustified"/>
        <w:spacing w:line="276" w:lineRule="auto"/>
        <w:rPr>
          <w:rFonts w:asciiTheme="minorHAnsi" w:hAnsiTheme="minorHAnsi"/>
          <w:noProof/>
          <w:sz w:val="22"/>
          <w:szCs w:val="22"/>
        </w:rPr>
      </w:pPr>
      <w:r w:rsidRPr="00E03986">
        <w:rPr>
          <w:rFonts w:asciiTheme="minorHAnsi" w:hAnsiTheme="minorHAnsi"/>
          <w:noProof/>
          <w:sz w:val="22"/>
          <w:szCs w:val="22"/>
        </w:rPr>
        <w:t xml:space="preserve"> </w:t>
      </w:r>
      <w:r w:rsidR="007D25F9" w:rsidRPr="00E03986">
        <w:rPr>
          <w:rFonts w:asciiTheme="minorHAnsi" w:hAnsiTheme="minorHAnsi"/>
          <w:noProof/>
          <w:sz w:val="22"/>
          <w:szCs w:val="22"/>
        </w:rPr>
        <w:t>sunt organizate în baza Legii  nr. 31/1990;</w:t>
      </w:r>
    </w:p>
    <w:p w14:paraId="080FC6A2" w14:textId="77777777" w:rsidR="00BE6D01" w:rsidRPr="00E03986" w:rsidRDefault="00BE6D01" w:rsidP="00605127">
      <w:pPr>
        <w:numPr>
          <w:ilvl w:val="0"/>
          <w:numId w:val="7"/>
        </w:numPr>
        <w:tabs>
          <w:tab w:val="num" w:pos="1080"/>
        </w:tabs>
        <w:autoSpaceDE w:val="0"/>
        <w:autoSpaceDN w:val="0"/>
        <w:adjustRightInd w:val="0"/>
        <w:spacing w:after="0"/>
        <w:ind w:left="720" w:firstLine="0"/>
        <w:jc w:val="both"/>
        <w:rPr>
          <w:noProof/>
          <w:lang w:val="ro-RO"/>
        </w:rPr>
      </w:pPr>
      <w:r w:rsidRPr="00E03986">
        <w:rPr>
          <w:noProof/>
          <w:lang w:val="ro-RO"/>
        </w:rPr>
        <w:t>sunt IMM, conform prevederilor art. 2 şi ale art. 4 alin. (1) lit. a), b) sau c) din Legea nr. 346/2004 privind stimularea înfiinţării şi dezvoltării întreprinderilor mici şi mijlocii, cu modificările şi completările ulterioare;</w:t>
      </w:r>
    </w:p>
    <w:p w14:paraId="6043F776" w14:textId="77777777" w:rsidR="00BE6D01" w:rsidRPr="00E03986" w:rsidRDefault="00BE6D01" w:rsidP="00605127">
      <w:pPr>
        <w:pStyle w:val="NormalJustified"/>
        <w:tabs>
          <w:tab w:val="left" w:pos="1080"/>
        </w:tabs>
        <w:spacing w:line="276" w:lineRule="auto"/>
        <w:rPr>
          <w:rFonts w:asciiTheme="minorHAnsi" w:hAnsiTheme="minorHAnsi"/>
          <w:noProof/>
          <w:sz w:val="22"/>
          <w:szCs w:val="22"/>
        </w:rPr>
      </w:pPr>
      <w:r w:rsidRPr="00E03986">
        <w:rPr>
          <w:rFonts w:asciiTheme="minorHAnsi" w:hAnsiTheme="minorHAnsi"/>
          <w:noProof/>
          <w:sz w:val="22"/>
          <w:szCs w:val="22"/>
        </w:rPr>
        <w:t xml:space="preserve">   au capital social integral privat;</w:t>
      </w:r>
    </w:p>
    <w:p w14:paraId="2A795611" w14:textId="77777777" w:rsidR="00BE6D01" w:rsidRPr="00E03986" w:rsidRDefault="00FB088B" w:rsidP="00605127">
      <w:pPr>
        <w:pStyle w:val="NormalJustified"/>
        <w:tabs>
          <w:tab w:val="left" w:pos="1080"/>
        </w:tabs>
        <w:spacing w:line="276" w:lineRule="auto"/>
        <w:rPr>
          <w:rFonts w:asciiTheme="minorHAnsi" w:hAnsiTheme="minorHAnsi"/>
          <w:noProof/>
          <w:sz w:val="22"/>
          <w:szCs w:val="22"/>
        </w:rPr>
      </w:pPr>
      <w:r w:rsidRPr="00E03986">
        <w:rPr>
          <w:rFonts w:asciiTheme="minorHAnsi" w:hAnsiTheme="minorHAnsi"/>
          <w:noProof/>
          <w:sz w:val="22"/>
          <w:szCs w:val="22"/>
        </w:rPr>
        <w:t xml:space="preserve"> </w:t>
      </w:r>
      <w:r w:rsidR="00C21823" w:rsidRPr="00E03986">
        <w:rPr>
          <w:rFonts w:asciiTheme="minorHAnsi" w:hAnsiTheme="minorHAnsi"/>
          <w:noProof/>
          <w:sz w:val="22"/>
          <w:szCs w:val="22"/>
        </w:rPr>
        <w:t>a</w:t>
      </w:r>
      <w:r w:rsidR="00BE6D01" w:rsidRPr="00E03986">
        <w:rPr>
          <w:rFonts w:asciiTheme="minorHAnsi" w:hAnsiTheme="minorHAnsi"/>
          <w:noProof/>
          <w:sz w:val="22"/>
          <w:szCs w:val="22"/>
        </w:rPr>
        <w:t>sociaţii sau acţionarii care deţin mai multe societăţi nu pot aplica în cadrul prezentului program decât cu o singură societate;</w:t>
      </w:r>
    </w:p>
    <w:p w14:paraId="0BE788BF" w14:textId="77777777" w:rsidR="00BE6D01" w:rsidRPr="00E03986" w:rsidRDefault="00BE6D01" w:rsidP="00605127">
      <w:pPr>
        <w:pStyle w:val="NormalJustified"/>
        <w:tabs>
          <w:tab w:val="left" w:pos="1080"/>
        </w:tabs>
        <w:spacing w:line="276" w:lineRule="auto"/>
        <w:rPr>
          <w:rFonts w:asciiTheme="minorHAnsi" w:hAnsiTheme="minorHAnsi"/>
          <w:noProof/>
          <w:sz w:val="22"/>
          <w:szCs w:val="22"/>
        </w:rPr>
      </w:pPr>
      <w:r w:rsidRPr="00E03986">
        <w:rPr>
          <w:rFonts w:asciiTheme="minorHAnsi" w:hAnsiTheme="minorHAnsi"/>
          <w:noProof/>
          <w:sz w:val="22"/>
          <w:szCs w:val="22"/>
        </w:rPr>
        <w:t xml:space="preserve">   sunt înregistrate la Oficiul Registrului Comerţului şi îşi desfăşoară activitatea pe teritoriul României;</w:t>
      </w:r>
    </w:p>
    <w:p w14:paraId="4C75AE33" w14:textId="77777777" w:rsidR="00BE6D01" w:rsidRPr="00E03986" w:rsidRDefault="00BE6D01" w:rsidP="00605127">
      <w:pPr>
        <w:pStyle w:val="NormalJustified"/>
        <w:tabs>
          <w:tab w:val="clear" w:pos="900"/>
          <w:tab w:val="num" w:pos="1080"/>
        </w:tabs>
        <w:spacing w:line="276" w:lineRule="auto"/>
        <w:rPr>
          <w:rFonts w:asciiTheme="minorHAnsi" w:hAnsiTheme="minorHAnsi"/>
          <w:noProof/>
          <w:sz w:val="22"/>
          <w:szCs w:val="22"/>
        </w:rPr>
      </w:pPr>
      <w:r w:rsidRPr="00E03986">
        <w:rPr>
          <w:rFonts w:asciiTheme="minorHAnsi" w:hAnsiTheme="minorHAnsi"/>
          <w:noProof/>
          <w:sz w:val="22"/>
          <w:szCs w:val="22"/>
        </w:rPr>
        <w:t>codul CAEN pentru care solicită finanţare este eligibil</w:t>
      </w:r>
      <w:r w:rsidRPr="00E03986">
        <w:rPr>
          <w:rFonts w:asciiTheme="minorHAnsi" w:hAnsiTheme="minorHAnsi"/>
          <w:noProof/>
          <w:color w:val="00CCFF"/>
          <w:sz w:val="22"/>
          <w:szCs w:val="22"/>
        </w:rPr>
        <w:t xml:space="preserve"> </w:t>
      </w:r>
      <w:r w:rsidRPr="00E03986">
        <w:rPr>
          <w:rFonts w:asciiTheme="minorHAnsi" w:hAnsiTheme="minorHAnsi"/>
          <w:noProof/>
          <w:sz w:val="22"/>
          <w:szCs w:val="22"/>
        </w:rPr>
        <w:t xml:space="preserve">în cadrul Programului şi autorizat a fi desfăşurat la </w:t>
      </w:r>
      <w:r w:rsidR="00FB088B" w:rsidRPr="00E03986">
        <w:rPr>
          <w:rFonts w:asciiTheme="minorHAnsi" w:hAnsiTheme="minorHAnsi"/>
          <w:noProof/>
          <w:sz w:val="22"/>
          <w:szCs w:val="22"/>
        </w:rPr>
        <w:t>momentul înscrierii online</w:t>
      </w:r>
      <w:r w:rsidRPr="00E03986">
        <w:rPr>
          <w:rFonts w:asciiTheme="minorHAnsi" w:hAnsiTheme="minorHAnsi"/>
          <w:noProof/>
          <w:sz w:val="22"/>
          <w:szCs w:val="22"/>
        </w:rPr>
        <w:t>;</w:t>
      </w:r>
    </w:p>
    <w:p w14:paraId="59A8B7D0" w14:textId="77777777" w:rsidR="00FB088B" w:rsidRPr="00E03986" w:rsidRDefault="00FB088B" w:rsidP="00605127">
      <w:pPr>
        <w:pStyle w:val="NormalJustified"/>
        <w:tabs>
          <w:tab w:val="clear" w:pos="900"/>
          <w:tab w:val="num" w:pos="1080"/>
        </w:tabs>
        <w:spacing w:line="276" w:lineRule="auto"/>
        <w:rPr>
          <w:rFonts w:asciiTheme="minorHAnsi" w:hAnsiTheme="minorHAnsi"/>
          <w:noProof/>
          <w:sz w:val="22"/>
          <w:szCs w:val="22"/>
        </w:rPr>
      </w:pPr>
      <w:r w:rsidRPr="00E03986">
        <w:rPr>
          <w:rFonts w:asciiTheme="minorHAnsi" w:hAnsiTheme="minorHAnsi"/>
          <w:noProof/>
          <w:sz w:val="22"/>
          <w:szCs w:val="22"/>
        </w:rPr>
        <w:t xml:space="preserve">au cel puţin 1 an calendaristic de la înfiinţare la data deschiderii aplicaţiei electronice de înscriere a planului de afaceri; </w:t>
      </w:r>
    </w:p>
    <w:p w14:paraId="38A085DF" w14:textId="77777777" w:rsidR="00605127" w:rsidRPr="00E03986" w:rsidRDefault="00BE6D01" w:rsidP="00605127">
      <w:pPr>
        <w:numPr>
          <w:ilvl w:val="0"/>
          <w:numId w:val="7"/>
        </w:numPr>
        <w:tabs>
          <w:tab w:val="num" w:pos="1080"/>
          <w:tab w:val="left" w:pos="1170"/>
        </w:tabs>
        <w:autoSpaceDE w:val="0"/>
        <w:autoSpaceDN w:val="0"/>
        <w:adjustRightInd w:val="0"/>
        <w:spacing w:after="0"/>
        <w:ind w:left="720" w:firstLine="0"/>
        <w:jc w:val="both"/>
        <w:rPr>
          <w:noProof/>
          <w:lang w:val="ro-RO"/>
        </w:rPr>
      </w:pPr>
      <w:r w:rsidRPr="00E03986">
        <w:rPr>
          <w:noProof/>
          <w:lang w:val="ro-RO"/>
        </w:rPr>
        <w:t>nu au datorii la bugetul general consolidat şi la bugetele locale, atât pentru sediul social, cât şi pentru toate punctele de lucru; Solicitanţii care au datorii eşalonate, nu sunt eligibili pentru a accesa Programul;</w:t>
      </w:r>
    </w:p>
    <w:p w14:paraId="013C97A7" w14:textId="77777777" w:rsidR="00FB088B" w:rsidRPr="00E03986" w:rsidRDefault="00605127" w:rsidP="00605127">
      <w:pPr>
        <w:numPr>
          <w:ilvl w:val="0"/>
          <w:numId w:val="7"/>
        </w:numPr>
        <w:tabs>
          <w:tab w:val="num" w:pos="1080"/>
          <w:tab w:val="left" w:pos="1170"/>
        </w:tabs>
        <w:autoSpaceDE w:val="0"/>
        <w:autoSpaceDN w:val="0"/>
        <w:adjustRightInd w:val="0"/>
        <w:spacing w:after="0"/>
        <w:ind w:left="720" w:firstLine="0"/>
        <w:jc w:val="both"/>
        <w:rPr>
          <w:noProof/>
          <w:lang w:val="ro-RO"/>
        </w:rPr>
      </w:pPr>
      <w:r w:rsidRPr="00E03986">
        <w:rPr>
          <w:noProof/>
          <w:lang w:val="ro-RO"/>
        </w:rPr>
        <w:t xml:space="preserve"> </w:t>
      </w:r>
      <w:r w:rsidR="00FB088B" w:rsidRPr="00E03986">
        <w:rPr>
          <w:noProof/>
          <w:lang w:val="ro-RO"/>
        </w:rPr>
        <w:t xml:space="preserve">au transmis cerere de renunţare parţială/totală la finanţare în termenul prevăzut de procedurile de implementare a programelor naţionale implementate prin </w:t>
      </w:r>
      <w:r w:rsidR="00FB088B" w:rsidRPr="00E03986">
        <w:rPr>
          <w:bCs/>
          <w:noProof/>
          <w:lang w:val="ro-RO"/>
        </w:rPr>
        <w:t>AIMMAIPE</w:t>
      </w:r>
      <w:r w:rsidR="00FB088B" w:rsidRPr="00E03986">
        <w:rPr>
          <w:noProof/>
          <w:lang w:val="ro-RO"/>
        </w:rPr>
        <w:t>, în cadrul cărora au semnat contract de finanţare în ultimii 3 ani (doar pentru aplicanţii care au semnat contract de finanţare în cadrul programelor naţionale în ultimii 3 ani şi au renunţat parţial sau total la finanţare);</w:t>
      </w:r>
    </w:p>
    <w:p w14:paraId="0C929AC4" w14:textId="77777777" w:rsidR="00605127" w:rsidRPr="00E03986" w:rsidRDefault="00605127" w:rsidP="00605127">
      <w:pPr>
        <w:pStyle w:val="NormalJustified"/>
        <w:tabs>
          <w:tab w:val="left" w:pos="1080"/>
          <w:tab w:val="left" w:pos="1440"/>
        </w:tabs>
        <w:spacing w:line="276" w:lineRule="auto"/>
        <w:rPr>
          <w:rFonts w:asciiTheme="minorHAnsi" w:hAnsiTheme="minorHAnsi"/>
          <w:noProof/>
          <w:sz w:val="22"/>
          <w:szCs w:val="22"/>
        </w:rPr>
      </w:pPr>
      <w:r w:rsidRPr="00E03986">
        <w:rPr>
          <w:rFonts w:asciiTheme="minorHAnsi" w:hAnsiTheme="minorHAnsi"/>
          <w:noProof/>
          <w:sz w:val="22"/>
          <w:szCs w:val="22"/>
        </w:rPr>
        <w:t>nu au depăşit plafonul de minimis de 200.000,00 Euro pe durata a trei exerciţii financiare pentru o întreprindere unică</w:t>
      </w:r>
    </w:p>
    <w:p w14:paraId="6F48146A" w14:textId="77777777" w:rsidR="00605127" w:rsidRPr="00E03986" w:rsidRDefault="00605127" w:rsidP="00605127">
      <w:pPr>
        <w:pStyle w:val="NormalJustified"/>
        <w:tabs>
          <w:tab w:val="left" w:pos="1080"/>
          <w:tab w:val="left" w:pos="1440"/>
        </w:tabs>
        <w:spacing w:line="276" w:lineRule="auto"/>
        <w:rPr>
          <w:rFonts w:asciiTheme="minorHAnsi" w:hAnsiTheme="minorHAnsi"/>
          <w:noProof/>
          <w:sz w:val="22"/>
          <w:szCs w:val="22"/>
        </w:rPr>
      </w:pPr>
      <w:r w:rsidRPr="00E03986">
        <w:rPr>
          <w:rFonts w:asciiTheme="minorHAnsi" w:hAnsiTheme="minorHAnsi"/>
          <w:noProof/>
          <w:sz w:val="22"/>
          <w:szCs w:val="22"/>
        </w:rPr>
        <w:t xml:space="preserve"> nu se află în stare de dizolvare, reorganizare judiciară, lichidare, executare silită,  închidere operaţională, insolvenţă, faliment sau suspendare temporară a activităţii; </w:t>
      </w:r>
    </w:p>
    <w:p w14:paraId="3B44093A" w14:textId="77777777" w:rsidR="00605127" w:rsidRPr="00E03986" w:rsidRDefault="00605127" w:rsidP="00605127">
      <w:pPr>
        <w:pStyle w:val="NormalJustified"/>
        <w:spacing w:line="276" w:lineRule="auto"/>
        <w:rPr>
          <w:rStyle w:val="tli1"/>
          <w:rFonts w:asciiTheme="minorHAnsi" w:hAnsiTheme="minorHAnsi"/>
          <w:noProof/>
          <w:sz w:val="22"/>
          <w:szCs w:val="22"/>
        </w:rPr>
      </w:pPr>
      <w:r w:rsidRPr="00E03986">
        <w:rPr>
          <w:rStyle w:val="tli1"/>
          <w:rFonts w:asciiTheme="minorHAnsi" w:hAnsiTheme="minorHAnsi"/>
          <w:noProof/>
          <w:sz w:val="22"/>
          <w:szCs w:val="22"/>
        </w:rPr>
        <w:t xml:space="preserve">nu au fost subiectul unei decizii a Comisiei Europene / </w:t>
      </w:r>
      <w:r w:rsidRPr="00E03986">
        <w:rPr>
          <w:rFonts w:asciiTheme="minorHAnsi" w:hAnsiTheme="minorHAnsi"/>
          <w:bCs/>
          <w:noProof/>
          <w:sz w:val="22"/>
          <w:szCs w:val="22"/>
          <w:lang w:eastAsia="en-US"/>
        </w:rPr>
        <w:t>AIMMAIPE</w:t>
      </w:r>
      <w:r w:rsidRPr="00E03986">
        <w:rPr>
          <w:rStyle w:val="tli1"/>
          <w:rFonts w:asciiTheme="minorHAnsi" w:hAnsiTheme="minorHAnsi"/>
          <w:noProof/>
          <w:sz w:val="22"/>
          <w:szCs w:val="22"/>
        </w:rPr>
        <w:t xml:space="preserve"> /Consiliului Concurenței sau unui alt furnizor de ajutor de stat/ de minimisde recuperare a unui ajutor de stat/de minimis sau, în cazul în care au făcut obiectul unei astfel de decizii, aceasta a fost deja executată şi creanţa integral recuperată, cu dobânzile și penalităţile aferente; </w:t>
      </w:r>
    </w:p>
    <w:p w14:paraId="3C22C8B7" w14:textId="77777777" w:rsidR="00605127" w:rsidRPr="00E03986" w:rsidRDefault="00605127" w:rsidP="00BC5CD3">
      <w:pPr>
        <w:pStyle w:val="NormalJustified"/>
        <w:spacing w:line="276" w:lineRule="auto"/>
        <w:rPr>
          <w:rFonts w:asciiTheme="minorHAnsi" w:hAnsiTheme="minorHAnsi"/>
          <w:noProof/>
          <w:sz w:val="22"/>
          <w:szCs w:val="22"/>
        </w:rPr>
      </w:pPr>
      <w:r w:rsidRPr="00E03986">
        <w:rPr>
          <w:rFonts w:asciiTheme="minorHAnsi" w:hAnsiTheme="minorHAnsi"/>
          <w:noProof/>
          <w:sz w:val="22"/>
          <w:szCs w:val="22"/>
        </w:rPr>
        <w:lastRenderedPageBreak/>
        <w:t xml:space="preserve">au transmis formularul de raportare tehnică în termenul prevăzut de procedurile de implementare a programelor naţionale implementate prin </w:t>
      </w:r>
      <w:r w:rsidRPr="00E03986">
        <w:rPr>
          <w:rFonts w:asciiTheme="minorHAnsi" w:hAnsiTheme="minorHAnsi"/>
          <w:bCs/>
          <w:noProof/>
          <w:sz w:val="22"/>
          <w:szCs w:val="22"/>
          <w:lang w:eastAsia="en-US"/>
        </w:rPr>
        <w:t>AIMMAIPE</w:t>
      </w:r>
      <w:r w:rsidRPr="00E03986">
        <w:rPr>
          <w:rFonts w:asciiTheme="minorHAnsi" w:hAnsiTheme="minorHAnsi"/>
          <w:noProof/>
          <w:sz w:val="22"/>
          <w:szCs w:val="22"/>
        </w:rPr>
        <w:t>, de care au beneficiat în ultimii 3 ani (doar pentru aplicanţii care au beneficiat de finanţare în cadrul programelor naţionale în ultimii 3 ani);</w:t>
      </w:r>
    </w:p>
    <w:p w14:paraId="1D7AFBBC" w14:textId="77777777" w:rsidR="00BC5CD3" w:rsidRPr="00E03986" w:rsidRDefault="00BC5CD3" w:rsidP="00BC5CD3">
      <w:pPr>
        <w:pStyle w:val="NormalJustified"/>
        <w:numPr>
          <w:ilvl w:val="0"/>
          <w:numId w:val="0"/>
        </w:numPr>
        <w:spacing w:line="276" w:lineRule="auto"/>
        <w:ind w:left="720"/>
        <w:rPr>
          <w:rFonts w:asciiTheme="minorHAnsi" w:hAnsiTheme="minorHAnsi"/>
          <w:noProof/>
          <w:sz w:val="22"/>
          <w:szCs w:val="22"/>
        </w:rPr>
      </w:pPr>
    </w:p>
    <w:p w14:paraId="12181A51" w14:textId="77777777" w:rsidR="00FB088B" w:rsidRPr="00E03986" w:rsidRDefault="00605127" w:rsidP="00605127">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Light" w:hAnsi="Calibri Light" w:cs="Calibri"/>
          <w:b/>
          <w:noProof/>
          <w:color w:val="0070C0"/>
          <w:lang w:val="ro-RO"/>
        </w:rPr>
      </w:pPr>
      <w:r w:rsidRPr="00E03986">
        <w:rPr>
          <w:rFonts w:ascii="Calibri Light" w:hAnsi="Calibri Light" w:cs="Calibri"/>
          <w:b/>
          <w:noProof/>
          <w:color w:val="0070C0"/>
          <w:lang w:val="ro-RO"/>
        </w:rPr>
        <w:t>VALOAREA PROIECTULUI</w:t>
      </w:r>
    </w:p>
    <w:p w14:paraId="41B63FB0" w14:textId="77777777" w:rsidR="00A87AD8" w:rsidRPr="00E03986" w:rsidRDefault="00A87AD8" w:rsidP="00570AD4">
      <w:pPr>
        <w:pStyle w:val="ListParagraph"/>
        <w:spacing w:before="120" w:after="120"/>
        <w:ind w:left="1080"/>
        <w:jc w:val="both"/>
        <w:rPr>
          <w:rStyle w:val="tpa1"/>
          <w:b/>
          <w:noProof/>
          <w:lang w:val="ro-RO"/>
        </w:rPr>
      </w:pPr>
    </w:p>
    <w:p w14:paraId="07B60780" w14:textId="77777777" w:rsidR="00570AD4" w:rsidRPr="00E03986" w:rsidRDefault="00570AD4" w:rsidP="00570AD4">
      <w:pPr>
        <w:pStyle w:val="ListParagraph"/>
        <w:spacing w:before="120" w:after="120"/>
        <w:ind w:left="1080"/>
        <w:jc w:val="both"/>
        <w:rPr>
          <w:rStyle w:val="tpa1"/>
          <w:noProof/>
          <w:lang w:val="ro-RO"/>
        </w:rPr>
      </w:pPr>
      <w:r w:rsidRPr="00E03986">
        <w:rPr>
          <w:rStyle w:val="tpa1"/>
          <w:b/>
          <w:noProof/>
          <w:lang w:val="ro-RO"/>
        </w:rPr>
        <w:t xml:space="preserve">Bugetul alocat </w:t>
      </w:r>
      <w:r w:rsidRPr="00E03986">
        <w:rPr>
          <w:rStyle w:val="tpa1"/>
          <w:noProof/>
          <w:lang w:val="ro-RO"/>
        </w:rPr>
        <w:t>schemei de minimis</w:t>
      </w:r>
      <w:r w:rsidR="00C21823" w:rsidRPr="00E03986">
        <w:rPr>
          <w:rStyle w:val="tpa1"/>
          <w:noProof/>
          <w:lang w:val="ro-RO"/>
        </w:rPr>
        <w:t xml:space="preserve"> pe anul 2018</w:t>
      </w:r>
      <w:r w:rsidRPr="00E03986">
        <w:rPr>
          <w:rStyle w:val="tpa1"/>
          <w:noProof/>
          <w:lang w:val="ro-RO"/>
        </w:rPr>
        <w:t xml:space="preserve">: </w:t>
      </w:r>
      <w:r w:rsidR="00605127" w:rsidRPr="00E03986">
        <w:rPr>
          <w:rStyle w:val="tpa1"/>
          <w:noProof/>
          <w:lang w:val="ro-RO"/>
        </w:rPr>
        <w:t>74.359.000 lei</w:t>
      </w:r>
      <w:r w:rsidR="00605127" w:rsidRPr="00E03986">
        <w:rPr>
          <w:rStyle w:val="Heading8Char"/>
          <w:rFonts w:eastAsiaTheme="minorHAnsi"/>
          <w:noProof/>
        </w:rPr>
        <w:t xml:space="preserve"> </w:t>
      </w:r>
      <w:r w:rsidR="00605127" w:rsidRPr="00E03986">
        <w:rPr>
          <w:rStyle w:val="tpa1"/>
          <w:noProof/>
          <w:lang w:val="ro-RO"/>
        </w:rPr>
        <w:t>(165</w:t>
      </w:r>
      <w:r w:rsidRPr="00E03986">
        <w:rPr>
          <w:rStyle w:val="tpa1"/>
          <w:noProof/>
          <w:lang w:val="ro-RO"/>
        </w:rPr>
        <w:t xml:space="preserve"> beneficiari);</w:t>
      </w:r>
    </w:p>
    <w:p w14:paraId="6D4A74B1" w14:textId="77777777" w:rsidR="00570AD4" w:rsidRPr="00E03986" w:rsidRDefault="00570AD4" w:rsidP="00570AD4">
      <w:pPr>
        <w:pStyle w:val="ListParagraph"/>
        <w:widowControl w:val="0"/>
        <w:autoSpaceDE w:val="0"/>
        <w:autoSpaceDN w:val="0"/>
        <w:adjustRightInd w:val="0"/>
        <w:spacing w:after="0" w:line="240" w:lineRule="auto"/>
        <w:ind w:left="1080"/>
        <w:jc w:val="both"/>
        <w:rPr>
          <w:noProof/>
          <w:lang w:val="ro-RO"/>
        </w:rPr>
      </w:pPr>
      <w:r w:rsidRPr="00E03986">
        <w:rPr>
          <w:rFonts w:cs="Calibri"/>
          <w:b/>
          <w:bCs/>
          <w:noProof/>
          <w:lang w:val="ro-RO"/>
        </w:rPr>
        <w:t xml:space="preserve">Valoarea asistentei financiare nerambursabile: </w:t>
      </w:r>
      <w:r w:rsidR="007761CD" w:rsidRPr="00E03986">
        <w:rPr>
          <w:rFonts w:cs="Calibri"/>
          <w:noProof/>
          <w:lang w:val="ro-RO"/>
        </w:rPr>
        <w:t>450</w:t>
      </w:r>
      <w:r w:rsidRPr="00E03986">
        <w:rPr>
          <w:rFonts w:cs="Calibri"/>
          <w:noProof/>
          <w:lang w:val="ro-RO"/>
        </w:rPr>
        <w:t>.000 lei/ beneficiar;</w:t>
      </w:r>
    </w:p>
    <w:p w14:paraId="5C6B972C" w14:textId="77777777" w:rsidR="00570AD4" w:rsidRPr="00E03986" w:rsidRDefault="00570AD4" w:rsidP="00570AD4">
      <w:pPr>
        <w:pStyle w:val="ListParagraph"/>
        <w:widowControl w:val="0"/>
        <w:autoSpaceDE w:val="0"/>
        <w:autoSpaceDN w:val="0"/>
        <w:adjustRightInd w:val="0"/>
        <w:spacing w:after="0" w:line="120" w:lineRule="exact"/>
        <w:ind w:left="1080"/>
        <w:jc w:val="both"/>
        <w:rPr>
          <w:noProof/>
          <w:lang w:val="ro-RO"/>
        </w:rPr>
      </w:pPr>
    </w:p>
    <w:p w14:paraId="269349FA" w14:textId="0AF6F2EE" w:rsidR="007761CD" w:rsidRPr="00E03986" w:rsidRDefault="00570AD4" w:rsidP="00C21823">
      <w:pPr>
        <w:pStyle w:val="ListParagraph"/>
        <w:widowControl w:val="0"/>
        <w:autoSpaceDE w:val="0"/>
        <w:autoSpaceDN w:val="0"/>
        <w:adjustRightInd w:val="0"/>
        <w:spacing w:after="0" w:line="240" w:lineRule="auto"/>
        <w:ind w:left="1080"/>
        <w:jc w:val="both"/>
        <w:rPr>
          <w:rFonts w:cs="Calibri"/>
          <w:noProof/>
          <w:lang w:val="ro-RO"/>
        </w:rPr>
      </w:pPr>
      <w:r w:rsidRPr="00E03986">
        <w:rPr>
          <w:rFonts w:cs="Calibri"/>
          <w:b/>
          <w:bCs/>
          <w:noProof/>
          <w:lang w:val="ro-RO"/>
        </w:rPr>
        <w:t>Procent de finanţare</w:t>
      </w:r>
      <w:r w:rsidRPr="00E03986">
        <w:rPr>
          <w:rFonts w:cs="Calibri"/>
          <w:noProof/>
          <w:lang w:val="ro-RO"/>
        </w:rPr>
        <w:t>: maxim 90% din valoarea totală a cheltuielilor eligibile (exclusiv TVA)</w:t>
      </w:r>
      <w:r w:rsidR="00C21823" w:rsidRPr="00E03986">
        <w:rPr>
          <w:rFonts w:cs="Calibri"/>
          <w:noProof/>
          <w:lang w:val="ro-RO"/>
        </w:rPr>
        <w:t xml:space="preserve">, pentru </w:t>
      </w:r>
      <w:r w:rsidR="00662A3C" w:rsidRPr="00E03986">
        <w:rPr>
          <w:rFonts w:cs="Calibri"/>
          <w:noProof/>
          <w:lang w:val="ro-RO"/>
        </w:rPr>
        <w:t xml:space="preserve">a obține </w:t>
      </w:r>
      <w:r w:rsidR="00C21823" w:rsidRPr="00E03986">
        <w:rPr>
          <w:rFonts w:cs="Calibri"/>
          <w:noProof/>
          <w:lang w:val="ro-RO"/>
        </w:rPr>
        <w:t xml:space="preserve">punctaj procentul finanțării </w:t>
      </w:r>
      <w:r w:rsidR="00662A3C" w:rsidRPr="00E03986">
        <w:rPr>
          <w:rFonts w:cs="Calibri"/>
          <w:noProof/>
          <w:lang w:val="ro-RO"/>
        </w:rPr>
        <w:t xml:space="preserve">trebuie să fie de </w:t>
      </w:r>
      <w:r w:rsidR="00C21823" w:rsidRPr="00E03986">
        <w:rPr>
          <w:rFonts w:cs="Calibri"/>
          <w:noProof/>
          <w:lang w:val="ro-RO"/>
        </w:rPr>
        <w:t>75%</w:t>
      </w:r>
      <w:r w:rsidR="009068A5" w:rsidRPr="00E03986">
        <w:rPr>
          <w:rFonts w:cs="Calibri"/>
          <w:noProof/>
          <w:lang w:val="ro-RO"/>
        </w:rPr>
        <w:t xml:space="preserve"> din valoarea totală a cheltuielilor eligibile</w:t>
      </w:r>
    </w:p>
    <w:p w14:paraId="7B89D13C" w14:textId="77777777" w:rsidR="00570AD4" w:rsidRPr="00E03986" w:rsidRDefault="00570AD4" w:rsidP="00DA2B81">
      <w:pPr>
        <w:pStyle w:val="NormalJustified"/>
        <w:numPr>
          <w:ilvl w:val="0"/>
          <w:numId w:val="0"/>
        </w:numPr>
        <w:spacing w:line="276" w:lineRule="auto"/>
        <w:ind w:left="720"/>
        <w:rPr>
          <w:rFonts w:asciiTheme="minorHAnsi" w:hAnsiTheme="minorHAnsi"/>
          <w:noProof/>
          <w:sz w:val="22"/>
          <w:szCs w:val="22"/>
        </w:rPr>
      </w:pPr>
    </w:p>
    <w:p w14:paraId="712CEDB2" w14:textId="77777777" w:rsidR="00570AD4" w:rsidRPr="00E03986" w:rsidRDefault="00E31CE3" w:rsidP="00570AD4">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Light" w:hAnsi="Calibri Light" w:cs="Calibri"/>
          <w:b/>
          <w:noProof/>
          <w:color w:val="0070C0"/>
          <w:lang w:val="ro-RO"/>
        </w:rPr>
      </w:pPr>
      <w:r w:rsidRPr="00E03986">
        <w:rPr>
          <w:rFonts w:ascii="Calibri Light" w:hAnsi="Calibri Light" w:cs="Calibri"/>
          <w:b/>
          <w:noProof/>
          <w:color w:val="0070C0"/>
          <w:lang w:val="ro-RO"/>
        </w:rPr>
        <w:t>ACTIVITĂȚI/ INVESTIȚ</w:t>
      </w:r>
      <w:r w:rsidR="00570AD4" w:rsidRPr="00E03986">
        <w:rPr>
          <w:rFonts w:ascii="Calibri Light" w:hAnsi="Calibri Light" w:cs="Calibri"/>
          <w:b/>
          <w:noProof/>
          <w:color w:val="0070C0"/>
          <w:lang w:val="ro-RO"/>
        </w:rPr>
        <w:t>II ELIGIBILE</w:t>
      </w:r>
    </w:p>
    <w:p w14:paraId="63A7AC17" w14:textId="77777777" w:rsidR="00CB6021" w:rsidRPr="00E03986" w:rsidRDefault="00CB6021" w:rsidP="00FA1389">
      <w:pPr>
        <w:tabs>
          <w:tab w:val="left" w:pos="2310"/>
        </w:tabs>
        <w:spacing w:line="240" w:lineRule="auto"/>
        <w:jc w:val="both"/>
        <w:rPr>
          <w:noProof/>
          <w:lang w:val="ro-RO"/>
        </w:rPr>
      </w:pPr>
      <w:r w:rsidRPr="00E03986">
        <w:rPr>
          <w:b/>
          <w:noProof/>
          <w:lang w:val="ro-RO"/>
        </w:rPr>
        <w:t>Activitati eligibile</w:t>
      </w:r>
      <w:r w:rsidRPr="00E03986">
        <w:rPr>
          <w:noProof/>
          <w:lang w:val="ro-RO"/>
        </w:rPr>
        <w:t>, conform diviziunilor  CAEN:</w:t>
      </w:r>
      <w:r w:rsidRPr="00E03986">
        <w:rPr>
          <w:noProof/>
          <w:lang w:val="ro-RO"/>
        </w:rPr>
        <w:tab/>
      </w:r>
    </w:p>
    <w:p w14:paraId="3281D3E2"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10 Industria alimentară</w:t>
      </w:r>
    </w:p>
    <w:p w14:paraId="39AA63A9"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11 Fabricarea băuturilor: eligibil doar codul CAEN 1107 – Producţia de băuturi răcoritoare nealcoolice; producţia de ape minerale şi alte ape înbuteliate;</w:t>
      </w:r>
    </w:p>
    <w:p w14:paraId="58BE2D13"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13 Fabricarea produselor textile;</w:t>
      </w:r>
    </w:p>
    <w:p w14:paraId="12D41436"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14 Fabricarea articolelor de îmbrăcăminte;</w:t>
      </w:r>
    </w:p>
    <w:p w14:paraId="6D181B14" w14:textId="77777777" w:rsidR="007761CD" w:rsidRPr="00E03986" w:rsidRDefault="007761CD" w:rsidP="00FA1389">
      <w:pPr>
        <w:numPr>
          <w:ilvl w:val="0"/>
          <w:numId w:val="8"/>
        </w:numPr>
        <w:tabs>
          <w:tab w:val="left" w:pos="1620"/>
          <w:tab w:val="left" w:pos="1800"/>
          <w:tab w:val="left" w:pos="1980"/>
        </w:tabs>
        <w:autoSpaceDE w:val="0"/>
        <w:autoSpaceDN w:val="0"/>
        <w:adjustRightInd w:val="0"/>
        <w:spacing w:after="0" w:line="240" w:lineRule="auto"/>
        <w:jc w:val="both"/>
        <w:rPr>
          <w:bCs/>
          <w:noProof/>
          <w:lang w:val="ro-RO"/>
        </w:rPr>
      </w:pPr>
      <w:r w:rsidRPr="00E03986">
        <w:rPr>
          <w:bCs/>
          <w:noProof/>
          <w:lang w:val="ro-RO"/>
        </w:rPr>
        <w:t>15</w:t>
      </w:r>
      <w:r w:rsidR="00BA3E87" w:rsidRPr="00E03986">
        <w:rPr>
          <w:bCs/>
          <w:noProof/>
          <w:lang w:val="ro-RO"/>
        </w:rPr>
        <w:t xml:space="preserve"> </w:t>
      </w:r>
      <w:r w:rsidRPr="00E03986">
        <w:rPr>
          <w:bCs/>
          <w:noProof/>
          <w:lang w:val="ro-RO"/>
        </w:rPr>
        <w:t>Tăbăcirea şi finisarea pieilor</w:t>
      </w:r>
      <w:r w:rsidRPr="00E03986">
        <w:rPr>
          <w:noProof/>
          <w:lang w:val="ro-RO"/>
        </w:rPr>
        <w:t>; fabricarea articolelor de voiaj şi marochinărie, harnaşamentelor şi încălţămintei; prepararea şi vopsirea blănurilor;</w:t>
      </w:r>
    </w:p>
    <w:p w14:paraId="50D3C8B3"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noProof/>
          <w:lang w:val="ro-RO"/>
        </w:rPr>
        <w:t>16 Prelucrarea lemnului, fabricarea produselor din lemnşi plută, cu excepţia mobilei; fabricarea articolelor din paie şi din alte materiale vegetale împletite;</w:t>
      </w:r>
    </w:p>
    <w:p w14:paraId="67C74D5F"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noProof/>
          <w:lang w:val="ro-RO"/>
        </w:rPr>
        <w:t>17 Fabricarea hârtiei şi a produselor din hârtie;</w:t>
      </w:r>
    </w:p>
    <w:p w14:paraId="63F02740"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noProof/>
          <w:lang w:val="ro-RO"/>
        </w:rPr>
        <w:t>1811 Tipărirea ziarelor;</w:t>
      </w:r>
    </w:p>
    <w:p w14:paraId="0F1EB81E"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noProof/>
          <w:lang w:val="ro-RO"/>
        </w:rPr>
        <w:t>1812 Alte activitati de tipărire n.c.a.;</w:t>
      </w:r>
    </w:p>
    <w:p w14:paraId="2889FFA9"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noProof/>
          <w:lang w:val="ro-RO"/>
        </w:rPr>
        <w:t>20 Fabricarea substanțelor și produselor chimice cu excepția 2011, 2051, 2053, 2059.</w:t>
      </w:r>
    </w:p>
    <w:p w14:paraId="5121C90A"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21 Fabricarea produselor farmaceutice de bază și a preparatelor farmaceutice;</w:t>
      </w:r>
    </w:p>
    <w:p w14:paraId="182A6BE3"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22 Fabricarea produselor din cauciuc şi mase plastice;</w:t>
      </w:r>
    </w:p>
    <w:p w14:paraId="2E79A27B"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23 Fabricarea altor produse din minerale nemetalice;</w:t>
      </w:r>
    </w:p>
    <w:p w14:paraId="0B5B194F"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24 Industria metalurgică;</w:t>
      </w:r>
    </w:p>
    <w:p w14:paraId="40E6B042"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25 Industria construcţiilor metalice şi a produselor din metal, exclusiv maşini utilaje şi instalaţii - cu excepţia societăţilor care desfăşoară activităţi pe codurile CAEN aferente grupei 254 Fabricarea armamentului şi muniţiei;</w:t>
      </w:r>
    </w:p>
    <w:p w14:paraId="6D04B588"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26 Fabricarea calculatoarelor şi a produselor electronice şi optice;</w:t>
      </w:r>
    </w:p>
    <w:p w14:paraId="68B50F46"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27 Fabricarea echipamentelor electrice;</w:t>
      </w:r>
    </w:p>
    <w:p w14:paraId="0517EDCA"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28 Fabricarea de maşini, utilaje şi echipamente n.c.a.;</w:t>
      </w:r>
    </w:p>
    <w:p w14:paraId="020A0D71"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29 Fabricarea autovehiculelor de transport rutier, a remorcilor și semiremorcilor;</w:t>
      </w:r>
    </w:p>
    <w:p w14:paraId="56B25E39"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 xml:space="preserve">30 Fabricarea altor mijloace de transport cu </w:t>
      </w:r>
      <w:r w:rsidRPr="00E03986">
        <w:rPr>
          <w:noProof/>
          <w:lang w:val="ro-RO"/>
        </w:rPr>
        <w:t>excepția 3040;</w:t>
      </w:r>
    </w:p>
    <w:p w14:paraId="13D59710"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31 Fabricarea de mobilă;</w:t>
      </w:r>
    </w:p>
    <w:p w14:paraId="04110FF1" w14:textId="77777777" w:rsidR="007761CD" w:rsidRPr="00E03986" w:rsidRDefault="007761CD" w:rsidP="00FA1389">
      <w:pPr>
        <w:numPr>
          <w:ilvl w:val="0"/>
          <w:numId w:val="8"/>
        </w:numPr>
        <w:autoSpaceDE w:val="0"/>
        <w:autoSpaceDN w:val="0"/>
        <w:adjustRightInd w:val="0"/>
        <w:spacing w:after="0" w:line="240" w:lineRule="auto"/>
        <w:jc w:val="both"/>
        <w:rPr>
          <w:bCs/>
          <w:noProof/>
          <w:lang w:val="ro-RO"/>
        </w:rPr>
      </w:pPr>
      <w:r w:rsidRPr="00E03986">
        <w:rPr>
          <w:bCs/>
          <w:noProof/>
          <w:lang w:val="ro-RO"/>
        </w:rPr>
        <w:t>32 Alte activităţi industriale n.c.a.</w:t>
      </w:r>
    </w:p>
    <w:p w14:paraId="1D9D3CD6" w14:textId="77777777" w:rsidR="00097B52" w:rsidRPr="00E03986" w:rsidRDefault="00097B52" w:rsidP="00FA1389">
      <w:pPr>
        <w:tabs>
          <w:tab w:val="left" w:pos="540"/>
        </w:tabs>
        <w:autoSpaceDE w:val="0"/>
        <w:autoSpaceDN w:val="0"/>
        <w:adjustRightInd w:val="0"/>
        <w:spacing w:line="240" w:lineRule="auto"/>
        <w:jc w:val="both"/>
        <w:rPr>
          <w:noProof/>
          <w:lang w:val="ro-RO"/>
        </w:rPr>
      </w:pPr>
    </w:p>
    <w:p w14:paraId="34339EA2" w14:textId="77777777" w:rsidR="00E31CE3" w:rsidRPr="00E03986" w:rsidRDefault="00E31CE3" w:rsidP="00FA1389">
      <w:pPr>
        <w:tabs>
          <w:tab w:val="left" w:pos="540"/>
        </w:tabs>
        <w:autoSpaceDE w:val="0"/>
        <w:autoSpaceDN w:val="0"/>
        <w:adjustRightInd w:val="0"/>
        <w:spacing w:line="240" w:lineRule="auto"/>
        <w:jc w:val="both"/>
        <w:rPr>
          <w:noProof/>
          <w:lang w:val="ro-RO"/>
        </w:rPr>
      </w:pPr>
    </w:p>
    <w:p w14:paraId="3B596BDE" w14:textId="77777777" w:rsidR="00E31CE3" w:rsidRPr="00E03986" w:rsidRDefault="00E31CE3" w:rsidP="00FA1389">
      <w:pPr>
        <w:tabs>
          <w:tab w:val="left" w:pos="540"/>
        </w:tabs>
        <w:autoSpaceDE w:val="0"/>
        <w:autoSpaceDN w:val="0"/>
        <w:adjustRightInd w:val="0"/>
        <w:spacing w:line="240" w:lineRule="auto"/>
        <w:jc w:val="both"/>
        <w:rPr>
          <w:noProof/>
          <w:lang w:val="ro-RO"/>
        </w:rPr>
      </w:pPr>
    </w:p>
    <w:p w14:paraId="708BF445" w14:textId="77777777" w:rsidR="00CB6021" w:rsidRPr="00E03986" w:rsidRDefault="00CB6021" w:rsidP="009346D5">
      <w:pPr>
        <w:tabs>
          <w:tab w:val="left" w:pos="540"/>
        </w:tabs>
        <w:autoSpaceDE w:val="0"/>
        <w:autoSpaceDN w:val="0"/>
        <w:adjustRightInd w:val="0"/>
        <w:jc w:val="both"/>
        <w:rPr>
          <w:rFonts w:cstheme="minorHAnsi"/>
          <w:b/>
          <w:noProof/>
          <w:lang w:val="ro-RO"/>
        </w:rPr>
      </w:pPr>
      <w:r w:rsidRPr="00E03986">
        <w:rPr>
          <w:rFonts w:cstheme="minorHAnsi"/>
          <w:b/>
          <w:bCs/>
          <w:noProof/>
          <w:lang w:val="ro-RO"/>
        </w:rPr>
        <w:t>Categorii cheltuieli eligibile</w:t>
      </w:r>
      <w:r w:rsidRPr="00E03986">
        <w:rPr>
          <w:rFonts w:cstheme="minorHAnsi"/>
          <w:b/>
          <w:noProof/>
          <w:lang w:val="ro-RO"/>
        </w:rPr>
        <w:t>:</w:t>
      </w:r>
    </w:p>
    <w:p w14:paraId="44768BD1" w14:textId="77777777" w:rsidR="009346D5" w:rsidRPr="00E03986" w:rsidRDefault="009346D5" w:rsidP="009346D5">
      <w:pPr>
        <w:pStyle w:val="List"/>
        <w:numPr>
          <w:ilvl w:val="0"/>
          <w:numId w:val="9"/>
        </w:numPr>
        <w:tabs>
          <w:tab w:val="clear" w:pos="990"/>
          <w:tab w:val="left" w:pos="180"/>
          <w:tab w:val="left" w:pos="270"/>
          <w:tab w:val="left" w:pos="360"/>
          <w:tab w:val="left" w:pos="1080"/>
        </w:tabs>
        <w:suppressAutoHyphens w:val="0"/>
        <w:spacing w:line="276" w:lineRule="auto"/>
        <w:ind w:left="720" w:firstLine="0"/>
        <w:rPr>
          <w:rFonts w:asciiTheme="minorHAnsi" w:eastAsia="Calibri" w:hAnsiTheme="minorHAnsi" w:cstheme="minorHAnsi"/>
          <w:noProof/>
          <w:color w:val="000000"/>
          <w:sz w:val="22"/>
          <w:szCs w:val="22"/>
          <w:lang w:eastAsia="en-US"/>
        </w:rPr>
      </w:pPr>
      <w:r w:rsidRPr="00E03986">
        <w:rPr>
          <w:rFonts w:asciiTheme="minorHAnsi" w:hAnsiTheme="minorHAnsi" w:cstheme="minorHAnsi"/>
          <w:noProof/>
          <w:color w:val="000000"/>
          <w:sz w:val="22"/>
          <w:szCs w:val="22"/>
        </w:rPr>
        <w:t xml:space="preserve">Echipamente tehnologice, inclusiv </w:t>
      </w:r>
      <w:r w:rsidRPr="00E03986">
        <w:rPr>
          <w:rFonts w:asciiTheme="minorHAnsi" w:eastAsia="Calibri" w:hAnsiTheme="minorHAnsi" w:cstheme="minorHAnsi"/>
          <w:noProof/>
          <w:color w:val="000000"/>
          <w:sz w:val="22"/>
          <w:szCs w:val="22"/>
          <w:lang w:eastAsia="en-US"/>
        </w:rPr>
        <w:t>echipamente IT tehnică de calcul tip PC, format din: unitate centrală, server, monitor, imprimantă /copiator /multifuncţională, inclusiv sisteme portabile, licenţe necesare desfăşurării activităţii, sisteme audio-video,</w:t>
      </w:r>
      <w:r w:rsidRPr="00E03986">
        <w:rPr>
          <w:rFonts w:asciiTheme="minorHAnsi" w:hAnsiTheme="minorHAnsi" w:cstheme="minorHAnsi"/>
          <w:noProof/>
          <w:color w:val="000000"/>
          <w:sz w:val="22"/>
          <w:szCs w:val="22"/>
        </w:rPr>
        <w:t xml:space="preserve"> cu excepţia jocurilor de noroc mecanice, electrice, electronice, meselor de biliard, automatelor muzicale;</w:t>
      </w:r>
    </w:p>
    <w:p w14:paraId="12DEB389" w14:textId="77777777" w:rsidR="009346D5" w:rsidRPr="00E03986" w:rsidRDefault="009346D5" w:rsidP="009346D5">
      <w:pPr>
        <w:autoSpaceDE w:val="0"/>
        <w:autoSpaceDN w:val="0"/>
        <w:adjustRightInd w:val="0"/>
        <w:ind w:left="720"/>
        <w:jc w:val="both"/>
        <w:rPr>
          <w:rFonts w:cstheme="minorHAnsi"/>
          <w:noProof/>
          <w:color w:val="000000"/>
          <w:lang w:val="ro-RO"/>
        </w:rPr>
      </w:pPr>
      <w:r w:rsidRPr="00E03986">
        <w:rPr>
          <w:rFonts w:cstheme="minorHAnsi"/>
          <w:noProof/>
          <w:color w:val="000000"/>
          <w:lang w:val="ro-RO"/>
        </w:rPr>
        <w:t>Prin echipamente tehnologice se înțeleg toate bunurile descrise în grupele 2.1, 2.2. si 2.3.6. din H.G. 2139/2004 pentru aprobarea Catalogului privind clasificarea si duratele normale de functionare a mijloacelor fixe, sau obiecte de inventar asimilate grupelor menționate;</w:t>
      </w:r>
    </w:p>
    <w:p w14:paraId="049A43BF" w14:textId="77777777" w:rsidR="009346D5" w:rsidRPr="00E03986" w:rsidRDefault="009346D5" w:rsidP="009346D5">
      <w:pPr>
        <w:pStyle w:val="List"/>
        <w:numPr>
          <w:ilvl w:val="0"/>
          <w:numId w:val="9"/>
        </w:numPr>
        <w:tabs>
          <w:tab w:val="left" w:pos="900"/>
          <w:tab w:val="left" w:pos="990"/>
          <w:tab w:val="num" w:pos="1080"/>
          <w:tab w:val="num" w:pos="1350"/>
        </w:tabs>
        <w:suppressAutoHyphens w:val="0"/>
        <w:autoSpaceDE/>
        <w:spacing w:after="240" w:line="276" w:lineRule="auto"/>
        <w:ind w:left="720" w:firstLine="0"/>
        <w:rPr>
          <w:rFonts w:asciiTheme="minorHAnsi" w:hAnsiTheme="minorHAnsi" w:cstheme="minorHAnsi"/>
          <w:noProof/>
          <w:sz w:val="22"/>
          <w:szCs w:val="22"/>
        </w:rPr>
      </w:pPr>
      <w:r w:rsidRPr="00E03986">
        <w:rPr>
          <w:rFonts w:asciiTheme="minorHAnsi" w:hAnsiTheme="minorHAnsi" w:cstheme="minorHAnsi"/>
          <w:bCs/>
          <w:noProof/>
          <w:sz w:val="22"/>
          <w:szCs w:val="22"/>
        </w:rPr>
        <w:t xml:space="preserve">Aparate şi instalaţii de măsură, control, reglare, </w:t>
      </w:r>
      <w:r w:rsidRPr="00E03986">
        <w:rPr>
          <w:rFonts w:asciiTheme="minorHAnsi" w:hAnsiTheme="minorHAnsi" w:cstheme="minorHAnsi"/>
          <w:noProof/>
          <w:sz w:val="22"/>
          <w:szCs w:val="22"/>
        </w:rPr>
        <w:t xml:space="preserve">cititoare pentru cod de bare, cântare electronice cu/fără printer pentru etichetare, aparate de marcat electronice fiscale; </w:t>
      </w:r>
    </w:p>
    <w:p w14:paraId="2D25B9F9" w14:textId="77777777" w:rsidR="009346D5" w:rsidRPr="00E03986" w:rsidRDefault="009346D5" w:rsidP="004C2668">
      <w:pPr>
        <w:pStyle w:val="List"/>
        <w:numPr>
          <w:ilvl w:val="0"/>
          <w:numId w:val="9"/>
        </w:numPr>
        <w:tabs>
          <w:tab w:val="left" w:pos="720"/>
          <w:tab w:val="left" w:pos="990"/>
          <w:tab w:val="left" w:pos="1440"/>
        </w:tabs>
        <w:suppressAutoHyphens w:val="0"/>
        <w:autoSpaceDE/>
        <w:spacing w:after="240" w:line="276" w:lineRule="auto"/>
        <w:ind w:left="720" w:firstLine="0"/>
        <w:rPr>
          <w:rFonts w:asciiTheme="minorHAnsi" w:hAnsiTheme="minorHAnsi" w:cstheme="minorHAnsi"/>
          <w:bCs/>
          <w:noProof/>
          <w:sz w:val="22"/>
          <w:szCs w:val="22"/>
        </w:rPr>
      </w:pPr>
      <w:r w:rsidRPr="00E03986">
        <w:rPr>
          <w:rFonts w:asciiTheme="minorHAnsi" w:hAnsiTheme="minorHAnsi" w:cstheme="minorHAnsi"/>
          <w:bCs/>
          <w:noProof/>
          <w:sz w:val="22"/>
          <w:szCs w:val="22"/>
        </w:rPr>
        <w:t xml:space="preserve">Autoutilitare din categoria N1, N2, N3, cu excepţia vehiculelor de teren simbol G,  conform Ordinului MLPTL 211/2003 cu modificările şi completările ulterioare, exceptând  vehiculele de transport rutier de mărfuri în contul terţilor sau contra cost, solicitate de întreprinderile care efectuează transport rutier de mărfuri în numele terţilor sau contra cost. În cazul în care întreprinderea beneficiară de ajutor de minimis, pe lângă activitatea eligibilă pentru care solicită ajutor în cadrul schemei de minimis, desfăşoară şi activităţi de transport de mărfuri în contul terţilor sau contra cost, nu poate utiliza ajutorul de minimis pentru achiziţionarea de mijloace de transport marfă, decât dacă se asigură, prin separarea activităţilor sau o districţie clară între costuri, că activitatea exclusă din domeniul de aplicare al schemei nu beneficiază de ajutoare de minimis; </w:t>
      </w:r>
    </w:p>
    <w:p w14:paraId="1B5C5928" w14:textId="77777777" w:rsidR="009346D5" w:rsidRPr="00E03986" w:rsidRDefault="009346D5" w:rsidP="009346D5">
      <w:pPr>
        <w:pStyle w:val="List"/>
        <w:numPr>
          <w:ilvl w:val="0"/>
          <w:numId w:val="9"/>
        </w:numPr>
        <w:tabs>
          <w:tab w:val="clear" w:pos="990"/>
          <w:tab w:val="num" w:pos="720"/>
          <w:tab w:val="left" w:pos="851"/>
          <w:tab w:val="num" w:pos="1080"/>
          <w:tab w:val="num" w:pos="1350"/>
        </w:tabs>
        <w:suppressAutoHyphens w:val="0"/>
        <w:spacing w:line="276" w:lineRule="auto"/>
        <w:ind w:left="720" w:firstLine="0"/>
        <w:rPr>
          <w:rFonts w:asciiTheme="minorHAnsi" w:hAnsiTheme="minorHAnsi" w:cstheme="minorHAnsi"/>
          <w:noProof/>
          <w:sz w:val="22"/>
          <w:szCs w:val="22"/>
        </w:rPr>
      </w:pPr>
      <w:r w:rsidRPr="00E03986">
        <w:rPr>
          <w:rFonts w:asciiTheme="minorHAnsi" w:hAnsiTheme="minorHAnsi" w:cstheme="minorHAnsi"/>
          <w:noProof/>
          <w:sz w:val="22"/>
          <w:szCs w:val="22"/>
        </w:rPr>
        <w:t>Investiţiile în active necorporale referitoare la brevete de invenție, mărci de produse si servicii (francize</w:t>
      </w:r>
      <w:r w:rsidRPr="00E03986">
        <w:rPr>
          <w:rStyle w:val="FootnoteReference"/>
          <w:rFonts w:asciiTheme="minorHAnsi" w:hAnsiTheme="minorHAnsi" w:cstheme="minorHAnsi"/>
          <w:noProof/>
          <w:sz w:val="22"/>
          <w:szCs w:val="22"/>
        </w:rPr>
        <w:footnoteReference w:id="1"/>
      </w:r>
      <w:r w:rsidRPr="00E03986">
        <w:rPr>
          <w:rFonts w:asciiTheme="minorHAnsi" w:hAnsiTheme="minorHAnsi" w:cstheme="minorHAnsi"/>
          <w:noProof/>
          <w:sz w:val="22"/>
          <w:szCs w:val="22"/>
        </w:rPr>
        <w:t xml:space="preserve">, etichetare ecologica, licente), </w:t>
      </w:r>
      <w:r w:rsidRPr="00E03986">
        <w:rPr>
          <w:rStyle w:val="def"/>
          <w:rFonts w:asciiTheme="minorHAnsi" w:hAnsiTheme="minorHAnsi" w:cstheme="minorHAnsi"/>
          <w:iCs/>
          <w:noProof/>
          <w:sz w:val="22"/>
          <w:szCs w:val="22"/>
        </w:rPr>
        <w:t>software-uri</w:t>
      </w:r>
      <w:r w:rsidRPr="00E03986">
        <w:rPr>
          <w:rStyle w:val="def"/>
          <w:rFonts w:asciiTheme="minorHAnsi" w:hAnsiTheme="minorHAnsi" w:cstheme="minorHAnsi"/>
          <w:noProof/>
          <w:sz w:val="22"/>
          <w:szCs w:val="22"/>
        </w:rPr>
        <w:t xml:space="preserve"> necesare</w:t>
      </w:r>
      <w:r w:rsidRPr="00E03986">
        <w:rPr>
          <w:rFonts w:asciiTheme="minorHAnsi" w:hAnsiTheme="minorHAnsi" w:cstheme="minorHAnsi"/>
          <w:bCs/>
          <w:noProof/>
          <w:sz w:val="22"/>
          <w:szCs w:val="22"/>
        </w:rPr>
        <w:t xml:space="preserve"> </w:t>
      </w:r>
      <w:r w:rsidRPr="00E03986">
        <w:rPr>
          <w:rFonts w:asciiTheme="minorHAnsi" w:hAnsiTheme="minorHAnsi" w:cstheme="minorHAnsi"/>
          <w:noProof/>
          <w:sz w:val="22"/>
          <w:szCs w:val="22"/>
        </w:rPr>
        <w:t>desfăşurării activităţii pentru care se solicită finanţare;</w:t>
      </w:r>
    </w:p>
    <w:p w14:paraId="40D502E3" w14:textId="77777777" w:rsidR="009346D5" w:rsidRPr="00E03986" w:rsidRDefault="009346D5" w:rsidP="004C2668">
      <w:pPr>
        <w:pStyle w:val="List"/>
        <w:numPr>
          <w:ilvl w:val="0"/>
          <w:numId w:val="9"/>
        </w:numPr>
        <w:tabs>
          <w:tab w:val="left" w:pos="720"/>
          <w:tab w:val="left" w:pos="990"/>
        </w:tabs>
        <w:suppressAutoHyphens w:val="0"/>
        <w:autoSpaceDN w:val="0"/>
        <w:adjustRightInd w:val="0"/>
        <w:spacing w:before="240" w:after="240" w:line="276" w:lineRule="auto"/>
        <w:ind w:left="720" w:firstLine="0"/>
        <w:contextualSpacing/>
        <w:rPr>
          <w:rFonts w:asciiTheme="minorHAnsi" w:hAnsiTheme="minorHAnsi" w:cstheme="minorHAnsi"/>
          <w:b/>
          <w:noProof/>
          <w:color w:val="FF0000"/>
          <w:sz w:val="22"/>
          <w:szCs w:val="22"/>
        </w:rPr>
      </w:pPr>
      <w:r w:rsidRPr="00E03986">
        <w:rPr>
          <w:rFonts w:asciiTheme="minorHAnsi" w:hAnsiTheme="minorHAnsi" w:cstheme="minorHAnsi"/>
          <w:noProof/>
          <w:sz w:val="22"/>
          <w:szCs w:val="22"/>
        </w:rPr>
        <w:t>Achiziţionarea de spaţii de lucru, spaţii de producţie</w:t>
      </w:r>
      <w:r w:rsidRPr="00E03986">
        <w:rPr>
          <w:rStyle w:val="FootnoteReference"/>
          <w:rFonts w:asciiTheme="minorHAnsi" w:hAnsiTheme="minorHAnsi" w:cstheme="minorHAnsi"/>
          <w:noProof/>
          <w:sz w:val="22"/>
          <w:szCs w:val="22"/>
        </w:rPr>
        <w:footnoteReference w:id="2"/>
      </w:r>
      <w:r w:rsidRPr="00E03986">
        <w:rPr>
          <w:rFonts w:asciiTheme="minorHAnsi" w:hAnsiTheme="minorHAnsi" w:cstheme="minorHAnsi"/>
          <w:noProof/>
          <w:sz w:val="22"/>
          <w:szCs w:val="22"/>
        </w:rPr>
        <w:t xml:space="preserve">., inclusiv din elemente prefabricate Activele din cadrul acestei categorii nu trebuie să aibă destinaţie locativă, trebuie să fie funcţionale la locul implementării proiectului, la momentul decontului; La momentul plății AFN, spaţiul trebuie să figureze ca punct de lucru şi cu codul CAEN accesat autorizat în respectiva locaţie; </w:t>
      </w:r>
    </w:p>
    <w:p w14:paraId="46DC9083" w14:textId="77777777" w:rsidR="009346D5" w:rsidRPr="00E03986" w:rsidRDefault="009346D5" w:rsidP="004C2668">
      <w:pPr>
        <w:pStyle w:val="List"/>
        <w:tabs>
          <w:tab w:val="left" w:pos="720"/>
        </w:tabs>
        <w:suppressAutoHyphens w:val="0"/>
        <w:autoSpaceDN w:val="0"/>
        <w:adjustRightInd w:val="0"/>
        <w:spacing w:before="240" w:line="276" w:lineRule="auto"/>
        <w:ind w:left="720"/>
        <w:contextualSpacing/>
        <w:rPr>
          <w:rFonts w:asciiTheme="minorHAnsi" w:hAnsiTheme="minorHAnsi" w:cstheme="minorHAnsi"/>
          <w:b/>
          <w:noProof/>
          <w:color w:val="FF0000"/>
          <w:sz w:val="22"/>
          <w:szCs w:val="22"/>
        </w:rPr>
      </w:pPr>
      <w:r w:rsidRPr="00E03986">
        <w:rPr>
          <w:rFonts w:asciiTheme="minorHAnsi" w:hAnsiTheme="minorHAnsi" w:cstheme="minorHAnsi"/>
          <w:b/>
          <w:noProof/>
          <w:sz w:val="22"/>
          <w:szCs w:val="22"/>
        </w:rPr>
        <w:t xml:space="preserve">f) </w:t>
      </w:r>
      <w:r w:rsidRPr="00E03986">
        <w:rPr>
          <w:rFonts w:asciiTheme="minorHAnsi" w:hAnsiTheme="minorHAnsi" w:cstheme="minorHAnsi"/>
          <w:noProof/>
          <w:sz w:val="22"/>
          <w:szCs w:val="22"/>
        </w:rPr>
        <w:t xml:space="preserve">Achiziţionarea de bunuri prevăzute la subgrupele 3.1 mobilier, 3.2 Aparatură birotică şi 3.3 sisteme de protecţie a valorilor umane şi materiale, conform </w:t>
      </w:r>
      <w:r w:rsidRPr="00E03986">
        <w:rPr>
          <w:rStyle w:val="Strong"/>
          <w:rFonts w:asciiTheme="minorHAnsi" w:hAnsiTheme="minorHAnsi" w:cstheme="minorHAnsi"/>
          <w:b w:val="0"/>
          <w:noProof/>
          <w:sz w:val="22"/>
          <w:szCs w:val="22"/>
        </w:rPr>
        <w:t xml:space="preserve">H.G. nr. 2139/2004 pentru aprobarea Catalogului privind clasificarea si duratele normale de functionare a mijloacelor fixe, </w:t>
      </w:r>
      <w:r w:rsidRPr="00E03986">
        <w:rPr>
          <w:rFonts w:asciiTheme="minorHAnsi" w:hAnsiTheme="minorHAnsi" w:cstheme="minorHAnsi"/>
          <w:noProof/>
          <w:sz w:val="22"/>
          <w:szCs w:val="22"/>
        </w:rPr>
        <w:t>cu completarile şi modificările ulterioare;</w:t>
      </w:r>
      <w:r w:rsidRPr="00E03986">
        <w:rPr>
          <w:rFonts w:asciiTheme="minorHAnsi" w:hAnsiTheme="minorHAnsi" w:cstheme="minorHAnsi"/>
          <w:noProof/>
          <w:color w:val="FF0000"/>
          <w:sz w:val="22"/>
          <w:szCs w:val="22"/>
        </w:rPr>
        <w:t xml:space="preserve"> </w:t>
      </w:r>
    </w:p>
    <w:p w14:paraId="16A0C776" w14:textId="77777777" w:rsidR="009346D5" w:rsidRPr="00E03986" w:rsidRDefault="009346D5" w:rsidP="009346D5">
      <w:pPr>
        <w:tabs>
          <w:tab w:val="left" w:pos="851"/>
          <w:tab w:val="left" w:pos="993"/>
        </w:tabs>
        <w:autoSpaceDE w:val="0"/>
        <w:ind w:left="720"/>
        <w:jc w:val="both"/>
        <w:rPr>
          <w:rFonts w:cstheme="minorHAnsi"/>
          <w:noProof/>
          <w:lang w:val="ro-RO"/>
        </w:rPr>
      </w:pPr>
      <w:r w:rsidRPr="00E03986">
        <w:rPr>
          <w:rFonts w:cstheme="minorHAnsi"/>
          <w:b/>
          <w:noProof/>
          <w:lang w:val="ro-RO"/>
        </w:rPr>
        <w:lastRenderedPageBreak/>
        <w:t xml:space="preserve">g) </w:t>
      </w:r>
      <w:r w:rsidRPr="00E03986">
        <w:rPr>
          <w:rFonts w:cstheme="minorHAnsi"/>
          <w:noProof/>
          <w:lang w:val="ro-RO"/>
        </w:rPr>
        <w:t>Realizarea unei pagini web</w:t>
      </w:r>
      <w:r w:rsidRPr="00E03986">
        <w:rPr>
          <w:rStyle w:val="FootnoteCharacters"/>
          <w:rFonts w:cstheme="minorHAnsi"/>
          <w:noProof/>
          <w:lang w:val="ro-RO"/>
        </w:rPr>
        <w:footnoteReference w:id="3"/>
      </w:r>
      <w:r w:rsidRPr="00E03986">
        <w:rPr>
          <w:rFonts w:cstheme="minorHAnsi"/>
          <w:noProof/>
          <w:lang w:val="ro-RO"/>
        </w:rPr>
        <w:t xml:space="preserve"> pentru prezentarea activităţii solicitantului şi a produselor sau serviciilor promovate </w:t>
      </w:r>
      <w:r w:rsidRPr="00E03986">
        <w:rPr>
          <w:rFonts w:cstheme="minorHAnsi"/>
          <w:bCs/>
          <w:noProof/>
          <w:lang w:val="ro-RO"/>
        </w:rPr>
        <w:t>(inclusiv cheltuieli înregistrare domeniu, fără hosting)</w:t>
      </w:r>
      <w:r w:rsidRPr="00E03986">
        <w:rPr>
          <w:rFonts w:cstheme="minorHAnsi"/>
          <w:noProof/>
          <w:lang w:val="ro-RO"/>
        </w:rPr>
        <w:t>, pentru operatorii economici care nu deţin altă pagină web şi care trebuie să fie funcţională la data depunerii cererii de eliberare a AFN și pe toată perioada de monitorizare;</w:t>
      </w:r>
    </w:p>
    <w:p w14:paraId="3110B37D" w14:textId="77777777" w:rsidR="009346D5" w:rsidRPr="00E03986" w:rsidRDefault="009346D5" w:rsidP="009346D5">
      <w:pPr>
        <w:pStyle w:val="CaracterCaracterCaracter"/>
        <w:spacing w:after="0" w:line="276" w:lineRule="auto"/>
        <w:ind w:left="720"/>
        <w:jc w:val="both"/>
        <w:rPr>
          <w:rFonts w:asciiTheme="minorHAnsi" w:hAnsiTheme="minorHAnsi" w:cstheme="minorHAnsi"/>
          <w:noProof/>
          <w:color w:val="FF0000"/>
          <w:sz w:val="22"/>
          <w:szCs w:val="22"/>
          <w:lang w:val="ro-RO"/>
        </w:rPr>
      </w:pPr>
      <w:r w:rsidRPr="00E03986">
        <w:rPr>
          <w:rFonts w:asciiTheme="minorHAnsi" w:hAnsiTheme="minorHAnsi" w:cstheme="minorHAnsi"/>
          <w:b/>
          <w:noProof/>
          <w:sz w:val="22"/>
          <w:szCs w:val="22"/>
          <w:lang w:val="ro-RO"/>
        </w:rPr>
        <w:t xml:space="preserve">h) </w:t>
      </w:r>
      <w:r w:rsidRPr="00E03986">
        <w:rPr>
          <w:rFonts w:asciiTheme="minorHAnsi" w:hAnsiTheme="minorHAnsi" w:cstheme="minorHAnsi"/>
          <w:noProof/>
          <w:sz w:val="22"/>
          <w:szCs w:val="22"/>
          <w:lang w:val="ro-RO"/>
        </w:rPr>
        <w:t>Achiziţionarea de instalaţii/echipamente specifice în scopul obţinerii unei economii de energie, precum şi sisteme care utilizează surse  regenerabile de energie</w:t>
      </w:r>
      <w:r w:rsidRPr="00E03986">
        <w:rPr>
          <w:rStyle w:val="FootnoteReference"/>
          <w:rFonts w:asciiTheme="minorHAnsi" w:hAnsiTheme="minorHAnsi" w:cstheme="minorHAnsi"/>
          <w:noProof/>
          <w:sz w:val="22"/>
          <w:szCs w:val="22"/>
          <w:lang w:val="ro-RO"/>
        </w:rPr>
        <w:footnoteReference w:id="4"/>
      </w:r>
      <w:r w:rsidRPr="00E03986">
        <w:rPr>
          <w:rFonts w:asciiTheme="minorHAnsi" w:hAnsiTheme="minorHAnsi" w:cstheme="minorHAnsi"/>
          <w:noProof/>
          <w:sz w:val="22"/>
          <w:szCs w:val="22"/>
          <w:lang w:val="ro-RO"/>
        </w:rPr>
        <w:t xml:space="preserve"> pentru eficientizarea activităţilor pentru care a solicitat finanţare;</w:t>
      </w:r>
      <w:r w:rsidRPr="00E03986">
        <w:rPr>
          <w:rFonts w:asciiTheme="minorHAnsi" w:hAnsiTheme="minorHAnsi" w:cstheme="minorHAnsi"/>
          <w:noProof/>
          <w:color w:val="FF0000"/>
          <w:sz w:val="22"/>
          <w:szCs w:val="22"/>
          <w:lang w:val="ro-RO"/>
        </w:rPr>
        <w:t xml:space="preserve"> </w:t>
      </w:r>
    </w:p>
    <w:p w14:paraId="68C29009" w14:textId="77777777" w:rsidR="009346D5" w:rsidRPr="00E03986" w:rsidRDefault="009346D5" w:rsidP="009346D5">
      <w:pPr>
        <w:tabs>
          <w:tab w:val="left" w:pos="720"/>
          <w:tab w:val="left" w:pos="851"/>
        </w:tabs>
        <w:ind w:left="720"/>
        <w:jc w:val="both"/>
        <w:rPr>
          <w:rFonts w:cstheme="minorHAnsi"/>
          <w:b/>
          <w:dstrike/>
          <w:noProof/>
          <w:shd w:val="clear" w:color="auto" w:fill="FFFF99"/>
          <w:lang w:val="ro-RO"/>
        </w:rPr>
      </w:pPr>
      <w:r w:rsidRPr="00E03986">
        <w:rPr>
          <w:rFonts w:cstheme="minorHAnsi"/>
          <w:b/>
          <w:noProof/>
          <w:lang w:val="ro-RO"/>
        </w:rPr>
        <w:t>i)</w:t>
      </w:r>
      <w:r w:rsidRPr="00E03986">
        <w:rPr>
          <w:rFonts w:cstheme="minorHAnsi"/>
          <w:noProof/>
          <w:lang w:val="ro-RO"/>
        </w:rPr>
        <w:t xml:space="preserve"> Achiziţionarea de instalaţii de încălzire sau climatizare aferente spaţiului de lucru sau producţie; </w:t>
      </w:r>
    </w:p>
    <w:p w14:paraId="0B1C8A01" w14:textId="77777777" w:rsidR="009346D5" w:rsidRPr="00E03986" w:rsidRDefault="009346D5" w:rsidP="009346D5">
      <w:pPr>
        <w:pStyle w:val="CaracterCaracterCaracter"/>
        <w:spacing w:after="0" w:line="276" w:lineRule="auto"/>
        <w:ind w:left="720"/>
        <w:jc w:val="both"/>
        <w:rPr>
          <w:rFonts w:asciiTheme="minorHAnsi" w:hAnsiTheme="minorHAnsi" w:cstheme="minorHAnsi"/>
          <w:noProof/>
          <w:sz w:val="22"/>
          <w:szCs w:val="22"/>
          <w:lang w:val="ro-RO"/>
        </w:rPr>
      </w:pPr>
      <w:r w:rsidRPr="00E03986">
        <w:rPr>
          <w:rFonts w:asciiTheme="minorHAnsi" w:hAnsiTheme="minorHAnsi" w:cstheme="minorHAnsi"/>
          <w:b/>
          <w:noProof/>
          <w:sz w:val="22"/>
          <w:szCs w:val="22"/>
          <w:lang w:val="ro-RO"/>
        </w:rPr>
        <w:t>j)</w:t>
      </w:r>
      <w:r w:rsidRPr="00E03986">
        <w:rPr>
          <w:rFonts w:asciiTheme="minorHAnsi" w:hAnsiTheme="minorHAnsi" w:cstheme="minorHAnsi"/>
          <w:noProof/>
          <w:sz w:val="22"/>
          <w:szCs w:val="22"/>
          <w:lang w:val="ro-RO"/>
        </w:rPr>
        <w:t xml:space="preserve"> Cursuri de dezvoltare a abilităţilor antreprenoriale – pentru asociatul / acționarul societăţii aplicante, curs organizat de către un organism autorizat recunoscut de educaţie antreprenorială în limita a maxim 4.500 lei. Furnizorii de servicii de instruire eligibili în cadrul Programului pot fi numai organizaţii furnizoare de instruire autorizate, care vor prezenta documente justificative privind calificarea persoanelor ce realizează instruirea în domeniul respectiv;  </w:t>
      </w:r>
    </w:p>
    <w:p w14:paraId="60E70EF2" w14:textId="77777777" w:rsidR="009346D5" w:rsidRPr="00E03986" w:rsidRDefault="009346D5" w:rsidP="009346D5">
      <w:pPr>
        <w:tabs>
          <w:tab w:val="left" w:pos="426"/>
          <w:tab w:val="left" w:pos="709"/>
          <w:tab w:val="left" w:pos="851"/>
        </w:tabs>
        <w:autoSpaceDE w:val="0"/>
        <w:ind w:left="720"/>
        <w:jc w:val="both"/>
        <w:rPr>
          <w:rFonts w:cstheme="minorHAnsi"/>
          <w:noProof/>
          <w:lang w:val="ro-RO"/>
        </w:rPr>
      </w:pPr>
      <w:r w:rsidRPr="00E03986">
        <w:rPr>
          <w:rFonts w:cstheme="minorHAnsi"/>
          <w:b/>
          <w:noProof/>
          <w:lang w:val="ro-RO"/>
        </w:rPr>
        <w:t>k)</w:t>
      </w:r>
      <w:r w:rsidRPr="00E03986">
        <w:rPr>
          <w:rFonts w:cstheme="minorHAnsi"/>
          <w:noProof/>
          <w:lang w:val="ro-RO"/>
        </w:rPr>
        <w:t xml:space="preserve"> Comisionul de garantare aferent anului acordării garanţiei, datorate instituțiilor financiare care emit garanții pentru credite, în cazul garanţiilor acordate pentru creditele contractate de beneficiari în vederea realizării planurilor de afaceri acceptate în cadrul Programului, pentru solicitanţii care utilizează credit pentru implementarea proiectului;</w:t>
      </w:r>
    </w:p>
    <w:p w14:paraId="4426E5FD" w14:textId="1B3511F2" w:rsidR="00E31CE3" w:rsidRPr="00E03986" w:rsidRDefault="009346D5" w:rsidP="009346D5">
      <w:pPr>
        <w:autoSpaceDE w:val="0"/>
        <w:ind w:left="720"/>
        <w:contextualSpacing/>
        <w:jc w:val="both"/>
        <w:rPr>
          <w:rFonts w:cstheme="minorHAnsi"/>
          <w:noProof/>
          <w:lang w:val="ro-RO"/>
        </w:rPr>
      </w:pPr>
      <w:r w:rsidRPr="00E03986">
        <w:rPr>
          <w:rFonts w:cstheme="minorHAnsi"/>
          <w:b/>
          <w:noProof/>
          <w:lang w:val="ro-RO"/>
        </w:rPr>
        <w:t>l)</w:t>
      </w:r>
      <w:r w:rsidRPr="00E03986">
        <w:rPr>
          <w:rFonts w:cstheme="minorHAnsi"/>
          <w:noProof/>
          <w:lang w:val="ro-RO"/>
        </w:rPr>
        <w:t xml:space="preserve"> </w:t>
      </w:r>
      <w:r w:rsidRPr="00E03986">
        <w:rPr>
          <w:rFonts w:cstheme="minorHAnsi"/>
          <w:noProof/>
          <w:color w:val="000000"/>
          <w:lang w:val="ro-RO"/>
        </w:rPr>
        <w:t xml:space="preserve">Consultanţă pentru întocmirea documentaţiei în vederea obţinerii finanţării în cadrul prezentului program şi implementarea proiectului (maxim 8000 lei fără TVA) . </w:t>
      </w:r>
    </w:p>
    <w:p w14:paraId="2351FC8B" w14:textId="77777777" w:rsidR="00E31CE3" w:rsidRPr="00E03986" w:rsidRDefault="00E31CE3" w:rsidP="00DA2B81">
      <w:pPr>
        <w:autoSpaceDE w:val="0"/>
        <w:ind w:left="720"/>
        <w:contextualSpacing/>
        <w:jc w:val="both"/>
        <w:rPr>
          <w:noProof/>
          <w:lang w:val="ro-RO"/>
        </w:rPr>
      </w:pPr>
    </w:p>
    <w:p w14:paraId="1B522DF9" w14:textId="77777777" w:rsidR="00570AD4" w:rsidRPr="00E03986" w:rsidRDefault="00E31CE3" w:rsidP="00570AD4">
      <w:pPr>
        <w:pStyle w:val="ListParagraph"/>
        <w:numPr>
          <w:ilvl w:val="0"/>
          <w:numId w:val="10"/>
        </w:num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Light" w:hAnsi="Calibri Light" w:cs="Calibri"/>
          <w:b/>
          <w:noProof/>
          <w:color w:val="0070C0"/>
          <w:lang w:val="ro-RO"/>
        </w:rPr>
      </w:pPr>
      <w:r w:rsidRPr="00E03986">
        <w:rPr>
          <w:rFonts w:ascii="Calibri Light" w:hAnsi="Calibri Light" w:cs="Calibri"/>
          <w:b/>
          <w:noProof/>
          <w:color w:val="0070C0"/>
          <w:lang w:val="ro-RO"/>
        </w:rPr>
        <w:t>DURATĂ</w:t>
      </w:r>
      <w:r w:rsidR="00570AD4" w:rsidRPr="00E03986">
        <w:rPr>
          <w:rFonts w:ascii="Calibri Light" w:hAnsi="Calibri Light" w:cs="Calibri"/>
          <w:b/>
          <w:noProof/>
          <w:color w:val="0070C0"/>
          <w:lang w:val="ro-RO"/>
        </w:rPr>
        <w:t xml:space="preserve"> PROIECT</w:t>
      </w:r>
    </w:p>
    <w:p w14:paraId="3ABA7C41" w14:textId="77777777" w:rsidR="00E31CE3" w:rsidRPr="00E03986" w:rsidRDefault="00E31CE3" w:rsidP="00E31CE3">
      <w:pPr>
        <w:pStyle w:val="Default"/>
        <w:spacing w:line="276" w:lineRule="auto"/>
        <w:ind w:left="720"/>
        <w:jc w:val="both"/>
        <w:rPr>
          <w:rFonts w:asciiTheme="minorHAnsi" w:hAnsiTheme="minorHAnsi"/>
          <w:b/>
          <w:bCs/>
          <w:noProof/>
          <w:sz w:val="22"/>
          <w:szCs w:val="22"/>
          <w:lang w:val="ro-RO"/>
        </w:rPr>
      </w:pPr>
    </w:p>
    <w:p w14:paraId="190DDDD3" w14:textId="77777777" w:rsidR="00FB088B" w:rsidRPr="00E03986" w:rsidRDefault="00FB088B" w:rsidP="00FB088B">
      <w:pPr>
        <w:pStyle w:val="Default"/>
        <w:numPr>
          <w:ilvl w:val="0"/>
          <w:numId w:val="11"/>
        </w:numPr>
        <w:spacing w:line="276" w:lineRule="auto"/>
        <w:jc w:val="both"/>
        <w:rPr>
          <w:rFonts w:asciiTheme="minorHAnsi" w:hAnsiTheme="minorHAnsi"/>
          <w:b/>
          <w:bCs/>
          <w:noProof/>
          <w:sz w:val="22"/>
          <w:szCs w:val="22"/>
          <w:lang w:val="ro-RO"/>
        </w:rPr>
      </w:pPr>
      <w:r w:rsidRPr="00E03986">
        <w:rPr>
          <w:rFonts w:asciiTheme="minorHAnsi" w:hAnsiTheme="minorHAnsi"/>
          <w:bCs/>
          <w:noProof/>
          <w:sz w:val="22"/>
          <w:szCs w:val="22"/>
          <w:lang w:val="ro-RO"/>
        </w:rPr>
        <w:t xml:space="preserve">În maxim 60 de zile lucrătoare de la semnarea contractului, dar nu mai târziu de  </w:t>
      </w:r>
      <w:r w:rsidR="00255DC2" w:rsidRPr="00E03986">
        <w:rPr>
          <w:rFonts w:asciiTheme="minorHAnsi" w:hAnsiTheme="minorHAnsi"/>
          <w:b/>
          <w:bCs/>
          <w:noProof/>
          <w:sz w:val="22"/>
          <w:szCs w:val="22"/>
          <w:lang w:val="ro-RO"/>
        </w:rPr>
        <w:t>15 iunie</w:t>
      </w:r>
      <w:r w:rsidRPr="00E03986">
        <w:rPr>
          <w:rFonts w:asciiTheme="minorHAnsi" w:hAnsiTheme="minorHAnsi"/>
          <w:b/>
          <w:bCs/>
          <w:noProof/>
          <w:sz w:val="22"/>
          <w:szCs w:val="22"/>
          <w:lang w:val="ro-RO"/>
        </w:rPr>
        <w:t xml:space="preserve"> 201</w:t>
      </w:r>
      <w:r w:rsidR="00AF389D" w:rsidRPr="00E03986">
        <w:rPr>
          <w:rFonts w:asciiTheme="minorHAnsi" w:hAnsiTheme="minorHAnsi"/>
          <w:b/>
          <w:bCs/>
          <w:noProof/>
          <w:sz w:val="22"/>
          <w:szCs w:val="22"/>
          <w:lang w:val="ro-RO"/>
        </w:rPr>
        <w:t>9</w:t>
      </w:r>
      <w:r w:rsidRPr="00E03986">
        <w:rPr>
          <w:rFonts w:asciiTheme="minorHAnsi" w:hAnsiTheme="minorHAnsi"/>
          <w:bCs/>
          <w:noProof/>
          <w:sz w:val="22"/>
          <w:szCs w:val="22"/>
          <w:lang w:val="ro-RO"/>
        </w:rPr>
        <w:t>, beneficiarul este obligat să efectueze cheltuielile şi să depună documentaţia de decont.</w:t>
      </w:r>
    </w:p>
    <w:p w14:paraId="4403B906" w14:textId="77777777" w:rsidR="00E31CE3" w:rsidRPr="00E03986" w:rsidRDefault="00E31CE3" w:rsidP="00E31CE3">
      <w:pPr>
        <w:pStyle w:val="Default"/>
        <w:spacing w:line="276" w:lineRule="auto"/>
        <w:ind w:left="720"/>
        <w:jc w:val="both"/>
        <w:rPr>
          <w:rFonts w:asciiTheme="minorHAnsi" w:hAnsiTheme="minorHAnsi"/>
          <w:b/>
          <w:bCs/>
          <w:noProof/>
          <w:sz w:val="22"/>
          <w:szCs w:val="22"/>
          <w:lang w:val="ro-RO"/>
        </w:rPr>
      </w:pPr>
    </w:p>
    <w:p w14:paraId="5DDDFF0F" w14:textId="77777777" w:rsidR="00255DC2" w:rsidRPr="00E03986" w:rsidRDefault="00255DC2" w:rsidP="00255DC2">
      <w:pPr>
        <w:pStyle w:val="Default"/>
        <w:spacing w:line="276" w:lineRule="auto"/>
        <w:ind w:left="720"/>
        <w:jc w:val="both"/>
        <w:rPr>
          <w:rFonts w:ascii="Calibri Light" w:hAnsi="Calibri Light"/>
          <w:b/>
          <w:bCs/>
          <w:noProof/>
          <w:sz w:val="22"/>
          <w:szCs w:val="22"/>
          <w:lang w:val="ro-RO"/>
        </w:rPr>
      </w:pPr>
    </w:p>
    <w:p w14:paraId="288EC129" w14:textId="77777777" w:rsidR="00FB088B" w:rsidRPr="00E03986" w:rsidRDefault="00FB088B" w:rsidP="00FB088B">
      <w:pPr>
        <w:pStyle w:val="ListParagraph"/>
        <w:numPr>
          <w:ilvl w:val="0"/>
          <w:numId w:val="10"/>
        </w:numPr>
        <w:pBdr>
          <w:top w:val="single" w:sz="4" w:space="2" w:color="auto"/>
          <w:left w:val="single" w:sz="4" w:space="4" w:color="auto"/>
          <w:bottom w:val="single" w:sz="4" w:space="1" w:color="auto"/>
          <w:right w:val="single" w:sz="4" w:space="4" w:color="auto"/>
        </w:pBdr>
        <w:autoSpaceDE w:val="0"/>
        <w:autoSpaceDN w:val="0"/>
        <w:adjustRightInd w:val="0"/>
        <w:spacing w:after="120" w:line="240" w:lineRule="auto"/>
        <w:jc w:val="both"/>
        <w:rPr>
          <w:rFonts w:ascii="Calibri Light" w:hAnsi="Calibri Light" w:cs="Calibri"/>
          <w:b/>
          <w:noProof/>
          <w:color w:val="0070C0"/>
          <w:lang w:val="ro-RO"/>
        </w:rPr>
      </w:pPr>
      <w:r w:rsidRPr="00E03986">
        <w:rPr>
          <w:rFonts w:ascii="Calibri Light" w:hAnsi="Calibri Light" w:cs="Calibri"/>
          <w:b/>
          <w:noProof/>
          <w:color w:val="0070C0"/>
          <w:lang w:val="ro-RO"/>
        </w:rPr>
        <w:t xml:space="preserve">GRILA DE EVALUARE </w:t>
      </w:r>
    </w:p>
    <w:p w14:paraId="07950C27" w14:textId="4CFFD057" w:rsidR="00E31CE3" w:rsidRPr="00E03986" w:rsidRDefault="00E31CE3" w:rsidP="00FB088B">
      <w:pPr>
        <w:spacing w:after="120"/>
        <w:jc w:val="both"/>
        <w:rPr>
          <w:rFonts w:ascii="Calibri Light" w:hAnsi="Calibri Light"/>
          <w:b/>
          <w:noProof/>
          <w:lang w:val="ro-RO"/>
        </w:rPr>
      </w:pPr>
    </w:p>
    <w:p w14:paraId="7BFFE7DD" w14:textId="77777777" w:rsidR="00FB088B" w:rsidRPr="00E03986" w:rsidRDefault="00FB088B" w:rsidP="00FB088B">
      <w:pPr>
        <w:spacing w:after="120"/>
        <w:jc w:val="both"/>
        <w:rPr>
          <w:b/>
          <w:noProof/>
          <w:lang w:val="ro-RO"/>
        </w:rPr>
      </w:pPr>
      <w:r w:rsidRPr="00E03986">
        <w:rPr>
          <w:b/>
          <w:noProof/>
          <w:lang w:val="ro-RO"/>
        </w:rPr>
        <w:t>La punctaje egale va prevala:</w:t>
      </w:r>
    </w:p>
    <w:p w14:paraId="59100DA4" w14:textId="77777777" w:rsidR="009C412C" w:rsidRPr="00E03986" w:rsidRDefault="009C412C" w:rsidP="009C412C">
      <w:pPr>
        <w:spacing w:after="0"/>
        <w:ind w:left="720"/>
        <w:rPr>
          <w:rFonts w:cstheme="minorHAnsi"/>
          <w:noProof/>
          <w:lang w:val="ro-RO"/>
        </w:rPr>
      </w:pPr>
      <w:r w:rsidRPr="00E03986">
        <w:rPr>
          <w:rFonts w:cstheme="minorHAnsi"/>
          <w:bCs/>
          <w:noProof/>
          <w:lang w:val="ro-RO"/>
        </w:rPr>
        <w:t>- numărul de locuri de muncă ce urmează a fi create conform planului de afaceri</w:t>
      </w:r>
      <w:r w:rsidRPr="00E03986">
        <w:rPr>
          <w:rFonts w:cstheme="minorHAnsi"/>
          <w:noProof/>
          <w:lang w:val="ro-RO"/>
        </w:rPr>
        <w:t>;</w:t>
      </w:r>
    </w:p>
    <w:p w14:paraId="57E829B6" w14:textId="77777777" w:rsidR="009C412C" w:rsidRPr="00E03986" w:rsidRDefault="009C412C" w:rsidP="009C412C">
      <w:pPr>
        <w:spacing w:after="0"/>
        <w:ind w:left="720"/>
        <w:rPr>
          <w:rFonts w:cstheme="minorHAnsi"/>
          <w:bCs/>
          <w:noProof/>
          <w:lang w:val="ro-RO"/>
        </w:rPr>
      </w:pPr>
      <w:r w:rsidRPr="00E03986">
        <w:rPr>
          <w:rFonts w:cstheme="minorHAnsi"/>
          <w:noProof/>
          <w:lang w:val="ro-RO"/>
        </w:rPr>
        <w:lastRenderedPageBreak/>
        <w:t xml:space="preserve"> - numărul </w:t>
      </w:r>
      <w:r w:rsidRPr="00E03986">
        <w:rPr>
          <w:rFonts w:cstheme="minorHAnsi"/>
          <w:bCs/>
          <w:noProof/>
          <w:lang w:val="ro-RO"/>
        </w:rPr>
        <w:t>de locuri de muncă ce urmează a fi create din rândul absolvenților după anul 2012/persoanelor defavorizate/șomerilor;</w:t>
      </w:r>
    </w:p>
    <w:p w14:paraId="009522DB" w14:textId="77777777" w:rsidR="009C412C" w:rsidRPr="00E03986" w:rsidRDefault="009C412C" w:rsidP="009C412C">
      <w:pPr>
        <w:spacing w:after="0"/>
        <w:ind w:left="720"/>
        <w:rPr>
          <w:rFonts w:cstheme="minorHAnsi"/>
          <w:bCs/>
          <w:noProof/>
          <w:lang w:val="ro-RO"/>
        </w:rPr>
      </w:pPr>
      <w:r w:rsidRPr="00E03986">
        <w:rPr>
          <w:rFonts w:cstheme="minorHAnsi"/>
          <w:bCs/>
          <w:noProof/>
          <w:lang w:val="ro-RO"/>
        </w:rPr>
        <w:t>- valoarea procentului aferent aportului propriu;</w:t>
      </w:r>
    </w:p>
    <w:p w14:paraId="7466E912" w14:textId="77777777" w:rsidR="009C412C" w:rsidRPr="00E03986" w:rsidRDefault="009C412C" w:rsidP="009C412C">
      <w:pPr>
        <w:spacing w:after="0"/>
        <w:ind w:left="720"/>
        <w:rPr>
          <w:rFonts w:cstheme="minorHAnsi"/>
          <w:bCs/>
          <w:noProof/>
          <w:lang w:val="ro-RO"/>
        </w:rPr>
      </w:pPr>
      <w:r w:rsidRPr="00E03986">
        <w:rPr>
          <w:rFonts w:cstheme="minorHAnsi"/>
          <w:bCs/>
          <w:noProof/>
          <w:lang w:val="ro-RO"/>
        </w:rPr>
        <w:t xml:space="preserve">- </w:t>
      </w:r>
      <w:r w:rsidRPr="00E03986">
        <w:rPr>
          <w:rFonts w:cstheme="minorHAnsi"/>
          <w:noProof/>
          <w:lang w:val="ro-RO"/>
        </w:rPr>
        <w:t>valoarea profitului din exploatare la 31.12.2017;</w:t>
      </w:r>
    </w:p>
    <w:p w14:paraId="2B085C9D" w14:textId="77777777" w:rsidR="009C412C" w:rsidRPr="00E03986" w:rsidRDefault="009C412C" w:rsidP="009C412C">
      <w:pPr>
        <w:spacing w:after="0"/>
        <w:ind w:left="720"/>
        <w:jc w:val="both"/>
        <w:rPr>
          <w:rFonts w:eastAsia="Arial Unicode MS" w:cstheme="minorHAnsi"/>
          <w:iCs/>
          <w:noProof/>
          <w:lang w:val="ro-RO"/>
        </w:rPr>
      </w:pPr>
      <w:r w:rsidRPr="00E03986">
        <w:rPr>
          <w:rFonts w:cstheme="minorHAnsi"/>
          <w:bCs/>
          <w:noProof/>
          <w:lang w:val="ro-RO"/>
        </w:rPr>
        <w:t>- Ponderea investițiilor în echipamentele prevăzute la pct 2.1, 2.2 și 2.3.6. din HG 2139/2004 și  software-uri necesare desfăşurării activităţii sau obiecte de inventar asimilate grupelor menționate;</w:t>
      </w:r>
    </w:p>
    <w:p w14:paraId="7AD5C8D3" w14:textId="77777777" w:rsidR="009C412C" w:rsidRPr="00E03986" w:rsidRDefault="009C412C" w:rsidP="009C412C">
      <w:pPr>
        <w:spacing w:after="0"/>
        <w:ind w:left="720"/>
        <w:jc w:val="both"/>
        <w:rPr>
          <w:rStyle w:val="NormalJustifiedChar"/>
          <w:rFonts w:asciiTheme="minorHAnsi" w:eastAsiaTheme="minorHAnsi" w:hAnsiTheme="minorHAnsi" w:cstheme="minorHAnsi"/>
          <w:noProof/>
          <w:sz w:val="22"/>
          <w:szCs w:val="22"/>
        </w:rPr>
      </w:pPr>
      <w:r w:rsidRPr="00E03986">
        <w:rPr>
          <w:rFonts w:cstheme="minorHAnsi"/>
          <w:bCs/>
          <w:noProof/>
          <w:lang w:val="ro-RO"/>
        </w:rPr>
        <w:t>- asociatul/acţionarul/ nu a mai avut/nu are calitatea de asociat/acţionar în altă societate înfiinţată în baza Legii 31/1990 cu completările şi modificările ulterioare,</w:t>
      </w:r>
      <w:r w:rsidRPr="00E03986">
        <w:rPr>
          <w:rStyle w:val="NormalJustifiedChar"/>
          <w:rFonts w:asciiTheme="minorHAnsi" w:eastAsiaTheme="minorHAnsi" w:hAnsiTheme="minorHAnsi" w:cstheme="minorHAnsi"/>
          <w:noProof/>
          <w:sz w:val="22"/>
          <w:szCs w:val="22"/>
        </w:rPr>
        <w:t xml:space="preserve"> sau în baza Ordonanţei de Urgenţă nr. 6/2011 pentru stimularea înfiinţării şi dezvoltării microîntreprinderilor de către întreprinzătorii debutanţi în afaceri cu modificările şi completările ulterioare;</w:t>
      </w:r>
    </w:p>
    <w:p w14:paraId="76864607" w14:textId="77777777" w:rsidR="009C412C" w:rsidRPr="00E03986" w:rsidRDefault="009C412C" w:rsidP="009C412C">
      <w:pPr>
        <w:spacing w:after="0"/>
        <w:ind w:left="720"/>
        <w:jc w:val="both"/>
        <w:rPr>
          <w:rFonts w:cstheme="minorHAnsi"/>
          <w:bCs/>
          <w:noProof/>
          <w:color w:val="000000"/>
          <w:lang w:val="ro-RO"/>
        </w:rPr>
      </w:pPr>
      <w:r w:rsidRPr="00E03986">
        <w:rPr>
          <w:rStyle w:val="NormalJustifiedChar"/>
          <w:rFonts w:asciiTheme="minorHAnsi" w:eastAsiaTheme="minorHAnsi" w:hAnsiTheme="minorHAnsi" w:cstheme="minorHAnsi"/>
          <w:noProof/>
          <w:sz w:val="22"/>
          <w:szCs w:val="22"/>
        </w:rPr>
        <w:t>- societatea/asociaţii/acţionarii nu a/au mai beneficiat de alocaţie financiară nerambursabilă</w:t>
      </w:r>
      <w:r w:rsidRPr="00E03986">
        <w:rPr>
          <w:rStyle w:val="NormalJustifiedChar"/>
          <w:rFonts w:asciiTheme="minorHAnsi" w:eastAsiaTheme="minorHAnsi" w:hAnsiTheme="minorHAnsi" w:cstheme="minorHAnsi"/>
          <w:noProof/>
          <w:color w:val="000000"/>
          <w:sz w:val="22"/>
          <w:szCs w:val="22"/>
        </w:rPr>
        <w:t xml:space="preserve"> în cadrul programelor naţionale pentru sprijinirea înfiinţării şi dezvoltării IMM în ultimii 3 ani;</w:t>
      </w:r>
    </w:p>
    <w:p w14:paraId="4F16860E" w14:textId="19D2C84D" w:rsidR="00FA1389" w:rsidRPr="00E03986" w:rsidRDefault="009C412C" w:rsidP="009C412C">
      <w:pPr>
        <w:spacing w:after="0"/>
        <w:ind w:left="720"/>
        <w:jc w:val="both"/>
        <w:rPr>
          <w:rFonts w:cstheme="minorHAnsi"/>
          <w:bCs/>
          <w:noProof/>
          <w:lang w:val="ro-RO"/>
        </w:rPr>
      </w:pPr>
      <w:r w:rsidRPr="00E03986">
        <w:rPr>
          <w:rFonts w:cstheme="minorHAnsi"/>
          <w:bCs/>
          <w:noProof/>
          <w:lang w:val="ro-RO"/>
        </w:rPr>
        <w:t>- data şi ora înscrierii în program</w:t>
      </w:r>
    </w:p>
    <w:p w14:paraId="465AF6C2" w14:textId="77777777" w:rsidR="00C06320" w:rsidRPr="00E03986" w:rsidRDefault="00C06320" w:rsidP="009C412C">
      <w:pPr>
        <w:spacing w:after="0"/>
        <w:ind w:left="720"/>
        <w:jc w:val="both"/>
        <w:rPr>
          <w:rFonts w:cstheme="minorHAnsi"/>
          <w:noProof/>
          <w:lang w:val="ro-RO"/>
        </w:rPr>
      </w:pPr>
    </w:p>
    <w:p w14:paraId="5C7206E5" w14:textId="5A4F348B" w:rsidR="00E31CE3" w:rsidRPr="00E03986" w:rsidRDefault="00FB088B" w:rsidP="009C412C">
      <w:pPr>
        <w:pStyle w:val="ListParagraph"/>
        <w:pBdr>
          <w:top w:val="single" w:sz="4" w:space="2" w:color="auto"/>
          <w:left w:val="single" w:sz="4" w:space="4" w:color="auto"/>
          <w:bottom w:val="single" w:sz="4" w:space="1" w:color="auto"/>
          <w:right w:val="single" w:sz="4" w:space="4" w:color="auto"/>
        </w:pBdr>
        <w:autoSpaceDE w:val="0"/>
        <w:autoSpaceDN w:val="0"/>
        <w:adjustRightInd w:val="0"/>
        <w:spacing w:after="120" w:line="240" w:lineRule="auto"/>
        <w:ind w:left="360"/>
        <w:jc w:val="both"/>
        <w:rPr>
          <w:rFonts w:ascii="Calibri Light" w:hAnsi="Calibri Light" w:cs="Calibri"/>
          <w:b/>
          <w:noProof/>
          <w:color w:val="0070C0"/>
          <w:lang w:val="ro-RO"/>
        </w:rPr>
      </w:pPr>
      <w:r w:rsidRPr="00E03986">
        <w:rPr>
          <w:rFonts w:ascii="Calibri Light" w:hAnsi="Calibri Light" w:cs="Calibri"/>
          <w:b/>
          <w:noProof/>
          <w:color w:val="0070C0"/>
          <w:lang w:val="ro-RO"/>
        </w:rPr>
        <w:t>VI. MENȚIUNI IMPORTANTE</w:t>
      </w:r>
    </w:p>
    <w:p w14:paraId="1D7F7162" w14:textId="77777777" w:rsidR="00FB088B" w:rsidRPr="00E03986" w:rsidRDefault="00FB088B" w:rsidP="00FB088B">
      <w:pPr>
        <w:numPr>
          <w:ilvl w:val="0"/>
          <w:numId w:val="13"/>
        </w:numPr>
        <w:spacing w:after="120"/>
        <w:jc w:val="both"/>
        <w:rPr>
          <w:noProof/>
          <w:lang w:val="ro-RO"/>
        </w:rPr>
      </w:pPr>
      <w:r w:rsidRPr="00E03986">
        <w:rPr>
          <w:noProof/>
          <w:lang w:val="ro-RO"/>
        </w:rPr>
        <w:t>Asociaţii sau acţionarii care deţin mai multe societăţi nu pot beneficia de AFN în cadrul prezentului program decât cu o singură societate.</w:t>
      </w:r>
    </w:p>
    <w:p w14:paraId="3D2D8F8C" w14:textId="77777777" w:rsidR="00FB088B" w:rsidRPr="00E03986" w:rsidRDefault="00FB088B" w:rsidP="00FB088B">
      <w:pPr>
        <w:numPr>
          <w:ilvl w:val="0"/>
          <w:numId w:val="13"/>
        </w:numPr>
        <w:spacing w:after="120"/>
        <w:jc w:val="both"/>
        <w:rPr>
          <w:noProof/>
          <w:lang w:val="ro-RO"/>
        </w:rPr>
      </w:pPr>
      <w:r w:rsidRPr="00E03986">
        <w:rPr>
          <w:noProof/>
          <w:lang w:val="ro-RO"/>
        </w:rPr>
        <w:t>Cheltuielile privind TVA, taxe, avize, comisioane (cu exceptia comisionului de garantare), ambalajul, transportul, punerea în funcţiune, instruirea personalului pentru utilizarea celor achiziţionate, nu sunt eligibile.</w:t>
      </w:r>
    </w:p>
    <w:p w14:paraId="17E8CAA0" w14:textId="51C3A9A0" w:rsidR="00FB088B" w:rsidRPr="00E03986" w:rsidRDefault="00FB088B" w:rsidP="009C412C">
      <w:pPr>
        <w:numPr>
          <w:ilvl w:val="0"/>
          <w:numId w:val="13"/>
        </w:numPr>
        <w:spacing w:after="120"/>
        <w:jc w:val="both"/>
        <w:rPr>
          <w:noProof/>
          <w:lang w:val="ro-RO"/>
        </w:rPr>
      </w:pPr>
      <w:r w:rsidRPr="00E03986">
        <w:rPr>
          <w:noProof/>
          <w:lang w:val="ro-RO"/>
        </w:rPr>
        <w:t>Beneficiarii sunt obligaţi să asigure în favoarea</w:t>
      </w:r>
      <w:r w:rsidR="009C412C" w:rsidRPr="00E03986">
        <w:rPr>
          <w:noProof/>
          <w:lang w:val="ro-RO"/>
        </w:rPr>
        <w:t xml:space="preserve"> AIMMAIPE</w:t>
      </w:r>
      <w:r w:rsidRPr="00E03986">
        <w:rPr>
          <w:noProof/>
          <w:lang w:val="ro-RO"/>
        </w:rPr>
        <w:t xml:space="preserve"> bunurile achiziţionate prin program împotriva tuturor riscurilor;</w:t>
      </w:r>
    </w:p>
    <w:p w14:paraId="58B20AA7" w14:textId="77777777" w:rsidR="00FB088B" w:rsidRPr="00E03986" w:rsidRDefault="00FB088B" w:rsidP="00FB088B">
      <w:pPr>
        <w:numPr>
          <w:ilvl w:val="0"/>
          <w:numId w:val="13"/>
        </w:numPr>
        <w:spacing w:after="120"/>
        <w:jc w:val="both"/>
        <w:rPr>
          <w:noProof/>
          <w:lang w:val="ro-RO"/>
        </w:rPr>
      </w:pPr>
      <w:r w:rsidRPr="00E03986">
        <w:rPr>
          <w:noProof/>
          <w:lang w:val="ro-RO"/>
        </w:rPr>
        <w:t>Pentru semnarea Contractelor de Finanţare, beneficiarii trebuie să prezinte dovezi certe privind capacitatea de cofinanţare a proiectului, respectiv prezentarea de: scrisoare de confort (angajantă) /extras de cont /contract /linie de credit.</w:t>
      </w:r>
    </w:p>
    <w:p w14:paraId="414FA127" w14:textId="77777777" w:rsidR="00FB088B" w:rsidRPr="00E03986" w:rsidRDefault="00FB088B" w:rsidP="00FB088B">
      <w:pPr>
        <w:numPr>
          <w:ilvl w:val="0"/>
          <w:numId w:val="13"/>
        </w:numPr>
        <w:spacing w:after="120"/>
        <w:jc w:val="both"/>
        <w:rPr>
          <w:noProof/>
          <w:lang w:val="ro-RO"/>
        </w:rPr>
      </w:pPr>
      <w:r w:rsidRPr="00E03986">
        <w:rPr>
          <w:noProof/>
          <w:lang w:val="ro-RO"/>
        </w:rPr>
        <w:t>Decontarea se face într-o singură tranşă pentru toate activităţile pentru care s-a făcut    dovada achitării integrale a acestora.</w:t>
      </w:r>
    </w:p>
    <w:p w14:paraId="71F1CC89" w14:textId="77777777" w:rsidR="00570AD4" w:rsidRPr="00E03986" w:rsidRDefault="00570AD4" w:rsidP="00846D8B">
      <w:pPr>
        <w:autoSpaceDE w:val="0"/>
        <w:autoSpaceDN w:val="0"/>
        <w:adjustRightInd w:val="0"/>
        <w:spacing w:after="0"/>
        <w:rPr>
          <w:noProof/>
          <w:lang w:val="ro-RO"/>
        </w:rPr>
      </w:pPr>
      <w:bookmarkStart w:id="1" w:name="_GoBack"/>
      <w:bookmarkEnd w:id="1"/>
    </w:p>
    <w:sectPr w:rsidR="00570AD4" w:rsidRPr="00E03986" w:rsidSect="00C41763">
      <w:headerReference w:type="default"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2BCD2" w14:textId="77777777" w:rsidR="00382724" w:rsidRDefault="00382724" w:rsidP="004E1210">
      <w:pPr>
        <w:spacing w:after="0" w:line="240" w:lineRule="auto"/>
      </w:pPr>
      <w:r>
        <w:separator/>
      </w:r>
    </w:p>
  </w:endnote>
  <w:endnote w:type="continuationSeparator" w:id="0">
    <w:p w14:paraId="6C0B2153" w14:textId="77777777" w:rsidR="00382724" w:rsidRDefault="00382724" w:rsidP="004E1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5332" w14:textId="23AA9C7E" w:rsidR="00846D8B" w:rsidRDefault="0008249D">
    <w:pPr>
      <w:pStyle w:val="Footer"/>
    </w:pPr>
    <w:r>
      <w:rPr>
        <w:noProof/>
      </w:rPr>
      <w:drawing>
        <wp:inline distT="0" distB="0" distL="0" distR="0" wp14:anchorId="1431E1A1" wp14:editId="5BCE8BA7">
          <wp:extent cx="6358270" cy="7541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5424" cy="75381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AC55D" w14:textId="77777777" w:rsidR="00382724" w:rsidRDefault="00382724" w:rsidP="004E1210">
      <w:pPr>
        <w:spacing w:after="0" w:line="240" w:lineRule="auto"/>
      </w:pPr>
      <w:r>
        <w:separator/>
      </w:r>
    </w:p>
  </w:footnote>
  <w:footnote w:type="continuationSeparator" w:id="0">
    <w:p w14:paraId="7E5E5783" w14:textId="77777777" w:rsidR="00382724" w:rsidRDefault="00382724" w:rsidP="004E1210">
      <w:pPr>
        <w:spacing w:after="0" w:line="240" w:lineRule="auto"/>
      </w:pPr>
      <w:r>
        <w:continuationSeparator/>
      </w:r>
    </w:p>
  </w:footnote>
  <w:footnote w:id="1">
    <w:p w14:paraId="181F7C30" w14:textId="77777777" w:rsidR="009346D5" w:rsidRPr="002039D4" w:rsidRDefault="009346D5" w:rsidP="009346D5">
      <w:pPr>
        <w:pStyle w:val="FootnoteText"/>
        <w:spacing w:after="0"/>
        <w:ind w:left="0" w:firstLine="0"/>
        <w:rPr>
          <w:sz w:val="16"/>
          <w:szCs w:val="16"/>
          <w:lang w:val="ro-RO"/>
        </w:rPr>
      </w:pPr>
      <w:r w:rsidRPr="002039D4">
        <w:rPr>
          <w:rStyle w:val="FootnoteReference"/>
          <w:szCs w:val="16"/>
        </w:rPr>
        <w:footnoteRef/>
      </w:r>
      <w:r w:rsidRPr="002039D4">
        <w:rPr>
          <w:sz w:val="16"/>
          <w:szCs w:val="16"/>
          <w:lang w:val="ro-RO"/>
        </w:rPr>
        <w:t xml:space="preserve"> </w:t>
      </w:r>
      <w:r w:rsidRPr="006F52F6">
        <w:rPr>
          <w:sz w:val="16"/>
          <w:szCs w:val="16"/>
          <w:lang w:val="ro-RO"/>
        </w:rPr>
        <w:t>se va prezenta dovada înregistrării mărcii francizate la organismul abilitat din România sau din ţara de origine, cu traducere autorizată în limba romană;</w:t>
      </w:r>
    </w:p>
  </w:footnote>
  <w:footnote w:id="2">
    <w:p w14:paraId="0AEC0DB0" w14:textId="77777777" w:rsidR="009346D5" w:rsidRPr="002039D4" w:rsidRDefault="009346D5" w:rsidP="004C2668">
      <w:pPr>
        <w:pStyle w:val="FootnoteText"/>
        <w:spacing w:after="0"/>
        <w:ind w:left="0" w:firstLine="0"/>
        <w:rPr>
          <w:sz w:val="16"/>
          <w:szCs w:val="16"/>
          <w:lang w:val="ro-RO"/>
        </w:rPr>
      </w:pPr>
      <w:r w:rsidRPr="002039D4">
        <w:rPr>
          <w:rStyle w:val="FootnoteReference"/>
          <w:szCs w:val="16"/>
        </w:rPr>
        <w:footnoteRef/>
      </w:r>
      <w:r w:rsidRPr="002039D4">
        <w:rPr>
          <w:sz w:val="16"/>
          <w:szCs w:val="16"/>
          <w:lang w:val="ro-RO"/>
        </w:rPr>
        <w:t xml:space="preserve"> Valoarea activului achiziţionat în cazul programului se va face pe baza unei evaluări al unui expert </w:t>
      </w:r>
      <w:r w:rsidRPr="002039D4">
        <w:rPr>
          <w:bCs/>
          <w:sz w:val="16"/>
          <w:szCs w:val="16"/>
          <w:lang w:val="ro-RO"/>
        </w:rPr>
        <w:t>evaluator ANEVAR cu excepţia spaţiilor din</w:t>
      </w:r>
      <w:r w:rsidRPr="002039D4">
        <w:rPr>
          <w:sz w:val="16"/>
          <w:szCs w:val="16"/>
          <w:lang w:val="ro-RO"/>
        </w:rPr>
        <w:t xml:space="preserve"> elemente prefabricate </w:t>
      </w:r>
    </w:p>
  </w:footnote>
  <w:footnote w:id="3">
    <w:p w14:paraId="1CD5E105" w14:textId="77777777" w:rsidR="009346D5" w:rsidRPr="00572540" w:rsidRDefault="009346D5" w:rsidP="009346D5">
      <w:pPr>
        <w:pStyle w:val="FootnoteText"/>
        <w:spacing w:after="0"/>
        <w:ind w:left="0" w:firstLine="0"/>
        <w:rPr>
          <w:sz w:val="16"/>
          <w:szCs w:val="16"/>
          <w:lang w:val="ro-RO"/>
        </w:rPr>
      </w:pPr>
      <w:r w:rsidRPr="002039D4">
        <w:rPr>
          <w:rStyle w:val="FootnoteCharacters"/>
        </w:rPr>
        <w:footnoteRef/>
      </w:r>
      <w:r w:rsidRPr="00572540">
        <w:rPr>
          <w:sz w:val="16"/>
          <w:szCs w:val="16"/>
          <w:lang w:val="ro-RO"/>
        </w:rPr>
        <w:t xml:space="preserve"> </w:t>
      </w:r>
      <w:r>
        <w:rPr>
          <w:sz w:val="16"/>
          <w:szCs w:val="16"/>
          <w:lang w:val="ro-RO"/>
        </w:rPr>
        <w:t>Pagina web</w:t>
      </w:r>
      <w:r w:rsidRPr="00572540">
        <w:rPr>
          <w:sz w:val="16"/>
          <w:szCs w:val="16"/>
          <w:lang w:val="ro-RO"/>
        </w:rPr>
        <w:t xml:space="preserve"> se realizează în limba română şi </w:t>
      </w:r>
      <w:r>
        <w:rPr>
          <w:sz w:val="16"/>
          <w:szCs w:val="16"/>
          <w:lang w:val="ro-RO"/>
        </w:rPr>
        <w:t>trebuie sa fie functională la data depunerii decontului</w:t>
      </w:r>
      <w:r w:rsidRPr="00572540">
        <w:rPr>
          <w:sz w:val="16"/>
          <w:szCs w:val="16"/>
          <w:lang w:val="ro-RO"/>
        </w:rPr>
        <w:t>.</w:t>
      </w:r>
    </w:p>
  </w:footnote>
  <w:footnote w:id="4">
    <w:p w14:paraId="54264C9D" w14:textId="77777777" w:rsidR="009346D5" w:rsidRPr="002039D4" w:rsidRDefault="009346D5" w:rsidP="009346D5">
      <w:pPr>
        <w:autoSpaceDE w:val="0"/>
        <w:autoSpaceDN w:val="0"/>
        <w:adjustRightInd w:val="0"/>
        <w:contextualSpacing/>
        <w:jc w:val="both"/>
        <w:rPr>
          <w:sz w:val="16"/>
          <w:szCs w:val="16"/>
        </w:rPr>
      </w:pPr>
      <w:r w:rsidRPr="002039D4">
        <w:rPr>
          <w:rStyle w:val="FootnoteReference"/>
          <w:rFonts w:ascii="Times New Roman" w:hAnsi="Times New Roman"/>
          <w:szCs w:val="16"/>
        </w:rPr>
        <w:footnoteRef/>
      </w:r>
      <w:r w:rsidRPr="002039D4">
        <w:rPr>
          <w:sz w:val="16"/>
          <w:szCs w:val="16"/>
        </w:rPr>
        <w:t xml:space="preserve"> Sursă regenerabilă de energie, conform definiţiei din Legea 220/2008 pentru stabilirea sistemului de promovare a producerii energiei din surse regenerabile, cu modificările şi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57068" w14:textId="32528704" w:rsidR="00846D8B" w:rsidRPr="0008249D" w:rsidRDefault="0008249D" w:rsidP="0008249D">
    <w:pPr>
      <w:pStyle w:val="Header"/>
    </w:pPr>
    <w:r>
      <w:rPr>
        <w:noProof/>
      </w:rPr>
      <w:drawing>
        <wp:inline distT="0" distB="0" distL="0" distR="0" wp14:anchorId="704FFAB8" wp14:editId="41B1E370">
          <wp:extent cx="6294474" cy="8005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3022" cy="8003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rPr>
    </w:lvl>
  </w:abstractNum>
  <w:abstractNum w:abstractNumId="1">
    <w:nsid w:val="00000004"/>
    <w:multiLevelType w:val="singleLevel"/>
    <w:tmpl w:val="ACC8E804"/>
    <w:name w:val="WW8Num4"/>
    <w:lvl w:ilvl="0">
      <w:start w:val="2"/>
      <w:numFmt w:val="lowerLetter"/>
      <w:lvlText w:val="%1)"/>
      <w:lvlJc w:val="left"/>
      <w:pPr>
        <w:tabs>
          <w:tab w:val="num" w:pos="644"/>
        </w:tabs>
        <w:ind w:left="644" w:hanging="360"/>
      </w:pPr>
      <w:rPr>
        <w:b w:val="0"/>
        <w:color w:val="auto"/>
      </w:rPr>
    </w:lvl>
  </w:abstractNum>
  <w:abstractNum w:abstractNumId="2">
    <w:nsid w:val="08DD3923"/>
    <w:multiLevelType w:val="hybridMultilevel"/>
    <w:tmpl w:val="2DE628F2"/>
    <w:lvl w:ilvl="0" w:tplc="59963F16">
      <w:start w:val="1"/>
      <w:numFmt w:val="lowerLetter"/>
      <w:lvlText w:val="%1)"/>
      <w:lvlJc w:val="left"/>
      <w:pPr>
        <w:tabs>
          <w:tab w:val="num" w:pos="990"/>
        </w:tabs>
        <w:ind w:left="990" w:hanging="360"/>
      </w:pPr>
      <w:rPr>
        <w:rFonts w:hint="default"/>
        <w:b/>
        <w:strike w:val="0"/>
        <w:color w:val="auto"/>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3">
    <w:nsid w:val="0D4E2608"/>
    <w:multiLevelType w:val="hybridMultilevel"/>
    <w:tmpl w:val="9028EE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C8554CD"/>
    <w:multiLevelType w:val="hybridMultilevel"/>
    <w:tmpl w:val="2DE40A7C"/>
    <w:lvl w:ilvl="0" w:tplc="266672B0">
      <w:start w:val="1"/>
      <w:numFmt w:val="bullet"/>
      <w:lvlText w:val="-"/>
      <w:lvlJc w:val="left"/>
      <w:pPr>
        <w:tabs>
          <w:tab w:val="num" w:pos="1260"/>
        </w:tabs>
        <w:ind w:left="1260" w:hanging="360"/>
      </w:pPr>
      <w:rPr>
        <w:rFonts w:ascii="Courier New" w:hAnsi="Courier New" w:hint="default"/>
      </w:rPr>
    </w:lvl>
    <w:lvl w:ilvl="1" w:tplc="266672B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223C17A6"/>
    <w:multiLevelType w:val="hybridMultilevel"/>
    <w:tmpl w:val="D610B66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EBF089D"/>
    <w:multiLevelType w:val="hybridMultilevel"/>
    <w:tmpl w:val="186EA95A"/>
    <w:lvl w:ilvl="0" w:tplc="647696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7156C6"/>
    <w:multiLevelType w:val="hybridMultilevel"/>
    <w:tmpl w:val="C18A7EE8"/>
    <w:lvl w:ilvl="0" w:tplc="17EE47AA">
      <w:start w:val="1"/>
      <w:numFmt w:val="lowerLetter"/>
      <w:pStyle w:val="NormalJustified"/>
      <w:lvlText w:val="%1)"/>
      <w:lvlJc w:val="left"/>
      <w:pPr>
        <w:tabs>
          <w:tab w:val="num" w:pos="900"/>
        </w:tabs>
        <w:ind w:left="900" w:hanging="360"/>
      </w:pPr>
      <w:rPr>
        <w:rFonts w:hint="default"/>
        <w:b/>
        <w:bCs w:val="0"/>
        <w:color w:val="auto"/>
        <w:sz w:val="22"/>
        <w:szCs w:val="22"/>
      </w:rPr>
    </w:lvl>
    <w:lvl w:ilvl="1" w:tplc="04090019">
      <w:start w:val="1"/>
      <w:numFmt w:val="lowerLetter"/>
      <w:lvlText w:val="%2."/>
      <w:lvlJc w:val="left"/>
      <w:pPr>
        <w:tabs>
          <w:tab w:val="num" w:pos="648"/>
        </w:tabs>
        <w:ind w:left="648" w:hanging="360"/>
      </w:pPr>
    </w:lvl>
    <w:lvl w:ilvl="2" w:tplc="0409001B">
      <w:start w:val="1"/>
      <w:numFmt w:val="lowerRoman"/>
      <w:lvlText w:val="%3."/>
      <w:lvlJc w:val="right"/>
      <w:pPr>
        <w:tabs>
          <w:tab w:val="num" w:pos="1368"/>
        </w:tabs>
        <w:ind w:left="1368" w:hanging="180"/>
      </w:pPr>
    </w:lvl>
    <w:lvl w:ilvl="3" w:tplc="0409000F">
      <w:start w:val="1"/>
      <w:numFmt w:val="decimal"/>
      <w:lvlText w:val="%4."/>
      <w:lvlJc w:val="left"/>
      <w:pPr>
        <w:tabs>
          <w:tab w:val="num" w:pos="2088"/>
        </w:tabs>
        <w:ind w:left="2088" w:hanging="360"/>
      </w:pPr>
    </w:lvl>
    <w:lvl w:ilvl="4" w:tplc="04090019">
      <w:start w:val="1"/>
      <w:numFmt w:val="lowerLetter"/>
      <w:lvlText w:val="%5."/>
      <w:lvlJc w:val="left"/>
      <w:pPr>
        <w:tabs>
          <w:tab w:val="num" w:pos="2808"/>
        </w:tabs>
        <w:ind w:left="2808" w:hanging="360"/>
      </w:pPr>
    </w:lvl>
    <w:lvl w:ilvl="5" w:tplc="0409001B" w:tentative="1">
      <w:start w:val="1"/>
      <w:numFmt w:val="lowerRoman"/>
      <w:lvlText w:val="%6."/>
      <w:lvlJc w:val="right"/>
      <w:pPr>
        <w:tabs>
          <w:tab w:val="num" w:pos="3528"/>
        </w:tabs>
        <w:ind w:left="3528" w:hanging="180"/>
      </w:pPr>
    </w:lvl>
    <w:lvl w:ilvl="6" w:tplc="0409000F" w:tentative="1">
      <w:start w:val="1"/>
      <w:numFmt w:val="decimal"/>
      <w:lvlText w:val="%7."/>
      <w:lvlJc w:val="left"/>
      <w:pPr>
        <w:tabs>
          <w:tab w:val="num" w:pos="4248"/>
        </w:tabs>
        <w:ind w:left="4248" w:hanging="360"/>
      </w:pPr>
    </w:lvl>
    <w:lvl w:ilvl="7" w:tplc="04090019" w:tentative="1">
      <w:start w:val="1"/>
      <w:numFmt w:val="lowerLetter"/>
      <w:lvlText w:val="%8."/>
      <w:lvlJc w:val="left"/>
      <w:pPr>
        <w:tabs>
          <w:tab w:val="num" w:pos="4968"/>
        </w:tabs>
        <w:ind w:left="4968" w:hanging="360"/>
      </w:pPr>
    </w:lvl>
    <w:lvl w:ilvl="8" w:tplc="0409001B" w:tentative="1">
      <w:start w:val="1"/>
      <w:numFmt w:val="lowerRoman"/>
      <w:lvlText w:val="%9."/>
      <w:lvlJc w:val="right"/>
      <w:pPr>
        <w:tabs>
          <w:tab w:val="num" w:pos="5688"/>
        </w:tabs>
        <w:ind w:left="5688" w:hanging="180"/>
      </w:pPr>
    </w:lvl>
  </w:abstractNum>
  <w:abstractNum w:abstractNumId="8">
    <w:nsid w:val="46F6053F"/>
    <w:multiLevelType w:val="hybridMultilevel"/>
    <w:tmpl w:val="A014A822"/>
    <w:lvl w:ilvl="0" w:tplc="AED83444">
      <w:start w:val="1"/>
      <w:numFmt w:val="lowerLetter"/>
      <w:lvlText w:val="%1)"/>
      <w:lvlJc w:val="left"/>
      <w:pPr>
        <w:ind w:left="49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D2F06"/>
    <w:multiLevelType w:val="hybridMultilevel"/>
    <w:tmpl w:val="E4E4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54F68"/>
    <w:multiLevelType w:val="hybridMultilevel"/>
    <w:tmpl w:val="382074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F97F0A"/>
    <w:multiLevelType w:val="hybridMultilevel"/>
    <w:tmpl w:val="CF28C9FC"/>
    <w:lvl w:ilvl="0" w:tplc="FB545366">
      <w:start w:val="1"/>
      <w:numFmt w:val="lowerLetter"/>
      <w:lvlText w:val="%1)"/>
      <w:lvlJc w:val="left"/>
      <w:pPr>
        <w:ind w:left="644" w:hanging="360"/>
      </w:pPr>
      <w:rPr>
        <w:rFonts w:hint="default"/>
        <w:color w:val="00000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5BB16AE4"/>
    <w:multiLevelType w:val="hybridMultilevel"/>
    <w:tmpl w:val="F9281ADE"/>
    <w:lvl w:ilvl="0" w:tplc="8298A5EA">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F277534"/>
    <w:multiLevelType w:val="hybridMultilevel"/>
    <w:tmpl w:val="66BCB662"/>
    <w:lvl w:ilvl="0" w:tplc="CD5E201E">
      <w:start w:val="1"/>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57C6E5F"/>
    <w:multiLevelType w:val="hybridMultilevel"/>
    <w:tmpl w:val="82C41FCE"/>
    <w:lvl w:ilvl="0" w:tplc="58BC89CC">
      <w:start w:val="1"/>
      <w:numFmt w:val="upperRoman"/>
      <w:lvlText w:val="%1."/>
      <w:lvlJc w:val="left"/>
      <w:pPr>
        <w:ind w:left="1080" w:hanging="720"/>
      </w:pPr>
      <w:rPr>
        <w:rFonts w:hint="default"/>
        <w:b/>
      </w:rPr>
    </w:lvl>
    <w:lvl w:ilvl="1" w:tplc="75D60E9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8"/>
  </w:num>
  <w:num w:numId="3">
    <w:abstractNumId w:val="13"/>
  </w:num>
  <w:num w:numId="4">
    <w:abstractNumId w:val="0"/>
  </w:num>
  <w:num w:numId="5">
    <w:abstractNumId w:val="1"/>
  </w:num>
  <w:num w:numId="6">
    <w:abstractNumId w:val="11"/>
  </w:num>
  <w:num w:numId="7">
    <w:abstractNumId w:val="7"/>
  </w:num>
  <w:num w:numId="8">
    <w:abstractNumId w:val="12"/>
  </w:num>
  <w:num w:numId="9">
    <w:abstractNumId w:val="2"/>
  </w:num>
  <w:num w:numId="10">
    <w:abstractNumId w:val="14"/>
  </w:num>
  <w:num w:numId="11">
    <w:abstractNumId w:val="10"/>
  </w:num>
  <w:num w:numId="12">
    <w:abstractNumId w:val="9"/>
  </w:num>
  <w:num w:numId="13">
    <w:abstractNumId w:val="3"/>
  </w:num>
  <w:num w:numId="14">
    <w:abstractNumId w:val="7"/>
    <w:lvlOverride w:ilvl="0">
      <w:startOverride w:val="1"/>
    </w:lvlOverride>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292B"/>
    <w:rsid w:val="00002DF5"/>
    <w:rsid w:val="00017A6D"/>
    <w:rsid w:val="000365A9"/>
    <w:rsid w:val="000561B6"/>
    <w:rsid w:val="0008249D"/>
    <w:rsid w:val="00082B97"/>
    <w:rsid w:val="00097B52"/>
    <w:rsid w:val="000C74E0"/>
    <w:rsid w:val="000F3137"/>
    <w:rsid w:val="000F722D"/>
    <w:rsid w:val="0017191C"/>
    <w:rsid w:val="001A55F8"/>
    <w:rsid w:val="001F17E6"/>
    <w:rsid w:val="00255DC2"/>
    <w:rsid w:val="002B18AE"/>
    <w:rsid w:val="002D2836"/>
    <w:rsid w:val="002E742B"/>
    <w:rsid w:val="003034C3"/>
    <w:rsid w:val="00332350"/>
    <w:rsid w:val="00382724"/>
    <w:rsid w:val="003848C0"/>
    <w:rsid w:val="0046370C"/>
    <w:rsid w:val="00470541"/>
    <w:rsid w:val="00495C55"/>
    <w:rsid w:val="004A632B"/>
    <w:rsid w:val="004C2668"/>
    <w:rsid w:val="004E1210"/>
    <w:rsid w:val="00570AD4"/>
    <w:rsid w:val="0057462E"/>
    <w:rsid w:val="00605127"/>
    <w:rsid w:val="006260BB"/>
    <w:rsid w:val="00662A3C"/>
    <w:rsid w:val="007028A2"/>
    <w:rsid w:val="00724D98"/>
    <w:rsid w:val="00753D4F"/>
    <w:rsid w:val="007761CD"/>
    <w:rsid w:val="007D25F9"/>
    <w:rsid w:val="008257E3"/>
    <w:rsid w:val="00846378"/>
    <w:rsid w:val="00846D8B"/>
    <w:rsid w:val="009068A5"/>
    <w:rsid w:val="0092292B"/>
    <w:rsid w:val="009346D5"/>
    <w:rsid w:val="009C412C"/>
    <w:rsid w:val="00A21EC7"/>
    <w:rsid w:val="00A65E01"/>
    <w:rsid w:val="00A73B3D"/>
    <w:rsid w:val="00A87AD8"/>
    <w:rsid w:val="00AF389D"/>
    <w:rsid w:val="00BA3E87"/>
    <w:rsid w:val="00BC4EBA"/>
    <w:rsid w:val="00BC5CD3"/>
    <w:rsid w:val="00BE6D01"/>
    <w:rsid w:val="00C06320"/>
    <w:rsid w:val="00C21823"/>
    <w:rsid w:val="00C41763"/>
    <w:rsid w:val="00CB6021"/>
    <w:rsid w:val="00D00FF3"/>
    <w:rsid w:val="00D05BF3"/>
    <w:rsid w:val="00D574E1"/>
    <w:rsid w:val="00D62F3B"/>
    <w:rsid w:val="00D93490"/>
    <w:rsid w:val="00DA2B81"/>
    <w:rsid w:val="00DD47C2"/>
    <w:rsid w:val="00E03986"/>
    <w:rsid w:val="00E15F8D"/>
    <w:rsid w:val="00E171C3"/>
    <w:rsid w:val="00E31CE3"/>
    <w:rsid w:val="00E73CC7"/>
    <w:rsid w:val="00E97583"/>
    <w:rsid w:val="00F4625D"/>
    <w:rsid w:val="00FA1389"/>
    <w:rsid w:val="00FB088B"/>
    <w:rsid w:val="00FD5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2B"/>
    <w:rPr>
      <w:lang w:val="en-US"/>
    </w:rPr>
  </w:style>
  <w:style w:type="paragraph" w:styleId="Heading8">
    <w:name w:val="heading 8"/>
    <w:basedOn w:val="Normal"/>
    <w:next w:val="Normal"/>
    <w:link w:val="Heading8Char"/>
    <w:qFormat/>
    <w:rsid w:val="00BE6D01"/>
    <w:pPr>
      <w:spacing w:before="240" w:after="60" w:line="240" w:lineRule="auto"/>
      <w:outlineLvl w:val="7"/>
    </w:pPr>
    <w:rPr>
      <w:rFonts w:ascii="Calibri" w:eastAsia="Times New Roman" w:hAnsi="Calibri" w:cs="Times New Roman"/>
      <w:i/>
      <w:i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292B"/>
    <w:rPr>
      <w:color w:val="0000FF"/>
      <w:u w:val="single"/>
    </w:rPr>
  </w:style>
  <w:style w:type="paragraph" w:styleId="BalloonText">
    <w:name w:val="Balloon Text"/>
    <w:basedOn w:val="Normal"/>
    <w:link w:val="BalloonTextChar"/>
    <w:uiPriority w:val="99"/>
    <w:semiHidden/>
    <w:unhideWhenUsed/>
    <w:rsid w:val="00922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92B"/>
    <w:rPr>
      <w:rFonts w:ascii="Tahoma" w:hAnsi="Tahoma" w:cs="Tahoma"/>
      <w:sz w:val="16"/>
      <w:szCs w:val="16"/>
      <w:lang w:val="en-US"/>
    </w:rPr>
  </w:style>
  <w:style w:type="character" w:customStyle="1" w:styleId="tpa1">
    <w:name w:val="tpa1"/>
    <w:basedOn w:val="DefaultParagraphFont"/>
    <w:rsid w:val="0092292B"/>
  </w:style>
  <w:style w:type="character" w:customStyle="1" w:styleId="WW-Absatz-Standardschriftart">
    <w:name w:val="WW-Absatz-Standardschriftart"/>
    <w:rsid w:val="0092292B"/>
  </w:style>
  <w:style w:type="paragraph" w:styleId="ListParagraph">
    <w:name w:val="List Paragraph"/>
    <w:basedOn w:val="Normal"/>
    <w:link w:val="ListParagraphChar"/>
    <w:uiPriority w:val="34"/>
    <w:qFormat/>
    <w:rsid w:val="002D2836"/>
    <w:pPr>
      <w:ind w:left="720"/>
      <w:contextualSpacing/>
    </w:pPr>
  </w:style>
  <w:style w:type="character" w:customStyle="1" w:styleId="WW-Absatz-Standardschriftart11">
    <w:name w:val="WW-Absatz-Standardschriftart11"/>
    <w:rsid w:val="00002DF5"/>
  </w:style>
  <w:style w:type="character" w:customStyle="1" w:styleId="def">
    <w:name w:val="def"/>
    <w:basedOn w:val="DefaultParagraphFont"/>
    <w:rsid w:val="0017191C"/>
  </w:style>
  <w:style w:type="character" w:customStyle="1" w:styleId="FootnoteCharacters">
    <w:name w:val="Footnote Characters"/>
    <w:rsid w:val="004E1210"/>
    <w:rPr>
      <w:vertAlign w:val="superscript"/>
    </w:rPr>
  </w:style>
  <w:style w:type="paragraph" w:styleId="NormalWeb">
    <w:name w:val="Normal (Web)"/>
    <w:basedOn w:val="Normal"/>
    <w:uiPriority w:val="99"/>
    <w:rsid w:val="00BE6D0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FootnoteReference">
    <w:name w:val="footnote reference"/>
    <w:aliases w:val="Footnote symbol"/>
    <w:semiHidden/>
    <w:rsid w:val="00BE6D01"/>
    <w:rPr>
      <w:rFonts w:ascii="TimesNewRomanPS" w:hAnsi="TimesNewRomanPS"/>
      <w:position w:val="6"/>
      <w:sz w:val="16"/>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
    <w:basedOn w:val="Normal"/>
    <w:link w:val="FootnoteTextChar1"/>
    <w:semiHidden/>
    <w:rsid w:val="00BE6D01"/>
    <w:pPr>
      <w:spacing w:after="240" w:line="240" w:lineRule="auto"/>
      <w:ind w:left="357" w:hanging="357"/>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uiPriority w:val="99"/>
    <w:semiHidden/>
    <w:rsid w:val="00BE6D01"/>
    <w:rPr>
      <w:sz w:val="20"/>
      <w:szCs w:val="20"/>
      <w:lang w:val="en-US"/>
    </w:rPr>
  </w:style>
  <w:style w:type="character" w:customStyle="1" w:styleId="tli1">
    <w:name w:val="tli1"/>
    <w:basedOn w:val="DefaultParagraphFont"/>
    <w:rsid w:val="00BE6D01"/>
  </w:style>
  <w:style w:type="paragraph" w:customStyle="1" w:styleId="NormalJustified">
    <w:name w:val="Normal + Justified"/>
    <w:basedOn w:val="Normal"/>
    <w:link w:val="NormalJustifiedChar"/>
    <w:rsid w:val="00BE6D01"/>
    <w:pPr>
      <w:numPr>
        <w:numId w:val="7"/>
      </w:numPr>
      <w:autoSpaceDE w:val="0"/>
      <w:autoSpaceDN w:val="0"/>
      <w:adjustRightInd w:val="0"/>
      <w:spacing w:after="0" w:line="240" w:lineRule="auto"/>
      <w:ind w:left="720" w:firstLine="0"/>
      <w:jc w:val="both"/>
    </w:pPr>
    <w:rPr>
      <w:rFonts w:ascii="Times New Roman" w:eastAsia="Times New Roman" w:hAnsi="Times New Roman" w:cs="Times New Roman"/>
      <w:sz w:val="24"/>
      <w:szCs w:val="24"/>
      <w:lang w:val="ro-RO" w:eastAsia="ro-RO"/>
    </w:rPr>
  </w:style>
  <w:style w:type="character" w:customStyle="1" w:styleId="NormalJustifiedChar">
    <w:name w:val="Normal + Justified Char"/>
    <w:link w:val="NormalJustified"/>
    <w:rsid w:val="00BE6D01"/>
    <w:rPr>
      <w:rFonts w:ascii="Times New Roman" w:eastAsia="Times New Roman" w:hAnsi="Times New Roman" w:cs="Times New Roman"/>
      <w:sz w:val="24"/>
      <w:szCs w:val="24"/>
      <w:lang w:val="ro-RO" w:eastAsia="ro-RO"/>
    </w:rPr>
  </w:style>
  <w:style w:type="character" w:customStyle="1" w:styleId="FootnoteTextChar1">
    <w:name w:val="Footnote Text Char1"/>
    <w:aliases w:val="Footnote Text Char Char Char,Fußnote Char1,single space Char,footnote text Char,FOOTNOTES Char,fn Char1,Podrozdział Char,Footnote Char,fn Char Char Char Char,fn Char Char Char1,fn Char Char1,Fußnote Char Char Char Char1"/>
    <w:link w:val="FootnoteText"/>
    <w:semiHidden/>
    <w:rsid w:val="00BE6D0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BE6D01"/>
    <w:rPr>
      <w:rFonts w:ascii="Calibri" w:eastAsia="Times New Roman" w:hAnsi="Calibri" w:cs="Times New Roman"/>
      <w:i/>
      <w:iCs/>
      <w:sz w:val="24"/>
      <w:szCs w:val="24"/>
      <w:lang w:val="ro-RO" w:eastAsia="ro-RO"/>
    </w:rPr>
  </w:style>
  <w:style w:type="character" w:styleId="Strong">
    <w:name w:val="Strong"/>
    <w:qFormat/>
    <w:rsid w:val="00097B52"/>
    <w:rPr>
      <w:b/>
      <w:bCs/>
    </w:rPr>
  </w:style>
  <w:style w:type="paragraph" w:styleId="List">
    <w:name w:val="List"/>
    <w:basedOn w:val="BodyText"/>
    <w:rsid w:val="00097B52"/>
    <w:pPr>
      <w:suppressAutoHyphens/>
      <w:autoSpaceDE w:val="0"/>
      <w:spacing w:after="0" w:line="240" w:lineRule="auto"/>
      <w:jc w:val="both"/>
    </w:pPr>
    <w:rPr>
      <w:rFonts w:ascii="Times New Roman" w:eastAsia="Times New Roman" w:hAnsi="Times New Roman" w:cs="Tahoma"/>
      <w:sz w:val="24"/>
      <w:szCs w:val="20"/>
      <w:lang w:val="ro-RO" w:eastAsia="ar-SA"/>
    </w:rPr>
  </w:style>
  <w:style w:type="paragraph" w:customStyle="1" w:styleId="CaracterCaracterCaracter">
    <w:name w:val="Caracter Caracter Caracter"/>
    <w:basedOn w:val="Normal"/>
    <w:rsid w:val="00097B52"/>
    <w:pPr>
      <w:spacing w:after="160" w:line="240" w:lineRule="exact"/>
    </w:pPr>
    <w:rPr>
      <w:rFonts w:ascii="Verdana" w:eastAsia="Times New Roman" w:hAnsi="Verdana" w:cs="Times New Roman"/>
      <w:sz w:val="20"/>
      <w:szCs w:val="20"/>
    </w:rPr>
  </w:style>
  <w:style w:type="paragraph" w:styleId="BodyText">
    <w:name w:val="Body Text"/>
    <w:basedOn w:val="Normal"/>
    <w:link w:val="BodyTextChar"/>
    <w:uiPriority w:val="99"/>
    <w:semiHidden/>
    <w:unhideWhenUsed/>
    <w:rsid w:val="00097B52"/>
    <w:pPr>
      <w:spacing w:after="120"/>
    </w:pPr>
  </w:style>
  <w:style w:type="character" w:customStyle="1" w:styleId="BodyTextChar">
    <w:name w:val="Body Text Char"/>
    <w:basedOn w:val="DefaultParagraphFont"/>
    <w:link w:val="BodyText"/>
    <w:uiPriority w:val="99"/>
    <w:semiHidden/>
    <w:rsid w:val="00097B52"/>
    <w:rPr>
      <w:lang w:val="en-US"/>
    </w:rPr>
  </w:style>
  <w:style w:type="character" w:customStyle="1" w:styleId="ListParagraphChar">
    <w:name w:val="List Paragraph Char"/>
    <w:link w:val="ListParagraph"/>
    <w:uiPriority w:val="34"/>
    <w:rsid w:val="00570AD4"/>
    <w:rPr>
      <w:lang w:val="en-US"/>
    </w:rPr>
  </w:style>
  <w:style w:type="paragraph" w:customStyle="1" w:styleId="Default">
    <w:name w:val="Default"/>
    <w:rsid w:val="00FB088B"/>
    <w:pPr>
      <w:autoSpaceDE w:val="0"/>
      <w:autoSpaceDN w:val="0"/>
      <w:adjustRightInd w:val="0"/>
      <w:spacing w:after="0" w:line="240" w:lineRule="auto"/>
    </w:pPr>
    <w:rPr>
      <w:rFonts w:ascii="Calibri" w:eastAsia="Calibri" w:hAnsi="Calibri" w:cs="Calibri"/>
      <w:color w:val="000000"/>
      <w:sz w:val="24"/>
      <w:szCs w:val="24"/>
      <w:lang w:val="en-US"/>
    </w:rPr>
  </w:style>
  <w:style w:type="paragraph" w:styleId="Header">
    <w:name w:val="header"/>
    <w:basedOn w:val="Normal"/>
    <w:link w:val="HeaderChar"/>
    <w:uiPriority w:val="99"/>
    <w:unhideWhenUsed/>
    <w:rsid w:val="00846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D8B"/>
    <w:rPr>
      <w:lang w:val="en-US"/>
    </w:rPr>
  </w:style>
  <w:style w:type="paragraph" w:styleId="Footer">
    <w:name w:val="footer"/>
    <w:basedOn w:val="Normal"/>
    <w:link w:val="FooterChar"/>
    <w:uiPriority w:val="99"/>
    <w:unhideWhenUsed/>
    <w:rsid w:val="00846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8B"/>
    <w:rPr>
      <w:lang w:val="en-US"/>
    </w:rPr>
  </w:style>
  <w:style w:type="character" w:customStyle="1" w:styleId="UnresolvedMention">
    <w:name w:val="Unresolved Mention"/>
    <w:basedOn w:val="DefaultParagraphFont"/>
    <w:uiPriority w:val="99"/>
    <w:semiHidden/>
    <w:unhideWhenUsed/>
    <w:rsid w:val="00D574E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58615">
      <w:bodyDiv w:val="1"/>
      <w:marLeft w:val="0"/>
      <w:marRight w:val="0"/>
      <w:marTop w:val="0"/>
      <w:marBottom w:val="0"/>
      <w:divBdr>
        <w:top w:val="none" w:sz="0" w:space="0" w:color="auto"/>
        <w:left w:val="none" w:sz="0" w:space="0" w:color="auto"/>
        <w:bottom w:val="none" w:sz="0" w:space="0" w:color="auto"/>
        <w:right w:val="none" w:sz="0" w:space="0" w:color="auto"/>
      </w:divBdr>
    </w:div>
    <w:div w:id="653872386">
      <w:bodyDiv w:val="1"/>
      <w:marLeft w:val="0"/>
      <w:marRight w:val="0"/>
      <w:marTop w:val="0"/>
      <w:marBottom w:val="0"/>
      <w:divBdr>
        <w:top w:val="none" w:sz="0" w:space="0" w:color="auto"/>
        <w:left w:val="none" w:sz="0" w:space="0" w:color="auto"/>
        <w:bottom w:val="none" w:sz="0" w:space="0" w:color="auto"/>
        <w:right w:val="none" w:sz="0" w:space="0" w:color="auto"/>
      </w:divBdr>
    </w:div>
    <w:div w:id="660234931">
      <w:bodyDiv w:val="1"/>
      <w:marLeft w:val="0"/>
      <w:marRight w:val="0"/>
      <w:marTop w:val="0"/>
      <w:marBottom w:val="0"/>
      <w:divBdr>
        <w:top w:val="none" w:sz="0" w:space="0" w:color="auto"/>
        <w:left w:val="none" w:sz="0" w:space="0" w:color="auto"/>
        <w:bottom w:val="none" w:sz="0" w:space="0" w:color="auto"/>
        <w:right w:val="none" w:sz="0" w:space="0" w:color="auto"/>
      </w:divBdr>
    </w:div>
    <w:div w:id="710764010">
      <w:bodyDiv w:val="1"/>
      <w:marLeft w:val="0"/>
      <w:marRight w:val="0"/>
      <w:marTop w:val="0"/>
      <w:marBottom w:val="0"/>
      <w:divBdr>
        <w:top w:val="none" w:sz="0" w:space="0" w:color="auto"/>
        <w:left w:val="none" w:sz="0" w:space="0" w:color="auto"/>
        <w:bottom w:val="none" w:sz="0" w:space="0" w:color="auto"/>
        <w:right w:val="none" w:sz="0" w:space="0" w:color="auto"/>
      </w:divBdr>
    </w:div>
    <w:div w:id="176418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2018-07-09T10:15:00Z</cp:lastPrinted>
  <dcterms:created xsi:type="dcterms:W3CDTF">2016-02-10T07:57:00Z</dcterms:created>
  <dcterms:modified xsi:type="dcterms:W3CDTF">2018-08-07T08:06:00Z</dcterms:modified>
</cp:coreProperties>
</file>