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5"/>
        <w:gridCol w:w="5305"/>
      </w:tblGrid>
      <w:tr w:rsidR="006633DD" w:rsidRPr="008044A8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3250B5" w:rsidRPr="008044A8" w:rsidRDefault="00D56ACC" w:rsidP="00D558C5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r w:rsidRPr="008044A8">
              <w:rPr>
                <w:rFonts w:ascii="Arial" w:hAnsi="Arial" w:cs="Arial"/>
                <w:sz w:val="20"/>
                <w:szCs w:val="20"/>
              </w:rPr>
              <w:t xml:space="preserve">Compania </w:t>
            </w:r>
          </w:p>
        </w:tc>
        <w:tc>
          <w:tcPr>
            <w:tcW w:w="5305" w:type="dxa"/>
            <w:vAlign w:val="center"/>
          </w:tcPr>
          <w:p w:rsidR="003250B5" w:rsidRPr="008044A8" w:rsidRDefault="00D56ACC" w:rsidP="001B5206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044A8">
              <w:rPr>
                <w:rFonts w:ascii="Arial" w:hAnsi="Arial" w:cs="Arial"/>
                <w:sz w:val="20"/>
                <w:szCs w:val="20"/>
              </w:rPr>
              <w:t xml:space="preserve">Companie spaniolă </w:t>
            </w:r>
            <w:r w:rsidR="001B5206" w:rsidRPr="008044A8">
              <w:rPr>
                <w:rFonts w:ascii="Arial" w:hAnsi="Arial" w:cs="Arial"/>
                <w:sz w:val="20"/>
                <w:szCs w:val="20"/>
              </w:rPr>
              <w:t>din sectorul distribuției de instalații și accesorii sanitare</w:t>
            </w:r>
          </w:p>
        </w:tc>
      </w:tr>
      <w:tr w:rsidR="006633DD" w:rsidRPr="008044A8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3250B5" w:rsidRPr="008044A8" w:rsidRDefault="003250B5" w:rsidP="00D558C5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8044A8">
              <w:rPr>
                <w:rFonts w:ascii="Arial" w:hAnsi="Arial" w:cs="Arial"/>
                <w:sz w:val="20"/>
                <w:szCs w:val="20"/>
              </w:rPr>
              <w:t>Produsul</w:t>
            </w:r>
            <w:r w:rsidR="00D56ACC" w:rsidRPr="008044A8">
              <w:rPr>
                <w:rFonts w:ascii="Arial" w:hAnsi="Arial" w:cs="Arial"/>
                <w:sz w:val="20"/>
                <w:szCs w:val="20"/>
              </w:rPr>
              <w:t xml:space="preserve"> solicitat</w:t>
            </w:r>
          </w:p>
        </w:tc>
        <w:tc>
          <w:tcPr>
            <w:tcW w:w="5305" w:type="dxa"/>
            <w:vAlign w:val="center"/>
          </w:tcPr>
          <w:p w:rsidR="0003646F" w:rsidRPr="008044A8" w:rsidRDefault="001B5206" w:rsidP="00E340A4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8044A8">
              <w:rPr>
                <w:rFonts w:ascii="Arial" w:hAnsi="Arial" w:cs="Arial"/>
                <w:sz w:val="20"/>
                <w:szCs w:val="20"/>
              </w:rPr>
              <w:t xml:space="preserve">Instalații și accesorii sanitare: robinete chiuvete/căzi, </w:t>
            </w:r>
            <w:r w:rsidR="00B37517" w:rsidRPr="008044A8">
              <w:rPr>
                <w:rFonts w:ascii="Arial" w:hAnsi="Arial" w:cs="Arial"/>
                <w:sz w:val="20"/>
                <w:szCs w:val="20"/>
              </w:rPr>
              <w:t xml:space="preserve">robinete pentru rezervoare WC, baterii </w:t>
            </w:r>
            <w:r w:rsidR="00E340A4" w:rsidRPr="008044A8">
              <w:rPr>
                <w:rFonts w:ascii="Arial" w:hAnsi="Arial" w:cs="Arial"/>
                <w:sz w:val="20"/>
                <w:szCs w:val="20"/>
              </w:rPr>
              <w:t>de</w:t>
            </w:r>
            <w:r w:rsidR="00B37517" w:rsidRPr="008044A8">
              <w:rPr>
                <w:rFonts w:ascii="Arial" w:hAnsi="Arial" w:cs="Arial"/>
                <w:sz w:val="20"/>
                <w:szCs w:val="20"/>
              </w:rPr>
              <w:t xml:space="preserve"> duș, coloane de duș, furtun</w:t>
            </w:r>
            <w:r w:rsidR="00E340A4" w:rsidRPr="008044A8">
              <w:rPr>
                <w:rFonts w:ascii="Arial" w:hAnsi="Arial" w:cs="Arial"/>
                <w:sz w:val="20"/>
                <w:szCs w:val="20"/>
              </w:rPr>
              <w:t>uri de</w:t>
            </w:r>
            <w:r w:rsidR="00B37517" w:rsidRPr="008044A8">
              <w:rPr>
                <w:rFonts w:ascii="Arial" w:hAnsi="Arial" w:cs="Arial"/>
                <w:sz w:val="20"/>
                <w:szCs w:val="20"/>
              </w:rPr>
              <w:t xml:space="preserve"> duș, </w:t>
            </w:r>
            <w:r w:rsidR="00E340A4" w:rsidRPr="008044A8">
              <w:rPr>
                <w:rFonts w:ascii="Arial" w:hAnsi="Arial" w:cs="Arial"/>
                <w:sz w:val="20"/>
                <w:szCs w:val="20"/>
              </w:rPr>
              <w:t>robinete</w:t>
            </w:r>
            <w:r w:rsidRPr="008044A8">
              <w:rPr>
                <w:rFonts w:ascii="Arial" w:hAnsi="Arial" w:cs="Arial"/>
                <w:sz w:val="20"/>
                <w:szCs w:val="20"/>
              </w:rPr>
              <w:t xml:space="preserve"> de grădină, supape, sifoane, mufe, manșoane filetate, </w:t>
            </w:r>
            <w:r w:rsidR="00B37517" w:rsidRPr="008044A8">
              <w:rPr>
                <w:rFonts w:ascii="Arial" w:hAnsi="Arial" w:cs="Arial"/>
                <w:sz w:val="20"/>
                <w:szCs w:val="20"/>
              </w:rPr>
              <w:t xml:space="preserve">benzi de teflon, </w:t>
            </w:r>
            <w:r w:rsidR="00E340A4" w:rsidRPr="008044A8">
              <w:rPr>
                <w:rFonts w:ascii="Arial" w:hAnsi="Arial" w:cs="Arial"/>
                <w:sz w:val="20"/>
                <w:szCs w:val="20"/>
              </w:rPr>
              <w:t>benzi de aluminiu,  suporturi din</w:t>
            </w:r>
            <w:r w:rsidR="00B37517" w:rsidRPr="008044A8">
              <w:rPr>
                <w:rFonts w:ascii="Arial" w:hAnsi="Arial" w:cs="Arial"/>
                <w:sz w:val="20"/>
                <w:szCs w:val="20"/>
              </w:rPr>
              <w:t xml:space="preserve"> inox, </w:t>
            </w:r>
            <w:r w:rsidR="00E340A4" w:rsidRPr="008044A8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B37517" w:rsidRPr="008044A8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B37517" w:rsidRPr="008044A8" w:rsidRDefault="00B37517" w:rsidP="00B3751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8044A8">
              <w:rPr>
                <w:rFonts w:ascii="Arial" w:hAnsi="Arial" w:cs="Arial"/>
                <w:bCs/>
                <w:sz w:val="20"/>
                <w:szCs w:val="20"/>
              </w:rPr>
              <w:t>Cantitate</w:t>
            </w:r>
          </w:p>
        </w:tc>
        <w:tc>
          <w:tcPr>
            <w:tcW w:w="5305" w:type="dxa"/>
            <w:vAlign w:val="center"/>
          </w:tcPr>
          <w:p w:rsidR="00B37517" w:rsidRPr="008044A8" w:rsidRDefault="00B37517" w:rsidP="00B3751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8044A8">
              <w:rPr>
                <w:rFonts w:ascii="Arial" w:hAnsi="Arial" w:cs="Arial"/>
                <w:sz w:val="20"/>
                <w:szCs w:val="20"/>
              </w:rPr>
              <w:t xml:space="preserve">Se va stabili de către părți </w:t>
            </w:r>
          </w:p>
        </w:tc>
      </w:tr>
      <w:tr w:rsidR="00B37517" w:rsidRPr="008044A8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B37517" w:rsidRPr="008044A8" w:rsidRDefault="00B37517" w:rsidP="00B37517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8044A8">
              <w:rPr>
                <w:rFonts w:ascii="Arial" w:hAnsi="Arial" w:cs="Arial"/>
                <w:bCs/>
                <w:sz w:val="20"/>
                <w:szCs w:val="20"/>
              </w:rPr>
              <w:t>Condiții tehnice specifice (certificări, standarde, etc.)</w:t>
            </w:r>
          </w:p>
        </w:tc>
        <w:tc>
          <w:tcPr>
            <w:tcW w:w="5305" w:type="dxa"/>
            <w:vAlign w:val="center"/>
          </w:tcPr>
          <w:p w:rsidR="00B37517" w:rsidRPr="008044A8" w:rsidRDefault="00B37517" w:rsidP="00B3751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8044A8">
              <w:rPr>
                <w:rFonts w:ascii="Arial" w:hAnsi="Arial" w:cs="Arial"/>
                <w:sz w:val="20"/>
                <w:szCs w:val="20"/>
              </w:rPr>
              <w:t xml:space="preserve">Se vor stabili de către părți </w:t>
            </w:r>
          </w:p>
        </w:tc>
      </w:tr>
      <w:tr w:rsidR="00B37517" w:rsidRPr="008044A8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B37517" w:rsidRPr="008044A8" w:rsidRDefault="00B37517" w:rsidP="00B37517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8044A8">
              <w:rPr>
                <w:rFonts w:ascii="Arial" w:hAnsi="Arial" w:cs="Arial"/>
                <w:bCs/>
                <w:sz w:val="20"/>
                <w:szCs w:val="20"/>
              </w:rPr>
              <w:t>Condiții contractuale specifice (legislație locala, etc).</w:t>
            </w:r>
          </w:p>
        </w:tc>
        <w:tc>
          <w:tcPr>
            <w:tcW w:w="5305" w:type="dxa"/>
            <w:vAlign w:val="center"/>
          </w:tcPr>
          <w:p w:rsidR="00B37517" w:rsidRPr="008044A8" w:rsidRDefault="00B37517" w:rsidP="00B3751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8044A8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B37517" w:rsidRPr="008044A8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B37517" w:rsidRPr="008044A8" w:rsidRDefault="00B37517" w:rsidP="00B37517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8044A8">
              <w:rPr>
                <w:rFonts w:ascii="Arial" w:hAnsi="Arial" w:cs="Arial"/>
                <w:bCs/>
                <w:sz w:val="20"/>
                <w:szCs w:val="20"/>
              </w:rPr>
              <w:t>Condiții de livrare/transport</w:t>
            </w:r>
          </w:p>
        </w:tc>
        <w:tc>
          <w:tcPr>
            <w:tcW w:w="5305" w:type="dxa"/>
            <w:vAlign w:val="center"/>
          </w:tcPr>
          <w:p w:rsidR="00B37517" w:rsidRPr="008044A8" w:rsidRDefault="00B37517" w:rsidP="00B3751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8044A8">
              <w:rPr>
                <w:rFonts w:ascii="Arial" w:hAnsi="Arial" w:cs="Arial"/>
                <w:sz w:val="20"/>
                <w:szCs w:val="20"/>
              </w:rPr>
              <w:t xml:space="preserve">Se vor stabili de către părți </w:t>
            </w:r>
          </w:p>
        </w:tc>
      </w:tr>
      <w:tr w:rsidR="00B37517" w:rsidRPr="008044A8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B37517" w:rsidRPr="008044A8" w:rsidRDefault="00B37517" w:rsidP="00B37517">
            <w:pPr>
              <w:spacing w:after="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8044A8">
              <w:rPr>
                <w:rFonts w:ascii="Arial" w:hAnsi="Arial" w:cs="Arial"/>
                <w:sz w:val="20"/>
                <w:szCs w:val="20"/>
              </w:rPr>
              <w:t>Condiții de plata</w:t>
            </w:r>
          </w:p>
        </w:tc>
        <w:tc>
          <w:tcPr>
            <w:tcW w:w="5305" w:type="dxa"/>
            <w:vAlign w:val="center"/>
          </w:tcPr>
          <w:p w:rsidR="00B37517" w:rsidRPr="008044A8" w:rsidRDefault="00B37517" w:rsidP="00B37517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8044A8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B37517" w:rsidRPr="008044A8" w:rsidTr="00F47B9D">
        <w:trPr>
          <w:cantSplit/>
          <w:trHeight w:val="18"/>
          <w:jc w:val="center"/>
        </w:trPr>
        <w:tc>
          <w:tcPr>
            <w:tcW w:w="9350" w:type="dxa"/>
            <w:gridSpan w:val="2"/>
            <w:vAlign w:val="center"/>
          </w:tcPr>
          <w:p w:rsidR="00B37517" w:rsidRPr="008044A8" w:rsidRDefault="00B37517" w:rsidP="00B37517">
            <w:pPr>
              <w:spacing w:after="0" w:line="3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44A8">
              <w:rPr>
                <w:rFonts w:ascii="Arial" w:hAnsi="Arial" w:cs="Arial"/>
                <w:b/>
                <w:sz w:val="20"/>
                <w:szCs w:val="20"/>
              </w:rPr>
              <w:t>Companiile românești care pot furniza produsul sus-menționat sunt rugate să ia legătura cu Biroul de Promovare Comercială și Economică din cadrul Ambasadei României la Madrid:</w:t>
            </w:r>
          </w:p>
          <w:p w:rsidR="00B37517" w:rsidRPr="008044A8" w:rsidRDefault="00B37517" w:rsidP="00B37517">
            <w:pPr>
              <w:pStyle w:val="ListParagraph"/>
              <w:numPr>
                <w:ilvl w:val="0"/>
                <w:numId w:val="3"/>
              </w:numPr>
              <w:spacing w:after="0" w:line="300" w:lineRule="atLeast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044A8">
              <w:rPr>
                <w:rFonts w:ascii="Arial" w:eastAsia="Times New Roman" w:hAnsi="Arial" w:cs="Arial"/>
                <w:sz w:val="20"/>
                <w:szCs w:val="20"/>
              </w:rPr>
              <w:t xml:space="preserve">Tel.: +34-91-345.45.53  </w:t>
            </w:r>
          </w:p>
          <w:p w:rsidR="00B37517" w:rsidRPr="008044A8" w:rsidRDefault="00B37517" w:rsidP="00B37517">
            <w:pPr>
              <w:pStyle w:val="ListParagraph"/>
              <w:numPr>
                <w:ilvl w:val="0"/>
                <w:numId w:val="3"/>
              </w:numPr>
              <w:spacing w:after="0" w:line="300" w:lineRule="atLeast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044A8">
              <w:rPr>
                <w:rFonts w:ascii="Arial" w:eastAsia="Times New Roman" w:hAnsi="Arial" w:cs="Arial"/>
                <w:sz w:val="20"/>
                <w:szCs w:val="20"/>
              </w:rPr>
              <w:t>Fax: +34.91-345.29.17</w:t>
            </w:r>
          </w:p>
          <w:p w:rsidR="00B37517" w:rsidRPr="008044A8" w:rsidRDefault="00B37517" w:rsidP="00B37517">
            <w:pPr>
              <w:pStyle w:val="ListParagraph"/>
              <w:numPr>
                <w:ilvl w:val="0"/>
                <w:numId w:val="3"/>
              </w:numPr>
              <w:spacing w:after="0" w:line="300" w:lineRule="atLeast"/>
              <w:contextualSpacing w:val="0"/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</w:pPr>
            <w:r w:rsidRPr="008044A8">
              <w:rPr>
                <w:rFonts w:ascii="Arial" w:eastAsia="Times New Roman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Pr="008044A8">
                <w:rPr>
                  <w:rStyle w:val="Hyperlink"/>
                  <w:rFonts w:ascii="Arial" w:hAnsi="Arial" w:cs="Arial"/>
                  <w:sz w:val="20"/>
                  <w:szCs w:val="20"/>
                </w:rPr>
                <w:t>madrid.economic@mae.ro</w:t>
              </w:r>
            </w:hyperlink>
            <w:r w:rsidRPr="008044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7517" w:rsidRPr="008044A8" w:rsidRDefault="00B37517" w:rsidP="00B37517">
            <w:pPr>
              <w:pStyle w:val="ListParagraph"/>
              <w:numPr>
                <w:ilvl w:val="0"/>
                <w:numId w:val="3"/>
              </w:numPr>
              <w:spacing w:after="0" w:line="30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44A8">
              <w:rPr>
                <w:rFonts w:ascii="Arial" w:eastAsia="Times New Roman" w:hAnsi="Arial" w:cs="Arial"/>
                <w:sz w:val="20"/>
                <w:szCs w:val="20"/>
              </w:rPr>
              <w:t xml:space="preserve">Adresa: 157 </w:t>
            </w:r>
            <w:proofErr w:type="spellStart"/>
            <w:r w:rsidRPr="008044A8">
              <w:rPr>
                <w:rFonts w:ascii="Arial" w:eastAsia="Times New Roman" w:hAnsi="Arial" w:cs="Arial"/>
                <w:sz w:val="20"/>
                <w:szCs w:val="20"/>
              </w:rPr>
              <w:t>Avda</w:t>
            </w:r>
            <w:proofErr w:type="spellEnd"/>
            <w:r w:rsidRPr="008044A8">
              <w:rPr>
                <w:rFonts w:ascii="Arial" w:eastAsia="Times New Roman" w:hAnsi="Arial" w:cs="Arial"/>
                <w:sz w:val="20"/>
                <w:szCs w:val="20"/>
              </w:rPr>
              <w:t>. de Alfonso XIII, 28016 Madrid, Spania</w:t>
            </w:r>
          </w:p>
        </w:tc>
      </w:tr>
      <w:bookmarkEnd w:id="0"/>
    </w:tbl>
    <w:p w:rsidR="003250B5" w:rsidRPr="0092554B" w:rsidRDefault="003250B5" w:rsidP="00D558C5">
      <w:pPr>
        <w:spacing w:after="0" w:line="300" w:lineRule="atLeast"/>
        <w:rPr>
          <w:rFonts w:ascii="Arial" w:hAnsi="Arial" w:cs="Arial"/>
          <w:sz w:val="20"/>
          <w:szCs w:val="20"/>
        </w:rPr>
      </w:pPr>
    </w:p>
    <w:sectPr w:rsidR="003250B5" w:rsidRPr="0092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D3672"/>
    <w:multiLevelType w:val="hybridMultilevel"/>
    <w:tmpl w:val="F09C5B90"/>
    <w:lvl w:ilvl="0" w:tplc="9092B3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92668"/>
    <w:multiLevelType w:val="hybridMultilevel"/>
    <w:tmpl w:val="1938F6D6"/>
    <w:lvl w:ilvl="0" w:tplc="23083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6026D"/>
    <w:multiLevelType w:val="multilevel"/>
    <w:tmpl w:val="5AA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F7"/>
    <w:rsid w:val="0003646F"/>
    <w:rsid w:val="00102F25"/>
    <w:rsid w:val="00124A68"/>
    <w:rsid w:val="001476B2"/>
    <w:rsid w:val="001B5206"/>
    <w:rsid w:val="001B7F39"/>
    <w:rsid w:val="00242B45"/>
    <w:rsid w:val="00290FD4"/>
    <w:rsid w:val="002D0EF7"/>
    <w:rsid w:val="003250B5"/>
    <w:rsid w:val="004173C6"/>
    <w:rsid w:val="004D243F"/>
    <w:rsid w:val="005209EF"/>
    <w:rsid w:val="005603A2"/>
    <w:rsid w:val="00580DEB"/>
    <w:rsid w:val="00593BD8"/>
    <w:rsid w:val="005959B8"/>
    <w:rsid w:val="005A54A1"/>
    <w:rsid w:val="005C192B"/>
    <w:rsid w:val="005F57B7"/>
    <w:rsid w:val="00610270"/>
    <w:rsid w:val="006633DD"/>
    <w:rsid w:val="006B2731"/>
    <w:rsid w:val="006E4829"/>
    <w:rsid w:val="00787ECC"/>
    <w:rsid w:val="00793635"/>
    <w:rsid w:val="007C5EA6"/>
    <w:rsid w:val="008044A8"/>
    <w:rsid w:val="008A68C5"/>
    <w:rsid w:val="008C21A1"/>
    <w:rsid w:val="008D3D5F"/>
    <w:rsid w:val="0092554B"/>
    <w:rsid w:val="00967C61"/>
    <w:rsid w:val="00A250F4"/>
    <w:rsid w:val="00A50F11"/>
    <w:rsid w:val="00A93C3F"/>
    <w:rsid w:val="00AB0DFC"/>
    <w:rsid w:val="00AC09BC"/>
    <w:rsid w:val="00AF7477"/>
    <w:rsid w:val="00B37517"/>
    <w:rsid w:val="00B4577B"/>
    <w:rsid w:val="00B81C48"/>
    <w:rsid w:val="00B85D1C"/>
    <w:rsid w:val="00BC57D0"/>
    <w:rsid w:val="00C10EB7"/>
    <w:rsid w:val="00C16236"/>
    <w:rsid w:val="00D558C5"/>
    <w:rsid w:val="00D559C3"/>
    <w:rsid w:val="00D56ACC"/>
    <w:rsid w:val="00DC123C"/>
    <w:rsid w:val="00DC763E"/>
    <w:rsid w:val="00E340A4"/>
    <w:rsid w:val="00ED0BED"/>
    <w:rsid w:val="00EF64C4"/>
    <w:rsid w:val="00F95C9C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7CC5F-085E-4086-BE5D-06F87F4F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0E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7F39"/>
    <w:rPr>
      <w:b/>
      <w:bCs/>
      <w:color w:val="2A2A2A"/>
    </w:rPr>
  </w:style>
  <w:style w:type="character" w:customStyle="1" w:styleId="value">
    <w:name w:val="value"/>
    <w:basedOn w:val="DefaultParagraphFont"/>
    <w:rsid w:val="006633DD"/>
  </w:style>
  <w:style w:type="paragraph" w:styleId="ListParagraph">
    <w:name w:val="List Paragraph"/>
    <w:basedOn w:val="Normal"/>
    <w:uiPriority w:val="34"/>
    <w:qFormat/>
    <w:rsid w:val="007C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rid.economic@ma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2015-01-26T10:23:00Z</dcterms:created>
  <dcterms:modified xsi:type="dcterms:W3CDTF">2018-08-07T12:54:00Z</dcterms:modified>
</cp:coreProperties>
</file>