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FD" w:rsidRPr="00213755" w:rsidRDefault="00083C46" w:rsidP="00B72F1A">
      <w:pPr>
        <w:jc w:val="center"/>
        <w:rPr>
          <w:b/>
          <w:sz w:val="24"/>
          <w:szCs w:val="24"/>
        </w:rPr>
      </w:pPr>
      <w:r>
        <w:rPr>
          <w:b/>
          <w:sz w:val="24"/>
          <w:szCs w:val="24"/>
        </w:rPr>
        <w:t>Notă informativă</w:t>
      </w:r>
    </w:p>
    <w:p w:rsidR="00AB67C8" w:rsidRDefault="00083C46" w:rsidP="00AB67C8">
      <w:pPr>
        <w:spacing w:after="0"/>
        <w:jc w:val="center"/>
        <w:rPr>
          <w:b/>
          <w:sz w:val="24"/>
          <w:szCs w:val="24"/>
        </w:rPr>
      </w:pPr>
      <w:r>
        <w:rPr>
          <w:b/>
          <w:sz w:val="24"/>
          <w:szCs w:val="24"/>
        </w:rPr>
        <w:t>Inițierea consul</w:t>
      </w:r>
      <w:r w:rsidR="00AB67C8">
        <w:rPr>
          <w:b/>
          <w:sz w:val="24"/>
          <w:szCs w:val="24"/>
        </w:rPr>
        <w:t xml:space="preserve">tărilor parteneriale </w:t>
      </w:r>
    </w:p>
    <w:p w:rsidR="00B72F1A" w:rsidRPr="00213755" w:rsidRDefault="00AB67C8" w:rsidP="00AB67C8">
      <w:pPr>
        <w:spacing w:after="0"/>
        <w:jc w:val="center"/>
        <w:rPr>
          <w:b/>
          <w:sz w:val="24"/>
          <w:szCs w:val="24"/>
        </w:rPr>
      </w:pPr>
      <w:r>
        <w:rPr>
          <w:b/>
          <w:sz w:val="24"/>
          <w:szCs w:val="24"/>
        </w:rPr>
        <w:t>pentru elaborarea documentelor de programare 2021-2027</w:t>
      </w:r>
      <w:bookmarkStart w:id="0" w:name="_GoBack"/>
      <w:bookmarkEnd w:id="0"/>
    </w:p>
    <w:p w:rsidR="0060790E" w:rsidRPr="00213755" w:rsidRDefault="0060790E" w:rsidP="00213755">
      <w:pPr>
        <w:contextualSpacing/>
        <w:jc w:val="both"/>
        <w:rPr>
          <w:rFonts w:cstheme="minorHAnsi"/>
          <w:bCs/>
          <w:iCs/>
          <w:sz w:val="24"/>
          <w:szCs w:val="24"/>
        </w:rPr>
      </w:pPr>
    </w:p>
    <w:p w:rsidR="0060790E" w:rsidRPr="00213755" w:rsidRDefault="00213755" w:rsidP="00213755">
      <w:pPr>
        <w:pStyle w:val="ListParagraph"/>
        <w:numPr>
          <w:ilvl w:val="0"/>
          <w:numId w:val="6"/>
        </w:numPr>
        <w:shd w:val="clear" w:color="auto" w:fill="C6D9F1" w:themeFill="text2" w:themeFillTint="33"/>
        <w:jc w:val="both"/>
        <w:rPr>
          <w:b/>
          <w:sz w:val="24"/>
          <w:szCs w:val="24"/>
        </w:rPr>
      </w:pPr>
      <w:r w:rsidRPr="00213755">
        <w:rPr>
          <w:b/>
          <w:sz w:val="24"/>
          <w:szCs w:val="24"/>
        </w:rPr>
        <w:t>Politica de Coeziune în contextul Semestrului European</w:t>
      </w:r>
    </w:p>
    <w:p w:rsidR="00AC4A20" w:rsidRDefault="00213755" w:rsidP="00213755">
      <w:pPr>
        <w:numPr>
          <w:ilvl w:val="0"/>
          <w:numId w:val="1"/>
        </w:numPr>
        <w:tabs>
          <w:tab w:val="left" w:pos="5103"/>
        </w:tabs>
        <w:spacing w:before="120" w:after="120" w:line="240" w:lineRule="auto"/>
        <w:jc w:val="both"/>
        <w:rPr>
          <w:rFonts w:eastAsia="Calibri" w:cs="Tahoma"/>
          <w:bCs/>
          <w:color w:val="000000"/>
          <w:sz w:val="24"/>
          <w:szCs w:val="24"/>
          <w:lang w:eastAsia="ro-RO"/>
        </w:rPr>
      </w:pPr>
      <w:r w:rsidRPr="00213755">
        <w:rPr>
          <w:rFonts w:eastAsia="Calibri" w:cs="Tahoma"/>
          <w:bCs/>
          <w:color w:val="000000"/>
          <w:sz w:val="24"/>
          <w:szCs w:val="24"/>
          <w:lang w:eastAsia="ro-RO"/>
        </w:rPr>
        <w:t>În cadrul Semestrului European, Raportul de țară 2019 pentru România, publicat de CE la data</w:t>
      </w:r>
      <w:r w:rsidR="00AC4A20">
        <w:rPr>
          <w:rFonts w:eastAsia="Calibri" w:cs="Tahoma"/>
          <w:bCs/>
          <w:color w:val="000000"/>
          <w:sz w:val="24"/>
          <w:szCs w:val="24"/>
          <w:lang w:eastAsia="ro-RO"/>
        </w:rPr>
        <w:t xml:space="preserve"> de 27 februarie 2019, include </w:t>
      </w:r>
      <w:r w:rsidR="00AC4A20" w:rsidRPr="00273438">
        <w:rPr>
          <w:rFonts w:eastAsia="Calibri" w:cs="Tahoma"/>
          <w:b/>
          <w:bCs/>
          <w:color w:val="000000"/>
          <w:sz w:val="24"/>
          <w:szCs w:val="24"/>
          <w:lang w:eastAsia="ro-RO"/>
        </w:rPr>
        <w:t>Anexa</w:t>
      </w:r>
      <w:r w:rsidRPr="00273438">
        <w:rPr>
          <w:rFonts w:eastAsia="Calibri" w:cs="Tahoma"/>
          <w:b/>
          <w:bCs/>
          <w:color w:val="000000"/>
          <w:sz w:val="24"/>
          <w:szCs w:val="24"/>
          <w:lang w:eastAsia="ro-RO"/>
        </w:rPr>
        <w:t xml:space="preserve"> D - Ghid de investiții privind finanțarea politicii de coeziune 2021-2027</w:t>
      </w:r>
      <w:r w:rsidRPr="00213755">
        <w:rPr>
          <w:rFonts w:eastAsia="Calibri" w:cs="Tahoma"/>
          <w:bCs/>
          <w:color w:val="000000"/>
          <w:sz w:val="24"/>
          <w:szCs w:val="24"/>
          <w:lang w:eastAsia="ro-RO"/>
        </w:rPr>
        <w:t xml:space="preserve">. </w:t>
      </w:r>
    </w:p>
    <w:p w:rsidR="00AC4A20" w:rsidRDefault="005D43F3" w:rsidP="00213755">
      <w:pPr>
        <w:numPr>
          <w:ilvl w:val="0"/>
          <w:numId w:val="1"/>
        </w:numPr>
        <w:tabs>
          <w:tab w:val="left" w:pos="5103"/>
        </w:tabs>
        <w:spacing w:before="120" w:after="120" w:line="240" w:lineRule="auto"/>
        <w:jc w:val="both"/>
        <w:rPr>
          <w:rFonts w:eastAsia="Calibri" w:cs="Tahoma"/>
          <w:bCs/>
          <w:color w:val="000000"/>
          <w:sz w:val="24"/>
          <w:szCs w:val="24"/>
          <w:lang w:eastAsia="ro-RO"/>
        </w:rPr>
      </w:pPr>
      <w:r>
        <w:rPr>
          <w:rFonts w:eastAsia="Calibri" w:cs="Tahoma"/>
          <w:bCs/>
          <w:color w:val="000000"/>
          <w:sz w:val="24"/>
          <w:szCs w:val="24"/>
          <w:lang w:eastAsia="ro-RO"/>
        </w:rPr>
        <w:t xml:space="preserve">Anterior publicării, </w:t>
      </w:r>
      <w:r w:rsidR="00AC4A20">
        <w:rPr>
          <w:rFonts w:eastAsia="Calibri" w:cs="Tahoma"/>
          <w:bCs/>
          <w:color w:val="000000"/>
          <w:sz w:val="24"/>
          <w:szCs w:val="24"/>
          <w:lang w:eastAsia="ro-RO"/>
        </w:rPr>
        <w:t>MFE a comunicat Comisiei, prin intermediul MAE</w:t>
      </w:r>
      <w:r w:rsidR="00AC4A20" w:rsidRPr="00AC4A20">
        <w:rPr>
          <w:rFonts w:eastAsia="Calibri" w:cs="Tahoma"/>
          <w:bCs/>
          <w:color w:val="000000"/>
          <w:sz w:val="24"/>
          <w:szCs w:val="24"/>
          <w:lang w:eastAsia="ro-RO"/>
        </w:rPr>
        <w:t xml:space="preserve"> </w:t>
      </w:r>
      <w:r w:rsidR="00AC4A20" w:rsidRPr="00213755">
        <w:rPr>
          <w:rFonts w:eastAsia="Calibri" w:cs="Tahoma"/>
          <w:bCs/>
          <w:color w:val="000000"/>
          <w:sz w:val="24"/>
          <w:szCs w:val="24"/>
          <w:lang w:eastAsia="ro-RO"/>
        </w:rPr>
        <w:t>în calitatea sa de coordonator național privind Semestrul European</w:t>
      </w:r>
      <w:r w:rsidR="00AC4A20">
        <w:rPr>
          <w:rFonts w:eastAsia="Calibri" w:cs="Tahoma"/>
          <w:bCs/>
          <w:color w:val="000000"/>
          <w:sz w:val="24"/>
          <w:szCs w:val="24"/>
          <w:lang w:eastAsia="ro-RO"/>
        </w:rPr>
        <w:t xml:space="preserve">, un set de observații și propuneri argumentate, având la bază nevoile de dezvoltare națională. </w:t>
      </w:r>
    </w:p>
    <w:p w:rsidR="00BD70B5" w:rsidRPr="00BD70B5" w:rsidRDefault="00BD70B5" w:rsidP="005D43F3">
      <w:pPr>
        <w:numPr>
          <w:ilvl w:val="0"/>
          <w:numId w:val="1"/>
        </w:numPr>
        <w:tabs>
          <w:tab w:val="left" w:pos="5103"/>
        </w:tabs>
        <w:spacing w:before="120" w:after="120" w:line="240" w:lineRule="auto"/>
        <w:jc w:val="both"/>
        <w:rPr>
          <w:rFonts w:eastAsia="Calibri" w:cs="Tahoma"/>
          <w:bCs/>
          <w:color w:val="000000"/>
          <w:sz w:val="24"/>
          <w:szCs w:val="24"/>
          <w:lang w:eastAsia="ro-RO"/>
        </w:rPr>
      </w:pPr>
      <w:r>
        <w:rPr>
          <w:rFonts w:eastAsia="Calibri" w:cs="Tahoma"/>
          <w:bCs/>
          <w:color w:val="000000"/>
          <w:sz w:val="24"/>
          <w:szCs w:val="24"/>
          <w:lang w:eastAsia="ro-RO"/>
        </w:rPr>
        <w:t xml:space="preserve">În </w:t>
      </w:r>
      <w:r w:rsidRPr="00BD70B5">
        <w:rPr>
          <w:rFonts w:eastAsia="Calibri" w:cs="Tahoma"/>
          <w:bCs/>
          <w:color w:val="000000"/>
          <w:sz w:val="24"/>
          <w:szCs w:val="24"/>
          <w:lang w:eastAsia="ro-RO"/>
        </w:rPr>
        <w:t>22 martie 2019</w:t>
      </w:r>
      <w:r>
        <w:rPr>
          <w:rFonts w:eastAsia="Calibri" w:cs="Tahoma"/>
          <w:bCs/>
          <w:color w:val="000000"/>
          <w:sz w:val="24"/>
          <w:szCs w:val="24"/>
          <w:lang w:eastAsia="ro-RO"/>
        </w:rPr>
        <w:t xml:space="preserve"> Comisia Europeană a </w:t>
      </w:r>
      <w:r w:rsidR="005D43F3">
        <w:rPr>
          <w:rFonts w:eastAsia="Calibri" w:cs="Tahoma"/>
          <w:bCs/>
          <w:color w:val="000000"/>
          <w:sz w:val="24"/>
          <w:szCs w:val="24"/>
          <w:lang w:eastAsia="ro-RO"/>
        </w:rPr>
        <w:t xml:space="preserve">organizat </w:t>
      </w:r>
      <w:r w:rsidR="00AB67C8">
        <w:rPr>
          <w:rFonts w:eastAsia="Calibri" w:cs="Tahoma"/>
          <w:bCs/>
          <w:color w:val="000000"/>
          <w:sz w:val="24"/>
          <w:szCs w:val="24"/>
          <w:lang w:eastAsia="ro-RO"/>
        </w:rPr>
        <w:t xml:space="preserve">la București </w:t>
      </w:r>
      <w:r w:rsidR="005D43F3">
        <w:rPr>
          <w:rFonts w:eastAsia="Calibri" w:cs="Tahoma"/>
          <w:bCs/>
          <w:color w:val="000000"/>
          <w:sz w:val="24"/>
          <w:szCs w:val="24"/>
          <w:lang w:eastAsia="ro-RO"/>
        </w:rPr>
        <w:t xml:space="preserve">o reuniune pentru a </w:t>
      </w:r>
      <w:r>
        <w:rPr>
          <w:rFonts w:eastAsia="Calibri" w:cs="Tahoma"/>
          <w:bCs/>
          <w:color w:val="000000"/>
          <w:sz w:val="24"/>
          <w:szCs w:val="24"/>
          <w:lang w:eastAsia="ro-RO"/>
        </w:rPr>
        <w:t>prezent</w:t>
      </w:r>
      <w:r w:rsidR="005D43F3">
        <w:rPr>
          <w:rFonts w:eastAsia="Calibri" w:cs="Tahoma"/>
          <w:bCs/>
          <w:color w:val="000000"/>
          <w:sz w:val="24"/>
          <w:szCs w:val="24"/>
          <w:lang w:eastAsia="ro-RO"/>
        </w:rPr>
        <w:t>a</w:t>
      </w:r>
      <w:r>
        <w:rPr>
          <w:rFonts w:eastAsia="Calibri" w:cs="Tahoma"/>
          <w:bCs/>
          <w:color w:val="000000"/>
          <w:sz w:val="24"/>
          <w:szCs w:val="24"/>
          <w:lang w:eastAsia="ro-RO"/>
        </w:rPr>
        <w:t xml:space="preserve"> p</w:t>
      </w:r>
      <w:r w:rsidRPr="00BD70B5">
        <w:rPr>
          <w:rFonts w:eastAsia="Calibri" w:cs="Tahoma"/>
          <w:bCs/>
          <w:color w:val="000000"/>
          <w:sz w:val="24"/>
          <w:szCs w:val="24"/>
          <w:lang w:eastAsia="ro-RO"/>
        </w:rPr>
        <w:t>riorități</w:t>
      </w:r>
      <w:r w:rsidR="005D43F3">
        <w:rPr>
          <w:rFonts w:eastAsia="Calibri" w:cs="Tahoma"/>
          <w:bCs/>
          <w:color w:val="000000"/>
          <w:sz w:val="24"/>
          <w:szCs w:val="24"/>
          <w:lang w:eastAsia="ro-RO"/>
        </w:rPr>
        <w:t>le</w:t>
      </w:r>
      <w:r w:rsidRPr="00BD70B5">
        <w:rPr>
          <w:rFonts w:eastAsia="Calibri" w:cs="Tahoma"/>
          <w:bCs/>
          <w:color w:val="000000"/>
          <w:sz w:val="24"/>
          <w:szCs w:val="24"/>
          <w:lang w:eastAsia="ro-RO"/>
        </w:rPr>
        <w:t xml:space="preserve"> de investiții </w:t>
      </w:r>
      <w:r>
        <w:rPr>
          <w:rFonts w:eastAsia="Calibri" w:cs="Tahoma"/>
          <w:bCs/>
          <w:color w:val="000000"/>
          <w:sz w:val="24"/>
          <w:szCs w:val="24"/>
          <w:lang w:eastAsia="ro-RO"/>
        </w:rPr>
        <w:t xml:space="preserve">propuse pentru </w:t>
      </w:r>
      <w:r w:rsidRPr="00BD70B5">
        <w:rPr>
          <w:rFonts w:eastAsia="Calibri" w:cs="Tahoma"/>
          <w:bCs/>
          <w:color w:val="000000"/>
          <w:sz w:val="24"/>
          <w:szCs w:val="24"/>
          <w:lang w:eastAsia="ro-RO"/>
        </w:rPr>
        <w:t>România</w:t>
      </w:r>
      <w:r>
        <w:rPr>
          <w:rFonts w:eastAsia="Calibri" w:cs="Tahoma"/>
          <w:bCs/>
          <w:color w:val="000000"/>
          <w:sz w:val="24"/>
          <w:szCs w:val="24"/>
          <w:lang w:eastAsia="ro-RO"/>
        </w:rPr>
        <w:t xml:space="preserve"> în Anexa D</w:t>
      </w:r>
      <w:r w:rsidR="00FB19C6">
        <w:rPr>
          <w:rFonts w:eastAsia="Calibri" w:cs="Tahoma"/>
          <w:bCs/>
          <w:color w:val="000000"/>
          <w:sz w:val="24"/>
          <w:szCs w:val="24"/>
          <w:lang w:eastAsia="ro-RO"/>
        </w:rPr>
        <w:t xml:space="preserve">, eveniment </w:t>
      </w:r>
      <w:r w:rsidR="005D43F3" w:rsidRPr="005D43F3">
        <w:rPr>
          <w:rFonts w:eastAsia="Calibri" w:cs="Tahoma"/>
          <w:bCs/>
          <w:color w:val="000000"/>
          <w:sz w:val="24"/>
          <w:szCs w:val="24"/>
          <w:lang w:eastAsia="ro-RO"/>
        </w:rPr>
        <w:t xml:space="preserve">care </w:t>
      </w:r>
      <w:r w:rsidR="00FB19C6">
        <w:rPr>
          <w:rFonts w:eastAsia="Calibri" w:cs="Tahoma"/>
          <w:bCs/>
          <w:color w:val="000000"/>
          <w:sz w:val="24"/>
          <w:szCs w:val="24"/>
          <w:lang w:eastAsia="ro-RO"/>
        </w:rPr>
        <w:t xml:space="preserve">a </w:t>
      </w:r>
      <w:r w:rsidR="005D43F3" w:rsidRPr="005D43F3">
        <w:rPr>
          <w:rFonts w:eastAsia="Calibri" w:cs="Tahoma"/>
          <w:bCs/>
          <w:color w:val="000000"/>
          <w:sz w:val="24"/>
          <w:szCs w:val="24"/>
          <w:lang w:eastAsia="ro-RO"/>
        </w:rPr>
        <w:t>preced</w:t>
      </w:r>
      <w:r w:rsidR="00FB19C6">
        <w:rPr>
          <w:rFonts w:eastAsia="Calibri" w:cs="Tahoma"/>
          <w:bCs/>
          <w:color w:val="000000"/>
          <w:sz w:val="24"/>
          <w:szCs w:val="24"/>
          <w:lang w:eastAsia="ro-RO"/>
        </w:rPr>
        <w:t>at</w:t>
      </w:r>
      <w:r w:rsidR="005D43F3" w:rsidRPr="005D43F3">
        <w:rPr>
          <w:rFonts w:eastAsia="Calibri" w:cs="Tahoma"/>
          <w:bCs/>
          <w:color w:val="000000"/>
          <w:sz w:val="24"/>
          <w:szCs w:val="24"/>
          <w:lang w:eastAsia="ro-RO"/>
        </w:rPr>
        <w:t xml:space="preserve"> demararea negocierilor informale între Comisia Europeană și autoritățile române privind prioritățile de investiții din fondurile europene aferente Politicii de Coeziune în perioada 2021-2027</w:t>
      </w:r>
      <w:r w:rsidR="00FB19C6">
        <w:rPr>
          <w:rFonts w:eastAsia="Calibri" w:cs="Tahoma"/>
          <w:bCs/>
          <w:color w:val="000000"/>
          <w:sz w:val="24"/>
          <w:szCs w:val="24"/>
          <w:lang w:eastAsia="ro-RO"/>
        </w:rPr>
        <w:t>.</w:t>
      </w:r>
    </w:p>
    <w:p w:rsidR="00213755" w:rsidRPr="00213755" w:rsidRDefault="00AC4A20" w:rsidP="00213755">
      <w:pPr>
        <w:numPr>
          <w:ilvl w:val="0"/>
          <w:numId w:val="1"/>
        </w:numPr>
        <w:tabs>
          <w:tab w:val="left" w:pos="5103"/>
        </w:tabs>
        <w:spacing w:before="120" w:after="120" w:line="240" w:lineRule="auto"/>
        <w:jc w:val="both"/>
        <w:rPr>
          <w:rFonts w:eastAsia="Calibri" w:cs="Tahoma"/>
          <w:bCs/>
          <w:color w:val="000000"/>
          <w:sz w:val="24"/>
          <w:szCs w:val="24"/>
          <w:lang w:eastAsia="ro-RO"/>
        </w:rPr>
      </w:pPr>
      <w:r>
        <w:rPr>
          <w:rFonts w:eastAsia="Calibri" w:cs="Tahoma"/>
          <w:bCs/>
          <w:color w:val="000000"/>
          <w:sz w:val="24"/>
          <w:szCs w:val="24"/>
          <w:lang w:eastAsia="ro-RO"/>
        </w:rPr>
        <w:t xml:space="preserve">În reuniunile ulterioare avute cu COM (reuniunea directorilor generali și </w:t>
      </w:r>
      <w:r w:rsidR="00923E31">
        <w:rPr>
          <w:rFonts w:eastAsia="Calibri" w:cs="Tahoma"/>
          <w:bCs/>
          <w:color w:val="000000"/>
          <w:sz w:val="24"/>
          <w:szCs w:val="24"/>
          <w:lang w:eastAsia="ro-RO"/>
        </w:rPr>
        <w:t xml:space="preserve">reuniunea miniștrilor responsabili cu Politica de Coeziune, evenimente desfășurate la București în contextul deținerii Președinției Consiliului), COM a precizat clar că </w:t>
      </w:r>
      <w:r w:rsidR="00923E31" w:rsidRPr="00273438">
        <w:rPr>
          <w:rFonts w:eastAsia="Calibri" w:cs="Tahoma"/>
          <w:b/>
          <w:bCs/>
          <w:color w:val="000000"/>
          <w:sz w:val="24"/>
          <w:szCs w:val="24"/>
          <w:lang w:eastAsia="ro-RO"/>
        </w:rPr>
        <w:t xml:space="preserve">Anexa D reprezintă punctul de vedere al COM în ceea ce privește investițiile din Politica de Coeziune în statele membre, fiind </w:t>
      </w:r>
      <w:r w:rsidR="00FB19C6">
        <w:rPr>
          <w:rFonts w:eastAsia="Calibri" w:cs="Tahoma"/>
          <w:b/>
          <w:bCs/>
          <w:color w:val="000000"/>
          <w:sz w:val="24"/>
          <w:szCs w:val="24"/>
          <w:lang w:eastAsia="ro-RO"/>
        </w:rPr>
        <w:t xml:space="preserve">doar </w:t>
      </w:r>
      <w:r w:rsidR="00923E31" w:rsidRPr="00273438">
        <w:rPr>
          <w:rFonts w:eastAsia="Calibri" w:cs="Tahoma"/>
          <w:b/>
          <w:bCs/>
          <w:color w:val="000000"/>
          <w:sz w:val="24"/>
          <w:szCs w:val="24"/>
          <w:lang w:eastAsia="ro-RO"/>
        </w:rPr>
        <w:t>punctul de plecare în viitoarele negocieri</w:t>
      </w:r>
      <w:r w:rsidR="00923E31">
        <w:rPr>
          <w:rFonts w:eastAsia="Calibri" w:cs="Tahoma"/>
          <w:bCs/>
          <w:color w:val="000000"/>
          <w:sz w:val="24"/>
          <w:szCs w:val="24"/>
          <w:lang w:eastAsia="ro-RO"/>
        </w:rPr>
        <w:t>.</w:t>
      </w:r>
    </w:p>
    <w:p w:rsidR="00213755" w:rsidRPr="00213755" w:rsidRDefault="00213755" w:rsidP="00213755">
      <w:pPr>
        <w:jc w:val="both"/>
        <w:rPr>
          <w:sz w:val="24"/>
          <w:szCs w:val="24"/>
        </w:rPr>
      </w:pPr>
    </w:p>
    <w:p w:rsidR="00213755" w:rsidRPr="00213755" w:rsidRDefault="00213755" w:rsidP="00213755">
      <w:pPr>
        <w:pStyle w:val="ListParagraph"/>
        <w:numPr>
          <w:ilvl w:val="0"/>
          <w:numId w:val="6"/>
        </w:numPr>
        <w:shd w:val="clear" w:color="auto" w:fill="C6D9F1" w:themeFill="text2" w:themeFillTint="33"/>
        <w:jc w:val="both"/>
        <w:rPr>
          <w:b/>
          <w:sz w:val="24"/>
          <w:szCs w:val="24"/>
        </w:rPr>
      </w:pPr>
      <w:r w:rsidRPr="00213755">
        <w:rPr>
          <w:b/>
          <w:sz w:val="24"/>
          <w:szCs w:val="24"/>
        </w:rPr>
        <w:t>Demersuri MFE privind demararea programării 2021-2027</w:t>
      </w:r>
    </w:p>
    <w:p w:rsidR="00213755" w:rsidRPr="00213755" w:rsidRDefault="00213755" w:rsidP="00213755">
      <w:pPr>
        <w:numPr>
          <w:ilvl w:val="0"/>
          <w:numId w:val="1"/>
        </w:numPr>
        <w:tabs>
          <w:tab w:val="left" w:pos="5103"/>
        </w:tabs>
        <w:spacing w:before="120" w:after="120" w:line="240" w:lineRule="auto"/>
        <w:jc w:val="both"/>
        <w:rPr>
          <w:bCs/>
          <w:iCs/>
          <w:sz w:val="24"/>
          <w:szCs w:val="24"/>
        </w:rPr>
      </w:pPr>
      <w:r w:rsidRPr="00213755">
        <w:rPr>
          <w:bCs/>
          <w:iCs/>
          <w:sz w:val="24"/>
          <w:szCs w:val="24"/>
        </w:rPr>
        <w:t xml:space="preserve">În ședința de Guvern din </w:t>
      </w:r>
      <w:r w:rsidRPr="00213755">
        <w:rPr>
          <w:b/>
          <w:bCs/>
          <w:iCs/>
          <w:sz w:val="24"/>
          <w:szCs w:val="24"/>
        </w:rPr>
        <w:t>5 septembrie 2018</w:t>
      </w:r>
      <w:r w:rsidRPr="00213755">
        <w:rPr>
          <w:bCs/>
          <w:iCs/>
          <w:sz w:val="24"/>
          <w:szCs w:val="24"/>
        </w:rPr>
        <w:t xml:space="preserve"> a fost aprobat un prim </w:t>
      </w:r>
      <w:r w:rsidRPr="00213755">
        <w:rPr>
          <w:b/>
          <w:bCs/>
          <w:iCs/>
          <w:sz w:val="24"/>
          <w:szCs w:val="24"/>
        </w:rPr>
        <w:t>MEMORANDUM care vizează ”</w:t>
      </w:r>
      <w:r w:rsidRPr="00213755">
        <w:rPr>
          <w:b/>
          <w:bCs/>
          <w:i/>
          <w:iCs/>
          <w:sz w:val="24"/>
          <w:szCs w:val="24"/>
        </w:rPr>
        <w:t>Pregătirea documentelor naționale de programare a finanțărilor din fonduri europene post 2020</w:t>
      </w:r>
      <w:r w:rsidRPr="00213755">
        <w:rPr>
          <w:b/>
          <w:bCs/>
          <w:iCs/>
          <w:sz w:val="24"/>
          <w:szCs w:val="24"/>
        </w:rPr>
        <w:t>”</w:t>
      </w:r>
      <w:r w:rsidRPr="00213755">
        <w:rPr>
          <w:bCs/>
          <w:iCs/>
          <w:sz w:val="24"/>
          <w:szCs w:val="24"/>
        </w:rPr>
        <w:t xml:space="preserve">. Acest Memorandum stabilește un </w:t>
      </w:r>
      <w:r w:rsidRPr="00213755">
        <w:rPr>
          <w:b/>
          <w:bCs/>
          <w:iCs/>
          <w:sz w:val="24"/>
          <w:szCs w:val="24"/>
        </w:rPr>
        <w:t>calendar pentru elaborarea documentelor strategice/planurilor de măsuri sectoriale naționale post 2020,</w:t>
      </w:r>
      <w:r w:rsidRPr="00213755">
        <w:rPr>
          <w:bCs/>
          <w:iCs/>
          <w:sz w:val="24"/>
          <w:szCs w:val="24"/>
        </w:rPr>
        <w:t xml:space="preserve"> </w:t>
      </w:r>
      <w:r w:rsidRPr="00213755">
        <w:rPr>
          <w:b/>
          <w:bCs/>
          <w:iCs/>
          <w:sz w:val="24"/>
          <w:szCs w:val="24"/>
        </w:rPr>
        <w:t xml:space="preserve">relevante pentru îndeplinirea condițiilor prealabile și </w:t>
      </w:r>
      <w:proofErr w:type="spellStart"/>
      <w:r w:rsidRPr="00213755">
        <w:rPr>
          <w:b/>
          <w:bCs/>
          <w:iCs/>
          <w:sz w:val="24"/>
          <w:szCs w:val="24"/>
        </w:rPr>
        <w:t>prioritizarea</w:t>
      </w:r>
      <w:proofErr w:type="spellEnd"/>
      <w:r w:rsidRPr="00213755">
        <w:rPr>
          <w:b/>
          <w:bCs/>
          <w:iCs/>
          <w:sz w:val="24"/>
          <w:szCs w:val="24"/>
        </w:rPr>
        <w:t xml:space="preserve"> investițiilor din fonduri europene post 2020</w:t>
      </w:r>
      <w:r w:rsidRPr="00213755">
        <w:rPr>
          <w:bCs/>
          <w:iCs/>
          <w:sz w:val="24"/>
          <w:szCs w:val="24"/>
        </w:rPr>
        <w:t>.</w:t>
      </w:r>
    </w:p>
    <w:p w:rsidR="00213755" w:rsidRPr="00213755" w:rsidRDefault="00213755" w:rsidP="00213755">
      <w:pPr>
        <w:tabs>
          <w:tab w:val="left" w:pos="5103"/>
        </w:tabs>
        <w:spacing w:before="120" w:after="120" w:line="240" w:lineRule="auto"/>
        <w:ind w:left="720"/>
        <w:jc w:val="both"/>
        <w:rPr>
          <w:rFonts w:cstheme="minorHAnsi"/>
          <w:bCs/>
          <w:iCs/>
          <w:sz w:val="24"/>
          <w:szCs w:val="24"/>
        </w:rPr>
      </w:pPr>
      <w:r w:rsidRPr="00213755">
        <w:rPr>
          <w:bCs/>
          <w:iCs/>
          <w:sz w:val="24"/>
          <w:szCs w:val="24"/>
        </w:rPr>
        <w:t xml:space="preserve">Urmare a acestui Memorandum </w:t>
      </w:r>
      <w:r w:rsidRPr="00213755">
        <w:rPr>
          <w:b/>
          <w:bCs/>
          <w:iCs/>
          <w:sz w:val="24"/>
          <w:szCs w:val="24"/>
        </w:rPr>
        <w:t xml:space="preserve">s-a realizat o primă auto-evaluare a îndeplinirii condițiilor favorizante și </w:t>
      </w:r>
      <w:r w:rsidR="000134AE">
        <w:rPr>
          <w:b/>
          <w:bCs/>
          <w:iCs/>
          <w:sz w:val="24"/>
          <w:szCs w:val="24"/>
        </w:rPr>
        <w:t>s-</w:t>
      </w:r>
      <w:r w:rsidRPr="00213755">
        <w:rPr>
          <w:b/>
          <w:bCs/>
          <w:iCs/>
          <w:sz w:val="24"/>
          <w:szCs w:val="24"/>
        </w:rPr>
        <w:t>au stabili</w:t>
      </w:r>
      <w:r w:rsidR="000134AE">
        <w:rPr>
          <w:b/>
          <w:bCs/>
          <w:iCs/>
          <w:sz w:val="24"/>
          <w:szCs w:val="24"/>
        </w:rPr>
        <w:t>t</w:t>
      </w:r>
      <w:r w:rsidRPr="00213755">
        <w:rPr>
          <w:b/>
          <w:bCs/>
          <w:iCs/>
          <w:sz w:val="24"/>
          <w:szCs w:val="24"/>
        </w:rPr>
        <w:t xml:space="preserve"> planuri de măsuri concrete</w:t>
      </w:r>
      <w:r w:rsidR="000134AE">
        <w:rPr>
          <w:b/>
          <w:bCs/>
          <w:iCs/>
          <w:sz w:val="24"/>
          <w:szCs w:val="24"/>
        </w:rPr>
        <w:t>,</w:t>
      </w:r>
      <w:r w:rsidRPr="00213755">
        <w:rPr>
          <w:b/>
          <w:bCs/>
          <w:iCs/>
          <w:sz w:val="24"/>
          <w:szCs w:val="24"/>
        </w:rPr>
        <w:t xml:space="preserve"> asumate de autoritățile responsabile prin Memorandum</w:t>
      </w:r>
      <w:r w:rsidR="000134AE">
        <w:rPr>
          <w:b/>
          <w:bCs/>
          <w:iCs/>
          <w:sz w:val="24"/>
          <w:szCs w:val="24"/>
        </w:rPr>
        <w:t>uri</w:t>
      </w:r>
      <w:r w:rsidRPr="00213755">
        <w:rPr>
          <w:b/>
          <w:bCs/>
          <w:iCs/>
          <w:sz w:val="24"/>
          <w:szCs w:val="24"/>
        </w:rPr>
        <w:t xml:space="preserve"> de Guvern</w:t>
      </w:r>
      <w:r w:rsidRPr="00213755">
        <w:rPr>
          <w:bCs/>
          <w:iCs/>
          <w:sz w:val="24"/>
          <w:szCs w:val="24"/>
        </w:rPr>
        <w:t xml:space="preserve">. Conform Anexelor Regulamentului (UE) privind dispozițiile comune aplicabile în perioada de programare 2021-2027, ar trebui îndeplinite 4 condiții orizontale și 15 sectoriale. În prezent situația este </w:t>
      </w:r>
      <w:r w:rsidRPr="00213755">
        <w:rPr>
          <w:rFonts w:cstheme="minorHAnsi"/>
          <w:bCs/>
          <w:iCs/>
          <w:sz w:val="24"/>
          <w:szCs w:val="24"/>
        </w:rPr>
        <w:t xml:space="preserve">următoarea: </w:t>
      </w:r>
    </w:p>
    <w:p w:rsidR="00213755" w:rsidRPr="00213755" w:rsidRDefault="00927430" w:rsidP="00C732A5">
      <w:pPr>
        <w:numPr>
          <w:ilvl w:val="0"/>
          <w:numId w:val="3"/>
        </w:numPr>
        <w:ind w:left="1276" w:hanging="283"/>
        <w:contextualSpacing/>
        <w:jc w:val="both"/>
        <w:rPr>
          <w:rFonts w:cstheme="minorHAnsi"/>
          <w:bCs/>
          <w:iCs/>
          <w:sz w:val="24"/>
          <w:szCs w:val="24"/>
        </w:rPr>
      </w:pPr>
      <w:r>
        <w:rPr>
          <w:rFonts w:cstheme="minorHAnsi"/>
          <w:bCs/>
          <w:iCs/>
          <w:sz w:val="24"/>
          <w:szCs w:val="24"/>
        </w:rPr>
        <w:t>13</w:t>
      </w:r>
      <w:r w:rsidR="00213755" w:rsidRPr="00213755">
        <w:rPr>
          <w:rFonts w:cstheme="minorHAnsi"/>
          <w:bCs/>
          <w:iCs/>
          <w:sz w:val="24"/>
          <w:szCs w:val="24"/>
        </w:rPr>
        <w:t xml:space="preserve"> planuri de măsuri aprobate prin MEMO Guvern: Sănătate, Egalitate de gen, Incluziune socială, Piața muncii, CDI - </w:t>
      </w:r>
      <w:proofErr w:type="spellStart"/>
      <w:r w:rsidR="00213755" w:rsidRPr="00213755">
        <w:rPr>
          <w:rFonts w:cstheme="minorHAnsi"/>
          <w:bCs/>
          <w:iCs/>
          <w:sz w:val="24"/>
          <w:szCs w:val="24"/>
        </w:rPr>
        <w:t>Smart</w:t>
      </w:r>
      <w:proofErr w:type="spellEnd"/>
      <w:r w:rsidR="00213755" w:rsidRPr="00213755">
        <w:rPr>
          <w:rFonts w:cstheme="minorHAnsi"/>
          <w:bCs/>
          <w:iCs/>
          <w:sz w:val="24"/>
          <w:szCs w:val="24"/>
        </w:rPr>
        <w:t xml:space="preserve"> </w:t>
      </w:r>
      <w:proofErr w:type="spellStart"/>
      <w:r w:rsidR="00213755" w:rsidRPr="00213755">
        <w:rPr>
          <w:rFonts w:cstheme="minorHAnsi"/>
          <w:bCs/>
          <w:iCs/>
          <w:sz w:val="24"/>
          <w:szCs w:val="24"/>
        </w:rPr>
        <w:t>Specialization</w:t>
      </w:r>
      <w:proofErr w:type="spellEnd"/>
      <w:r w:rsidR="00213755" w:rsidRPr="00213755">
        <w:rPr>
          <w:rFonts w:cstheme="minorHAnsi"/>
          <w:bCs/>
          <w:iCs/>
          <w:sz w:val="24"/>
          <w:szCs w:val="24"/>
        </w:rPr>
        <w:t>, TIC, Romi, Eficienta energetica în clădiri, Transport, Managementul riscurilor, Deșeuri, Educație</w:t>
      </w:r>
      <w:r w:rsidR="009C5DCB">
        <w:rPr>
          <w:rFonts w:cstheme="minorHAnsi"/>
          <w:bCs/>
          <w:iCs/>
          <w:sz w:val="24"/>
          <w:szCs w:val="24"/>
        </w:rPr>
        <w:t xml:space="preserve">, </w:t>
      </w:r>
      <w:proofErr w:type="spellStart"/>
      <w:r w:rsidR="009C5DCB" w:rsidRPr="00213755">
        <w:rPr>
          <w:rFonts w:cstheme="minorHAnsi"/>
          <w:bCs/>
          <w:iCs/>
          <w:sz w:val="24"/>
          <w:szCs w:val="24"/>
        </w:rPr>
        <w:t>Dizabilități</w:t>
      </w:r>
      <w:proofErr w:type="spellEnd"/>
      <w:r w:rsidR="00213755" w:rsidRPr="00213755">
        <w:rPr>
          <w:rFonts w:cstheme="minorHAnsi"/>
          <w:bCs/>
          <w:iCs/>
          <w:sz w:val="24"/>
          <w:szCs w:val="24"/>
        </w:rPr>
        <w:t>;</w:t>
      </w:r>
    </w:p>
    <w:p w:rsidR="00213755" w:rsidRPr="00213755" w:rsidRDefault="00213755" w:rsidP="00C732A5">
      <w:pPr>
        <w:numPr>
          <w:ilvl w:val="0"/>
          <w:numId w:val="3"/>
        </w:numPr>
        <w:ind w:left="1276" w:hanging="283"/>
        <w:contextualSpacing/>
        <w:jc w:val="both"/>
        <w:rPr>
          <w:rFonts w:cstheme="minorHAnsi"/>
          <w:bCs/>
          <w:iCs/>
          <w:sz w:val="24"/>
          <w:szCs w:val="24"/>
        </w:rPr>
      </w:pPr>
      <w:r w:rsidRPr="00213755">
        <w:rPr>
          <w:rFonts w:cstheme="minorHAnsi"/>
          <w:bCs/>
          <w:iCs/>
          <w:sz w:val="24"/>
          <w:szCs w:val="24"/>
        </w:rPr>
        <w:t>1 Plan de acțiuni aflat pe circuit interministerial de avizare: sector Apă;</w:t>
      </w:r>
    </w:p>
    <w:p w:rsidR="000134AE" w:rsidRPr="00213755" w:rsidRDefault="000134AE" w:rsidP="000134AE">
      <w:pPr>
        <w:numPr>
          <w:ilvl w:val="0"/>
          <w:numId w:val="3"/>
        </w:numPr>
        <w:ind w:left="1276" w:hanging="283"/>
        <w:contextualSpacing/>
        <w:jc w:val="both"/>
        <w:rPr>
          <w:rFonts w:cstheme="minorHAnsi"/>
          <w:bCs/>
          <w:iCs/>
          <w:sz w:val="24"/>
          <w:szCs w:val="24"/>
        </w:rPr>
      </w:pPr>
      <w:r w:rsidRPr="00213755">
        <w:rPr>
          <w:rFonts w:cstheme="minorHAnsi"/>
          <w:bCs/>
          <w:iCs/>
          <w:sz w:val="24"/>
          <w:szCs w:val="24"/>
        </w:rPr>
        <w:t>1</w:t>
      </w:r>
      <w:r>
        <w:rPr>
          <w:rFonts w:cstheme="minorHAnsi"/>
          <w:bCs/>
          <w:iCs/>
          <w:sz w:val="24"/>
          <w:szCs w:val="24"/>
        </w:rPr>
        <w:t xml:space="preserve"> condiție privind pro</w:t>
      </w:r>
      <w:r w:rsidRPr="00213755">
        <w:rPr>
          <w:rFonts w:cstheme="minorHAnsi"/>
          <w:bCs/>
          <w:iCs/>
          <w:sz w:val="24"/>
          <w:szCs w:val="24"/>
        </w:rPr>
        <w:t>movarea utilizării energiei regenerabile</w:t>
      </w:r>
      <w:r w:rsidRPr="00CE50AA">
        <w:rPr>
          <w:rFonts w:cstheme="minorHAnsi"/>
          <w:bCs/>
          <w:iCs/>
          <w:sz w:val="24"/>
          <w:szCs w:val="24"/>
        </w:rPr>
        <w:t xml:space="preserve"> </w:t>
      </w:r>
      <w:r>
        <w:rPr>
          <w:rFonts w:cstheme="minorHAnsi"/>
          <w:bCs/>
          <w:iCs/>
          <w:sz w:val="24"/>
          <w:szCs w:val="24"/>
        </w:rPr>
        <w:t xml:space="preserve">- </w:t>
      </w:r>
      <w:r w:rsidRPr="00CE50AA">
        <w:rPr>
          <w:rFonts w:cstheme="minorHAnsi"/>
          <w:bCs/>
          <w:iCs/>
          <w:sz w:val="24"/>
          <w:szCs w:val="24"/>
        </w:rPr>
        <w:t xml:space="preserve">în curs de identificare </w:t>
      </w:r>
      <w:r>
        <w:rPr>
          <w:rFonts w:cstheme="minorHAnsi"/>
          <w:bCs/>
          <w:iCs/>
          <w:sz w:val="24"/>
          <w:szCs w:val="24"/>
        </w:rPr>
        <w:t>a</w:t>
      </w:r>
      <w:r w:rsidRPr="00CE50AA">
        <w:rPr>
          <w:rFonts w:cstheme="minorHAnsi"/>
          <w:bCs/>
          <w:iCs/>
          <w:sz w:val="24"/>
          <w:szCs w:val="24"/>
        </w:rPr>
        <w:t xml:space="preserve"> acțiuni</w:t>
      </w:r>
      <w:r>
        <w:rPr>
          <w:rFonts w:cstheme="minorHAnsi"/>
          <w:bCs/>
          <w:iCs/>
          <w:sz w:val="24"/>
          <w:szCs w:val="24"/>
        </w:rPr>
        <w:t>lor</w:t>
      </w:r>
      <w:r w:rsidRPr="00CE50AA">
        <w:rPr>
          <w:rFonts w:cstheme="minorHAnsi"/>
          <w:bCs/>
          <w:iCs/>
          <w:sz w:val="24"/>
          <w:szCs w:val="24"/>
        </w:rPr>
        <w:t xml:space="preserve"> privind îndeplinirea criteriilor</w:t>
      </w:r>
      <w:r>
        <w:rPr>
          <w:rFonts w:cstheme="minorHAnsi"/>
          <w:bCs/>
          <w:iCs/>
          <w:sz w:val="24"/>
          <w:szCs w:val="24"/>
        </w:rPr>
        <w:t xml:space="preserve"> aferente</w:t>
      </w:r>
      <w:r w:rsidRPr="00213755">
        <w:rPr>
          <w:rFonts w:cstheme="minorHAnsi"/>
          <w:bCs/>
          <w:iCs/>
          <w:sz w:val="24"/>
          <w:szCs w:val="24"/>
        </w:rPr>
        <w:t>;</w:t>
      </w:r>
    </w:p>
    <w:p w:rsidR="00CE50AA" w:rsidRDefault="00213755" w:rsidP="00C732A5">
      <w:pPr>
        <w:numPr>
          <w:ilvl w:val="0"/>
          <w:numId w:val="3"/>
        </w:numPr>
        <w:ind w:left="1276" w:hanging="283"/>
        <w:contextualSpacing/>
        <w:jc w:val="both"/>
        <w:rPr>
          <w:rFonts w:cstheme="minorHAnsi"/>
          <w:bCs/>
          <w:iCs/>
          <w:sz w:val="24"/>
          <w:szCs w:val="24"/>
        </w:rPr>
      </w:pPr>
      <w:r w:rsidRPr="00213755">
        <w:rPr>
          <w:rFonts w:cstheme="minorHAnsi"/>
          <w:bCs/>
          <w:iCs/>
          <w:sz w:val="24"/>
          <w:szCs w:val="24"/>
        </w:rPr>
        <w:lastRenderedPageBreak/>
        <w:t xml:space="preserve">3 condiții nu necesită Planuri de acțiune (ajutor de stat, achiziții publice și 1 condiție privind </w:t>
      </w:r>
      <w:r w:rsidR="00C9104C" w:rsidRPr="00213755">
        <w:rPr>
          <w:rFonts w:cstheme="minorHAnsi"/>
          <w:bCs/>
          <w:iCs/>
          <w:sz w:val="24"/>
          <w:szCs w:val="24"/>
        </w:rPr>
        <w:t>guvernanța sectorului energetic</w:t>
      </w:r>
      <w:r w:rsidRPr="00213755">
        <w:rPr>
          <w:rFonts w:cstheme="minorHAnsi"/>
          <w:bCs/>
          <w:iCs/>
          <w:sz w:val="24"/>
          <w:szCs w:val="24"/>
        </w:rPr>
        <w:t>) – aut</w:t>
      </w:r>
      <w:r w:rsidR="009F6D72">
        <w:rPr>
          <w:rFonts w:cstheme="minorHAnsi"/>
          <w:bCs/>
          <w:iCs/>
          <w:sz w:val="24"/>
          <w:szCs w:val="24"/>
        </w:rPr>
        <w:t>oritățile responsabile consideră că</w:t>
      </w:r>
      <w:r w:rsidRPr="00213755">
        <w:rPr>
          <w:rFonts w:cstheme="minorHAnsi"/>
          <w:bCs/>
          <w:iCs/>
          <w:sz w:val="24"/>
          <w:szCs w:val="24"/>
        </w:rPr>
        <w:t xml:space="preserve"> m</w:t>
      </w:r>
      <w:r w:rsidR="009F6D72">
        <w:rPr>
          <w:rFonts w:cstheme="minorHAnsi"/>
          <w:bCs/>
          <w:iCs/>
          <w:sz w:val="24"/>
          <w:szCs w:val="24"/>
        </w:rPr>
        <w:t>ăsurile implementate î</w:t>
      </w:r>
      <w:r w:rsidRPr="00213755">
        <w:rPr>
          <w:rFonts w:cstheme="minorHAnsi"/>
          <w:bCs/>
          <w:iCs/>
          <w:sz w:val="24"/>
          <w:szCs w:val="24"/>
        </w:rPr>
        <w:t>n actuala perioad</w:t>
      </w:r>
      <w:r w:rsidR="009F6D72">
        <w:rPr>
          <w:rFonts w:cstheme="minorHAnsi"/>
          <w:bCs/>
          <w:iCs/>
          <w:sz w:val="24"/>
          <w:szCs w:val="24"/>
        </w:rPr>
        <w:t>ă</w:t>
      </w:r>
      <w:r w:rsidRPr="00213755">
        <w:rPr>
          <w:rFonts w:cstheme="minorHAnsi"/>
          <w:bCs/>
          <w:iCs/>
          <w:sz w:val="24"/>
          <w:szCs w:val="24"/>
        </w:rPr>
        <w:t xml:space="preserve"> de programare acoperă și criteriile stabilit</w:t>
      </w:r>
      <w:r w:rsidR="009F6D72">
        <w:rPr>
          <w:rFonts w:cstheme="minorHAnsi"/>
          <w:bCs/>
          <w:iCs/>
          <w:sz w:val="24"/>
          <w:szCs w:val="24"/>
        </w:rPr>
        <w:t>e</w:t>
      </w:r>
      <w:r w:rsidRPr="00213755">
        <w:rPr>
          <w:rFonts w:cstheme="minorHAnsi"/>
          <w:bCs/>
          <w:iCs/>
          <w:sz w:val="24"/>
          <w:szCs w:val="24"/>
        </w:rPr>
        <w:t xml:space="preserve"> pentru 2021-2027;</w:t>
      </w:r>
      <w:r w:rsidR="00CE50AA" w:rsidRPr="00CE50AA">
        <w:rPr>
          <w:rFonts w:cstheme="minorHAnsi"/>
          <w:bCs/>
          <w:iCs/>
          <w:sz w:val="24"/>
          <w:szCs w:val="24"/>
        </w:rPr>
        <w:t xml:space="preserve"> </w:t>
      </w:r>
    </w:p>
    <w:p w:rsidR="00213755" w:rsidRPr="00213755" w:rsidRDefault="00D0003C" w:rsidP="00C732A5">
      <w:pPr>
        <w:numPr>
          <w:ilvl w:val="0"/>
          <w:numId w:val="3"/>
        </w:numPr>
        <w:ind w:left="1276" w:hanging="283"/>
        <w:contextualSpacing/>
        <w:jc w:val="both"/>
        <w:rPr>
          <w:rFonts w:cstheme="minorHAnsi"/>
          <w:bCs/>
          <w:iCs/>
          <w:sz w:val="24"/>
          <w:szCs w:val="24"/>
        </w:rPr>
      </w:pPr>
      <w:r>
        <w:rPr>
          <w:rFonts w:cstheme="minorHAnsi"/>
          <w:bCs/>
          <w:iCs/>
          <w:sz w:val="24"/>
          <w:szCs w:val="24"/>
        </w:rPr>
        <w:t>pentru c</w:t>
      </w:r>
      <w:r w:rsidR="00213755" w:rsidRPr="00213755">
        <w:rPr>
          <w:rFonts w:cstheme="minorHAnsi"/>
          <w:bCs/>
          <w:iCs/>
          <w:sz w:val="24"/>
          <w:szCs w:val="24"/>
        </w:rPr>
        <w:t>ondiția orizontală privind ”Aplicarea și implementarea eficace a Cartei drepturilor fundamentale a UE”</w:t>
      </w:r>
      <w:r>
        <w:rPr>
          <w:rFonts w:cstheme="minorHAnsi"/>
          <w:bCs/>
          <w:iCs/>
          <w:sz w:val="24"/>
          <w:szCs w:val="24"/>
        </w:rPr>
        <w:t xml:space="preserve"> urmează să fie elaborat planul de acțiune având în vedere că mandatul de negociere al Consiliului pe acest aspect a fost aprobat în data de 5 iunie</w:t>
      </w:r>
      <w:r w:rsidR="00213755" w:rsidRPr="00213755">
        <w:rPr>
          <w:rFonts w:cstheme="minorHAnsi"/>
          <w:bCs/>
          <w:iCs/>
          <w:sz w:val="24"/>
          <w:szCs w:val="24"/>
        </w:rPr>
        <w:t>.</w:t>
      </w:r>
    </w:p>
    <w:p w:rsidR="00213755" w:rsidRPr="00213755" w:rsidRDefault="00C732A5" w:rsidP="00213755">
      <w:pPr>
        <w:numPr>
          <w:ilvl w:val="0"/>
          <w:numId w:val="1"/>
        </w:numPr>
        <w:tabs>
          <w:tab w:val="left" w:pos="5103"/>
        </w:tabs>
        <w:spacing w:before="120" w:after="120" w:line="240" w:lineRule="auto"/>
        <w:jc w:val="both"/>
        <w:rPr>
          <w:bCs/>
          <w:iCs/>
          <w:sz w:val="24"/>
          <w:szCs w:val="24"/>
        </w:rPr>
      </w:pPr>
      <w:r>
        <w:rPr>
          <w:bCs/>
          <w:iCs/>
          <w:sz w:val="24"/>
          <w:szCs w:val="24"/>
        </w:rPr>
        <w:t>În ședința din</w:t>
      </w:r>
      <w:r w:rsidR="00213755" w:rsidRPr="00213755">
        <w:rPr>
          <w:bCs/>
          <w:iCs/>
          <w:sz w:val="24"/>
          <w:szCs w:val="24"/>
        </w:rPr>
        <w:t xml:space="preserve"> </w:t>
      </w:r>
      <w:r w:rsidR="00213755" w:rsidRPr="00213755">
        <w:rPr>
          <w:b/>
          <w:bCs/>
          <w:iCs/>
          <w:sz w:val="24"/>
          <w:szCs w:val="24"/>
        </w:rPr>
        <w:t>23 mai 2019</w:t>
      </w:r>
      <w:r w:rsidR="00213755" w:rsidRPr="00213755">
        <w:rPr>
          <w:bCs/>
          <w:iCs/>
          <w:sz w:val="24"/>
          <w:szCs w:val="24"/>
        </w:rPr>
        <w:t xml:space="preserve">, Guvernul a aprobat </w:t>
      </w:r>
      <w:r w:rsidR="00213755" w:rsidRPr="00213755">
        <w:rPr>
          <w:b/>
          <w:bCs/>
          <w:iCs/>
          <w:sz w:val="24"/>
          <w:szCs w:val="24"/>
        </w:rPr>
        <w:t>MEMORANDUMUL cu tema ”</w:t>
      </w:r>
      <w:r w:rsidR="00213755" w:rsidRPr="00213755">
        <w:rPr>
          <w:b/>
          <w:bCs/>
          <w:i/>
          <w:iCs/>
          <w:sz w:val="24"/>
          <w:szCs w:val="24"/>
        </w:rPr>
        <w:t>Inițierea negocierilor cu Comisia Europeană privind documentele naționale   de programare a finanțărilor din fonduri europene 2021-2027</w:t>
      </w:r>
      <w:r w:rsidR="00213755" w:rsidRPr="00213755">
        <w:rPr>
          <w:b/>
          <w:bCs/>
          <w:iCs/>
          <w:sz w:val="24"/>
          <w:szCs w:val="24"/>
        </w:rPr>
        <w:t>”.</w:t>
      </w:r>
      <w:r w:rsidR="00213755" w:rsidRPr="00213755">
        <w:rPr>
          <w:bCs/>
          <w:iCs/>
          <w:sz w:val="24"/>
          <w:szCs w:val="24"/>
        </w:rPr>
        <w:t xml:space="preserve">  Prin acest memorandum s-a stabilit că, în vederea demarării negocierilor informale cu Comisia Europeană, ministerele vor transmite MFE, în perioada imediat următoare, următoarele elemente:</w:t>
      </w:r>
    </w:p>
    <w:p w:rsidR="00213755" w:rsidRPr="00213755" w:rsidRDefault="00213755" w:rsidP="0099453A">
      <w:pPr>
        <w:numPr>
          <w:ilvl w:val="0"/>
          <w:numId w:val="3"/>
        </w:numPr>
        <w:ind w:left="1418" w:hanging="284"/>
        <w:contextualSpacing/>
        <w:jc w:val="both"/>
        <w:rPr>
          <w:rFonts w:cstheme="minorHAnsi"/>
          <w:bCs/>
          <w:iCs/>
          <w:sz w:val="24"/>
          <w:szCs w:val="24"/>
        </w:rPr>
      </w:pPr>
      <w:r w:rsidRPr="00213755">
        <w:rPr>
          <w:rFonts w:cstheme="minorHAnsi"/>
          <w:bCs/>
          <w:iCs/>
          <w:sz w:val="24"/>
          <w:szCs w:val="24"/>
        </w:rPr>
        <w:t>informații detaliate privind stadiul implementării planurilor de acțiuni privind îndeplinirea condițiilor favorizante, menționând, după caz, dificultățile/riscurile de implementare,</w:t>
      </w:r>
    </w:p>
    <w:p w:rsidR="00213755" w:rsidRPr="00213755" w:rsidRDefault="00213755" w:rsidP="0099453A">
      <w:pPr>
        <w:numPr>
          <w:ilvl w:val="0"/>
          <w:numId w:val="3"/>
        </w:numPr>
        <w:ind w:left="1418" w:hanging="284"/>
        <w:contextualSpacing/>
        <w:jc w:val="both"/>
        <w:rPr>
          <w:rFonts w:cstheme="minorHAnsi"/>
          <w:bCs/>
          <w:iCs/>
          <w:sz w:val="24"/>
          <w:szCs w:val="24"/>
        </w:rPr>
      </w:pPr>
      <w:r w:rsidRPr="00213755">
        <w:rPr>
          <w:rFonts w:cstheme="minorHAnsi"/>
          <w:bCs/>
          <w:iCs/>
          <w:sz w:val="24"/>
          <w:szCs w:val="24"/>
        </w:rPr>
        <w:t>auto-evaluări naționale, în cazul autorităților care consideră îndeplinite criteriile aferente condițiilor favorizante aflate în responsabilitate;</w:t>
      </w:r>
    </w:p>
    <w:p w:rsidR="00213755" w:rsidRPr="00213755" w:rsidRDefault="00213755" w:rsidP="0099453A">
      <w:pPr>
        <w:numPr>
          <w:ilvl w:val="0"/>
          <w:numId w:val="3"/>
        </w:numPr>
        <w:ind w:left="1418" w:hanging="284"/>
        <w:contextualSpacing/>
        <w:jc w:val="both"/>
        <w:rPr>
          <w:rFonts w:cstheme="minorHAnsi"/>
          <w:bCs/>
          <w:iCs/>
          <w:sz w:val="24"/>
          <w:szCs w:val="24"/>
        </w:rPr>
      </w:pPr>
      <w:r w:rsidRPr="00213755">
        <w:rPr>
          <w:rFonts w:cstheme="minorHAnsi"/>
          <w:bCs/>
          <w:iCs/>
          <w:sz w:val="24"/>
          <w:szCs w:val="24"/>
        </w:rPr>
        <w:t xml:space="preserve">principalele obiective strategice sectoriale și </w:t>
      </w:r>
      <w:proofErr w:type="spellStart"/>
      <w:r w:rsidRPr="00213755">
        <w:rPr>
          <w:rFonts w:cstheme="minorHAnsi"/>
          <w:bCs/>
          <w:iCs/>
          <w:sz w:val="24"/>
          <w:szCs w:val="24"/>
        </w:rPr>
        <w:t>prioritizarea</w:t>
      </w:r>
      <w:proofErr w:type="spellEnd"/>
      <w:r w:rsidRPr="00213755">
        <w:rPr>
          <w:rFonts w:cstheme="minorHAnsi"/>
          <w:bCs/>
          <w:iCs/>
          <w:sz w:val="24"/>
          <w:szCs w:val="24"/>
        </w:rPr>
        <w:t xml:space="preserve"> potențialelor domenii de intervenție finanțabile din fonduri europene 2021-2027</w:t>
      </w:r>
    </w:p>
    <w:p w:rsidR="00213755" w:rsidRPr="00213755" w:rsidRDefault="00C732A5" w:rsidP="00213755">
      <w:pPr>
        <w:numPr>
          <w:ilvl w:val="0"/>
          <w:numId w:val="1"/>
        </w:numPr>
        <w:tabs>
          <w:tab w:val="left" w:pos="5103"/>
        </w:tabs>
        <w:spacing w:before="120" w:after="120" w:line="240" w:lineRule="auto"/>
        <w:jc w:val="both"/>
        <w:rPr>
          <w:bCs/>
          <w:iCs/>
          <w:sz w:val="24"/>
          <w:szCs w:val="24"/>
        </w:rPr>
      </w:pPr>
      <w:r>
        <w:rPr>
          <w:bCs/>
          <w:iCs/>
          <w:sz w:val="24"/>
          <w:szCs w:val="24"/>
        </w:rPr>
        <w:t>P</w:t>
      </w:r>
      <w:r w:rsidR="00213755" w:rsidRPr="00213755">
        <w:rPr>
          <w:bCs/>
          <w:iCs/>
          <w:sz w:val="24"/>
          <w:szCs w:val="24"/>
        </w:rPr>
        <w:t>regătirea documentelor de programare post 2020 (Acord de Parteneriat și Programe Operaționale)</w:t>
      </w:r>
      <w:r>
        <w:rPr>
          <w:bCs/>
          <w:iCs/>
          <w:sz w:val="24"/>
          <w:szCs w:val="24"/>
        </w:rPr>
        <w:t xml:space="preserve"> </w:t>
      </w:r>
      <w:r w:rsidR="00213755" w:rsidRPr="00213755">
        <w:rPr>
          <w:bCs/>
          <w:iCs/>
          <w:sz w:val="24"/>
          <w:szCs w:val="24"/>
        </w:rPr>
        <w:t>va fi susținut</w:t>
      </w:r>
      <w:r>
        <w:rPr>
          <w:bCs/>
          <w:iCs/>
          <w:sz w:val="24"/>
          <w:szCs w:val="24"/>
        </w:rPr>
        <w:t>ă</w:t>
      </w:r>
      <w:r w:rsidR="00213755" w:rsidRPr="00213755">
        <w:rPr>
          <w:bCs/>
          <w:iCs/>
          <w:sz w:val="24"/>
          <w:szCs w:val="24"/>
        </w:rPr>
        <w:t xml:space="preserve"> prin </w:t>
      </w:r>
      <w:r w:rsidR="00213755" w:rsidRPr="00213755">
        <w:rPr>
          <w:b/>
          <w:bCs/>
          <w:iCs/>
          <w:sz w:val="24"/>
          <w:szCs w:val="24"/>
        </w:rPr>
        <w:t xml:space="preserve">două proiecte de asistență tehnică </w:t>
      </w:r>
      <w:r w:rsidR="00213755" w:rsidRPr="00213755">
        <w:rPr>
          <w:bCs/>
          <w:iCs/>
          <w:sz w:val="24"/>
          <w:szCs w:val="24"/>
        </w:rPr>
        <w:t>(finanțate PO AT) destinate:</w:t>
      </w:r>
    </w:p>
    <w:p w:rsidR="00213755" w:rsidRPr="00213755" w:rsidRDefault="00213755" w:rsidP="0099453A">
      <w:pPr>
        <w:numPr>
          <w:ilvl w:val="0"/>
          <w:numId w:val="3"/>
        </w:numPr>
        <w:ind w:left="1418" w:hanging="284"/>
        <w:contextualSpacing/>
        <w:jc w:val="both"/>
        <w:rPr>
          <w:rFonts w:cstheme="minorHAnsi"/>
          <w:bCs/>
          <w:iCs/>
          <w:sz w:val="24"/>
          <w:szCs w:val="24"/>
        </w:rPr>
      </w:pPr>
      <w:r w:rsidRPr="00213755">
        <w:rPr>
          <w:rFonts w:cstheme="minorHAnsi"/>
          <w:bCs/>
          <w:iCs/>
          <w:sz w:val="24"/>
          <w:szCs w:val="24"/>
        </w:rPr>
        <w:t>stabilirii Orientărilor Strategice privind investițiile naționale sprijinite prin fonduri europene și elaborării  documentelor de programare;</w:t>
      </w:r>
    </w:p>
    <w:p w:rsidR="00213755" w:rsidRDefault="00213755" w:rsidP="0099453A">
      <w:pPr>
        <w:numPr>
          <w:ilvl w:val="0"/>
          <w:numId w:val="3"/>
        </w:numPr>
        <w:ind w:left="1418" w:hanging="284"/>
        <w:contextualSpacing/>
        <w:jc w:val="both"/>
        <w:rPr>
          <w:rFonts w:cstheme="minorHAnsi"/>
          <w:bCs/>
          <w:iCs/>
          <w:sz w:val="24"/>
          <w:szCs w:val="24"/>
        </w:rPr>
      </w:pPr>
      <w:r w:rsidRPr="00213755">
        <w:rPr>
          <w:rFonts w:cstheme="minorHAnsi"/>
          <w:bCs/>
          <w:iCs/>
          <w:sz w:val="24"/>
          <w:szCs w:val="24"/>
        </w:rPr>
        <w:t>aplicării principiului parteneriatului, inclusiv în ceea ce privește organizarea cadrului de dezbatere și consultare privind viitoarele investiții din fonduri europene</w:t>
      </w:r>
    </w:p>
    <w:p w:rsidR="00213755" w:rsidRPr="00213755" w:rsidRDefault="00213755" w:rsidP="00213755">
      <w:pPr>
        <w:tabs>
          <w:tab w:val="left" w:pos="5103"/>
        </w:tabs>
        <w:spacing w:before="120" w:after="120" w:line="240" w:lineRule="auto"/>
        <w:jc w:val="both"/>
        <w:rPr>
          <w:bCs/>
          <w:iCs/>
          <w:sz w:val="24"/>
          <w:szCs w:val="24"/>
        </w:rPr>
      </w:pPr>
    </w:p>
    <w:p w:rsidR="0060790E" w:rsidRPr="00213755" w:rsidRDefault="0060790E" w:rsidP="0060790E">
      <w:pPr>
        <w:pStyle w:val="ListParagraph"/>
        <w:numPr>
          <w:ilvl w:val="0"/>
          <w:numId w:val="6"/>
        </w:numPr>
        <w:shd w:val="clear" w:color="auto" w:fill="C6D9F1" w:themeFill="text2" w:themeFillTint="33"/>
        <w:jc w:val="both"/>
        <w:rPr>
          <w:b/>
          <w:sz w:val="24"/>
          <w:szCs w:val="24"/>
        </w:rPr>
      </w:pPr>
      <w:r w:rsidRPr="00213755">
        <w:rPr>
          <w:b/>
          <w:sz w:val="24"/>
          <w:szCs w:val="24"/>
        </w:rPr>
        <w:t>Negocieri informale cu Comisia Europeană privind programarea 2021-2027</w:t>
      </w:r>
    </w:p>
    <w:p w:rsidR="00A90DF3" w:rsidRPr="00C4323A" w:rsidRDefault="00A90DF3" w:rsidP="0060790E">
      <w:pPr>
        <w:numPr>
          <w:ilvl w:val="0"/>
          <w:numId w:val="1"/>
        </w:numPr>
        <w:tabs>
          <w:tab w:val="left" w:pos="5103"/>
        </w:tabs>
        <w:spacing w:before="120" w:after="120" w:line="240" w:lineRule="auto"/>
        <w:jc w:val="both"/>
        <w:rPr>
          <w:rFonts w:eastAsia="Calibri" w:cs="Tahoma"/>
          <w:b/>
          <w:bCs/>
          <w:color w:val="000000"/>
          <w:sz w:val="24"/>
          <w:szCs w:val="24"/>
          <w:lang w:eastAsia="ro-RO"/>
        </w:rPr>
      </w:pPr>
      <w:r w:rsidRPr="00C4323A">
        <w:rPr>
          <w:rFonts w:eastAsia="Calibri" w:cs="Tahoma"/>
          <w:b/>
          <w:bCs/>
          <w:color w:val="000000"/>
          <w:sz w:val="24"/>
          <w:szCs w:val="24"/>
          <w:lang w:eastAsia="ro-RO"/>
        </w:rPr>
        <w:t xml:space="preserve">În </w:t>
      </w:r>
      <w:r w:rsidRPr="00C4323A">
        <w:rPr>
          <w:b/>
          <w:bCs/>
          <w:iCs/>
          <w:sz w:val="24"/>
          <w:szCs w:val="24"/>
        </w:rPr>
        <w:t>luna</w:t>
      </w:r>
      <w:r w:rsidRPr="00C4323A">
        <w:rPr>
          <w:rFonts w:eastAsia="Calibri" w:cs="Tahoma"/>
          <w:b/>
          <w:bCs/>
          <w:color w:val="000000"/>
          <w:sz w:val="24"/>
          <w:szCs w:val="24"/>
          <w:lang w:eastAsia="ro-RO"/>
        </w:rPr>
        <w:t xml:space="preserve"> mai au debutat negocierile dintre România și Comisia Europeană privind programarea și implementarea fondurilor europene aferente Politicii de Coeziune 2021-2027</w:t>
      </w:r>
      <w:r w:rsidRPr="00213755">
        <w:rPr>
          <w:rFonts w:eastAsia="Calibri" w:cs="Tahoma"/>
          <w:bCs/>
          <w:color w:val="000000"/>
          <w:sz w:val="24"/>
          <w:szCs w:val="24"/>
          <w:lang w:eastAsia="ro-RO"/>
        </w:rPr>
        <w:t xml:space="preserve">. </w:t>
      </w:r>
      <w:r w:rsidR="00843CB0" w:rsidRPr="00C4323A">
        <w:rPr>
          <w:rFonts w:eastAsia="Calibri" w:cs="Tahoma"/>
          <w:b/>
          <w:bCs/>
          <w:color w:val="000000"/>
          <w:sz w:val="24"/>
          <w:szCs w:val="24"/>
          <w:lang w:eastAsia="ro-RO"/>
        </w:rPr>
        <w:t>Acestea au pornit de la o</w:t>
      </w:r>
      <w:r w:rsidRPr="00C4323A">
        <w:rPr>
          <w:rFonts w:eastAsia="Calibri" w:cs="Tahoma"/>
          <w:b/>
          <w:bCs/>
          <w:color w:val="000000"/>
          <w:sz w:val="24"/>
          <w:szCs w:val="24"/>
          <w:lang w:eastAsia="ro-RO"/>
        </w:rPr>
        <w:t>rientările Comisiei Europene privind investițiile din aceste fonduri în cazul României incluse în Anexa D a</w:t>
      </w:r>
      <w:r w:rsidRPr="00C4323A">
        <w:rPr>
          <w:rFonts w:eastAsia="Calibri" w:cs="Tahoma"/>
          <w:b/>
          <w:bCs/>
          <w:i/>
          <w:color w:val="000000"/>
          <w:sz w:val="24"/>
          <w:szCs w:val="24"/>
          <w:lang w:eastAsia="ro-RO"/>
        </w:rPr>
        <w:t xml:space="preserve"> </w:t>
      </w:r>
      <w:r w:rsidRPr="00C4323A">
        <w:rPr>
          <w:rFonts w:eastAsia="Calibri" w:cs="Tahoma"/>
          <w:b/>
          <w:bCs/>
          <w:color w:val="000000"/>
          <w:sz w:val="24"/>
          <w:szCs w:val="24"/>
          <w:lang w:eastAsia="ro-RO"/>
        </w:rPr>
        <w:t xml:space="preserve">Raportului de țară 2019. </w:t>
      </w:r>
    </w:p>
    <w:p w:rsidR="00A90DF3" w:rsidRPr="00C732A5" w:rsidRDefault="00A90DF3" w:rsidP="00C732A5">
      <w:pPr>
        <w:numPr>
          <w:ilvl w:val="0"/>
          <w:numId w:val="1"/>
        </w:numPr>
        <w:tabs>
          <w:tab w:val="left" w:pos="5103"/>
        </w:tabs>
        <w:spacing w:before="120" w:after="60" w:line="240" w:lineRule="auto"/>
        <w:ind w:left="714" w:hanging="357"/>
        <w:jc w:val="both"/>
        <w:rPr>
          <w:rFonts w:eastAsia="Calibri" w:cs="Tahoma"/>
          <w:b/>
          <w:bCs/>
          <w:color w:val="000000"/>
          <w:sz w:val="24"/>
          <w:szCs w:val="24"/>
          <w:lang w:eastAsia="ro-RO"/>
        </w:rPr>
      </w:pPr>
      <w:r w:rsidRPr="00C732A5">
        <w:rPr>
          <w:rFonts w:eastAsia="Calibri" w:cs="Tahoma"/>
          <w:b/>
          <w:bCs/>
          <w:color w:val="000000"/>
          <w:sz w:val="24"/>
          <w:szCs w:val="24"/>
          <w:lang w:eastAsia="ro-RO"/>
        </w:rPr>
        <w:t>Principalele concluzii ale reuniunii au fost:</w:t>
      </w:r>
    </w:p>
    <w:p w:rsidR="00A90DF3" w:rsidRPr="00213755" w:rsidRDefault="00A90DF3" w:rsidP="00843CB0">
      <w:pPr>
        <w:pStyle w:val="ListParagraph"/>
        <w:numPr>
          <w:ilvl w:val="0"/>
          <w:numId w:val="5"/>
        </w:numPr>
        <w:pBdr>
          <w:top w:val="nil"/>
          <w:left w:val="nil"/>
          <w:bottom w:val="nil"/>
          <w:right w:val="nil"/>
          <w:between w:val="nil"/>
        </w:pBdr>
        <w:tabs>
          <w:tab w:val="left" w:pos="10915"/>
        </w:tabs>
        <w:spacing w:after="60" w:line="240" w:lineRule="auto"/>
        <w:ind w:left="992" w:hanging="284"/>
        <w:jc w:val="both"/>
        <w:rPr>
          <w:rFonts w:eastAsia="Calibri" w:cs="Tahoma"/>
          <w:bCs/>
          <w:color w:val="000000"/>
          <w:sz w:val="24"/>
          <w:szCs w:val="24"/>
          <w:lang w:eastAsia="ro-RO"/>
        </w:rPr>
      </w:pPr>
      <w:r w:rsidRPr="00213755">
        <w:rPr>
          <w:rFonts w:eastAsia="Calibri" w:cs="Tahoma"/>
          <w:bCs/>
          <w:color w:val="000000"/>
          <w:sz w:val="24"/>
          <w:szCs w:val="24"/>
          <w:lang w:eastAsia="ro-RO"/>
        </w:rPr>
        <w:t>raportat la propunerile RO de completare a Anexei D cu noi priorități/nevoi de investiții identificate la nivel național:</w:t>
      </w:r>
    </w:p>
    <w:p w:rsidR="00A90DF3" w:rsidRDefault="00A90DF3" w:rsidP="00843CB0">
      <w:pPr>
        <w:pStyle w:val="ListParagraph"/>
        <w:numPr>
          <w:ilvl w:val="0"/>
          <w:numId w:val="4"/>
        </w:numPr>
        <w:pBdr>
          <w:top w:val="nil"/>
          <w:left w:val="nil"/>
          <w:bottom w:val="nil"/>
          <w:right w:val="nil"/>
          <w:between w:val="nil"/>
        </w:pBdr>
        <w:tabs>
          <w:tab w:val="left" w:pos="10915"/>
        </w:tabs>
        <w:spacing w:after="60" w:line="240" w:lineRule="auto"/>
        <w:ind w:left="1286"/>
        <w:jc w:val="both"/>
        <w:rPr>
          <w:rFonts w:eastAsia="Calibri" w:cs="Tahoma"/>
          <w:bCs/>
          <w:color w:val="000000"/>
          <w:sz w:val="24"/>
          <w:szCs w:val="24"/>
          <w:lang w:eastAsia="ro-RO"/>
        </w:rPr>
      </w:pPr>
      <w:r w:rsidRPr="00213755">
        <w:rPr>
          <w:rFonts w:eastAsia="Calibri" w:cs="Tahoma"/>
          <w:bCs/>
          <w:i/>
          <w:color w:val="000000"/>
          <w:sz w:val="24"/>
          <w:szCs w:val="24"/>
          <w:lang w:eastAsia="ro-RO"/>
        </w:rPr>
        <w:t>COM a arătat deschidere pentru majoritatea acestora</w:t>
      </w:r>
      <w:r w:rsidRPr="00213755">
        <w:rPr>
          <w:rFonts w:eastAsia="Calibri" w:cs="Tahoma"/>
          <w:bCs/>
          <w:color w:val="000000"/>
          <w:sz w:val="24"/>
          <w:szCs w:val="24"/>
          <w:lang w:eastAsia="ro-RO"/>
        </w:rPr>
        <w:t>, exprimând numai câteva reticențe privind finanțarea unor domenii pentru care capacitatea de implementare a autorităților române s-a dovedit a fi scăzută sau care sunt considerate că au fost suficient finanțate în precedentele exerciții financiare (ex. deșeuri, sistemul de management al riscurilor, alime</w:t>
      </w:r>
      <w:r w:rsidR="00C62116">
        <w:rPr>
          <w:rFonts w:eastAsia="Calibri" w:cs="Tahoma"/>
          <w:bCs/>
          <w:color w:val="000000"/>
          <w:sz w:val="24"/>
          <w:szCs w:val="24"/>
          <w:lang w:eastAsia="ro-RO"/>
        </w:rPr>
        <w:t>ntarea cu apă)</w:t>
      </w:r>
    </w:p>
    <w:p w:rsidR="00A90DF3" w:rsidRPr="00213755" w:rsidRDefault="00A90DF3" w:rsidP="00843CB0">
      <w:pPr>
        <w:pStyle w:val="ListParagraph"/>
        <w:numPr>
          <w:ilvl w:val="0"/>
          <w:numId w:val="4"/>
        </w:numPr>
        <w:pBdr>
          <w:top w:val="nil"/>
          <w:left w:val="nil"/>
          <w:bottom w:val="nil"/>
          <w:right w:val="nil"/>
          <w:between w:val="nil"/>
        </w:pBdr>
        <w:tabs>
          <w:tab w:val="left" w:pos="10915"/>
        </w:tabs>
        <w:spacing w:after="60" w:line="240" w:lineRule="auto"/>
        <w:ind w:left="1286"/>
        <w:jc w:val="both"/>
        <w:rPr>
          <w:rFonts w:eastAsia="Calibri" w:cs="Tahoma"/>
          <w:bCs/>
          <w:color w:val="000000"/>
          <w:sz w:val="24"/>
          <w:szCs w:val="24"/>
          <w:lang w:eastAsia="ro-RO"/>
        </w:rPr>
      </w:pPr>
      <w:r w:rsidRPr="00213755">
        <w:rPr>
          <w:rFonts w:eastAsia="Calibri" w:cs="Tahoma"/>
          <w:bCs/>
          <w:color w:val="000000"/>
          <w:sz w:val="24"/>
          <w:szCs w:val="24"/>
          <w:lang w:eastAsia="ro-RO"/>
        </w:rPr>
        <w:t xml:space="preserve">propunerile RO privind investițiile dedicate eficienței energetice în IMM-uri și infrastructura aeroportuară vor necesita discuții mai detaliate, COM având rețineri în a finanța astfel de măsuri, </w:t>
      </w:r>
    </w:p>
    <w:p w:rsidR="00A90DF3" w:rsidRPr="00213755" w:rsidRDefault="00A90DF3" w:rsidP="00843CB0">
      <w:pPr>
        <w:pStyle w:val="ListParagraph"/>
        <w:numPr>
          <w:ilvl w:val="0"/>
          <w:numId w:val="4"/>
        </w:numPr>
        <w:pBdr>
          <w:top w:val="nil"/>
          <w:left w:val="nil"/>
          <w:bottom w:val="nil"/>
          <w:right w:val="nil"/>
          <w:between w:val="nil"/>
        </w:pBdr>
        <w:tabs>
          <w:tab w:val="left" w:pos="10915"/>
        </w:tabs>
        <w:spacing w:after="60" w:line="240" w:lineRule="auto"/>
        <w:ind w:left="1286"/>
        <w:jc w:val="both"/>
        <w:rPr>
          <w:rFonts w:eastAsia="Calibri" w:cs="Tahoma"/>
          <w:bCs/>
          <w:color w:val="000000"/>
          <w:sz w:val="24"/>
          <w:szCs w:val="24"/>
          <w:lang w:eastAsia="ro-RO"/>
        </w:rPr>
      </w:pPr>
      <w:r w:rsidRPr="00213755">
        <w:rPr>
          <w:rFonts w:eastAsia="Calibri" w:cs="Tahoma"/>
          <w:bCs/>
          <w:color w:val="000000"/>
          <w:sz w:val="24"/>
          <w:szCs w:val="24"/>
          <w:lang w:eastAsia="ro-RO"/>
        </w:rPr>
        <w:lastRenderedPageBreak/>
        <w:t>stabilirea priorităților de investiții și a categoriilor de intervenții trebuie să fie realist fundamentată de documentele strategice sectoriale,</w:t>
      </w:r>
    </w:p>
    <w:p w:rsidR="00A90DF3" w:rsidRPr="00213755" w:rsidRDefault="00A90DF3" w:rsidP="00843CB0">
      <w:pPr>
        <w:pStyle w:val="ListParagraph"/>
        <w:numPr>
          <w:ilvl w:val="0"/>
          <w:numId w:val="5"/>
        </w:numPr>
        <w:pBdr>
          <w:top w:val="nil"/>
          <w:left w:val="nil"/>
          <w:bottom w:val="nil"/>
          <w:right w:val="nil"/>
          <w:between w:val="nil"/>
        </w:pBdr>
        <w:tabs>
          <w:tab w:val="left" w:pos="10915"/>
        </w:tabs>
        <w:spacing w:after="60" w:line="240" w:lineRule="auto"/>
        <w:ind w:left="992" w:hanging="284"/>
        <w:jc w:val="both"/>
        <w:rPr>
          <w:rFonts w:eastAsia="Calibri" w:cs="Tahoma"/>
          <w:bCs/>
          <w:color w:val="000000"/>
          <w:sz w:val="24"/>
          <w:szCs w:val="24"/>
          <w:lang w:eastAsia="ro-RO"/>
        </w:rPr>
      </w:pPr>
      <w:r w:rsidRPr="00213755">
        <w:rPr>
          <w:rFonts w:eastAsia="Calibri" w:cs="Tahoma"/>
          <w:bCs/>
          <w:color w:val="000000"/>
          <w:sz w:val="24"/>
          <w:szCs w:val="24"/>
          <w:lang w:eastAsia="ro-RO"/>
        </w:rPr>
        <w:t>raportat la îndeplinirea condițiilor favorizante:</w:t>
      </w:r>
    </w:p>
    <w:p w:rsidR="00A90DF3" w:rsidRPr="00213755" w:rsidRDefault="00A90DF3" w:rsidP="00843CB0">
      <w:pPr>
        <w:pStyle w:val="ListParagraph"/>
        <w:numPr>
          <w:ilvl w:val="0"/>
          <w:numId w:val="4"/>
        </w:numPr>
        <w:pBdr>
          <w:top w:val="nil"/>
          <w:left w:val="nil"/>
          <w:bottom w:val="nil"/>
          <w:right w:val="nil"/>
          <w:between w:val="nil"/>
        </w:pBdr>
        <w:tabs>
          <w:tab w:val="left" w:pos="10915"/>
        </w:tabs>
        <w:spacing w:after="60" w:line="240" w:lineRule="auto"/>
        <w:ind w:left="1286"/>
        <w:jc w:val="both"/>
        <w:rPr>
          <w:rFonts w:eastAsia="Calibri" w:cs="Tahoma"/>
          <w:bCs/>
          <w:color w:val="000000"/>
          <w:sz w:val="24"/>
          <w:szCs w:val="24"/>
          <w:lang w:eastAsia="ro-RO"/>
        </w:rPr>
      </w:pPr>
      <w:r w:rsidRPr="00213755">
        <w:rPr>
          <w:rFonts w:eastAsia="Calibri" w:cs="Tahoma"/>
          <w:bCs/>
          <w:color w:val="000000"/>
          <w:sz w:val="24"/>
          <w:szCs w:val="24"/>
          <w:lang w:eastAsia="ro-RO"/>
        </w:rPr>
        <w:t xml:space="preserve">Comisia Europeană </w:t>
      </w:r>
      <w:r w:rsidR="00C732A5">
        <w:rPr>
          <w:rFonts w:eastAsia="Calibri" w:cs="Tahoma"/>
          <w:bCs/>
          <w:color w:val="000000"/>
          <w:sz w:val="24"/>
          <w:szCs w:val="24"/>
          <w:lang w:eastAsia="ro-RO"/>
        </w:rPr>
        <w:t xml:space="preserve">a </w:t>
      </w:r>
      <w:r w:rsidRPr="00213755">
        <w:rPr>
          <w:rFonts w:eastAsia="Calibri" w:cs="Tahoma"/>
          <w:bCs/>
          <w:color w:val="000000"/>
          <w:sz w:val="24"/>
          <w:szCs w:val="24"/>
          <w:lang w:eastAsia="ro-RO"/>
        </w:rPr>
        <w:t>aprecia</w:t>
      </w:r>
      <w:r w:rsidR="00C732A5">
        <w:rPr>
          <w:rFonts w:eastAsia="Calibri" w:cs="Tahoma"/>
          <w:bCs/>
          <w:color w:val="000000"/>
          <w:sz w:val="24"/>
          <w:szCs w:val="24"/>
          <w:lang w:eastAsia="ro-RO"/>
        </w:rPr>
        <w:t>t</w:t>
      </w:r>
      <w:r w:rsidRPr="00213755">
        <w:rPr>
          <w:rFonts w:eastAsia="Calibri" w:cs="Tahoma"/>
          <w:bCs/>
          <w:color w:val="000000"/>
          <w:sz w:val="24"/>
          <w:szCs w:val="24"/>
          <w:lang w:eastAsia="ro-RO"/>
        </w:rPr>
        <w:t xml:space="preserve"> demersurile întreprinse de autoritățile române în ceea ce privește identificarea actorilor principali, asumarea planurilor de acțiune și utilizarea asistenței tehnice, </w:t>
      </w:r>
    </w:p>
    <w:p w:rsidR="00A90DF3" w:rsidRPr="00213755" w:rsidRDefault="00A90DF3" w:rsidP="00843CB0">
      <w:pPr>
        <w:pStyle w:val="ListParagraph"/>
        <w:numPr>
          <w:ilvl w:val="0"/>
          <w:numId w:val="4"/>
        </w:numPr>
        <w:pBdr>
          <w:top w:val="nil"/>
          <w:left w:val="nil"/>
          <w:bottom w:val="nil"/>
          <w:right w:val="nil"/>
          <w:between w:val="nil"/>
        </w:pBdr>
        <w:tabs>
          <w:tab w:val="left" w:pos="10915"/>
        </w:tabs>
        <w:spacing w:after="60" w:line="240" w:lineRule="auto"/>
        <w:ind w:left="1286"/>
        <w:jc w:val="both"/>
        <w:rPr>
          <w:rFonts w:eastAsia="Calibri" w:cs="Tahoma"/>
          <w:bCs/>
          <w:color w:val="000000"/>
          <w:sz w:val="24"/>
          <w:szCs w:val="24"/>
          <w:lang w:eastAsia="ro-RO"/>
        </w:rPr>
      </w:pPr>
      <w:r w:rsidRPr="00213755">
        <w:rPr>
          <w:rFonts w:eastAsia="Calibri" w:cs="Tahoma"/>
          <w:bCs/>
          <w:color w:val="000000"/>
          <w:sz w:val="24"/>
          <w:szCs w:val="24"/>
          <w:lang w:eastAsia="ro-RO"/>
        </w:rPr>
        <w:t>măsurile propuse/implementate pentru îndeplinirea fiecărui criteriu aferent vor fi atent analizate la nivelul serviciilor de specialitate ale Comisiei Europene, inclusiv cu autoritățile publice responsabile, fiind esențial ca autoevaluările naționale să ofere suficiente informații pentru a argumenta îndeplinirea criteriilor,</w:t>
      </w:r>
    </w:p>
    <w:p w:rsidR="00A90DF3" w:rsidRPr="00213755" w:rsidRDefault="00A90DF3" w:rsidP="00843CB0">
      <w:pPr>
        <w:pStyle w:val="ListParagraph"/>
        <w:numPr>
          <w:ilvl w:val="0"/>
          <w:numId w:val="4"/>
        </w:numPr>
        <w:pBdr>
          <w:top w:val="nil"/>
          <w:left w:val="nil"/>
          <w:bottom w:val="nil"/>
          <w:right w:val="nil"/>
          <w:between w:val="nil"/>
        </w:pBdr>
        <w:tabs>
          <w:tab w:val="left" w:pos="10915"/>
        </w:tabs>
        <w:spacing w:after="60" w:line="240" w:lineRule="auto"/>
        <w:ind w:left="1286"/>
        <w:jc w:val="both"/>
        <w:rPr>
          <w:rFonts w:eastAsia="Calibri" w:cs="Tahoma"/>
          <w:bCs/>
          <w:color w:val="000000"/>
          <w:sz w:val="24"/>
          <w:szCs w:val="24"/>
          <w:lang w:eastAsia="ro-RO"/>
        </w:rPr>
      </w:pPr>
      <w:r w:rsidRPr="00213755">
        <w:rPr>
          <w:rFonts w:eastAsia="Calibri" w:cs="Tahoma"/>
          <w:bCs/>
          <w:color w:val="000000"/>
          <w:sz w:val="24"/>
          <w:szCs w:val="24"/>
          <w:lang w:eastAsia="ro-RO"/>
        </w:rPr>
        <w:t>un tabel de monitorizare privind progresele înregistrate de autoritățile responsabile va fi transmis periodic către COM.</w:t>
      </w:r>
    </w:p>
    <w:p w:rsidR="00A90DF3" w:rsidRPr="00213755" w:rsidRDefault="00A90DF3" w:rsidP="00A90DF3">
      <w:pPr>
        <w:pBdr>
          <w:top w:val="nil"/>
          <w:left w:val="nil"/>
          <w:bottom w:val="nil"/>
          <w:right w:val="nil"/>
          <w:between w:val="nil"/>
        </w:pBdr>
        <w:tabs>
          <w:tab w:val="left" w:pos="10915"/>
        </w:tabs>
        <w:spacing w:after="60" w:line="240" w:lineRule="auto"/>
        <w:jc w:val="both"/>
        <w:rPr>
          <w:rFonts w:eastAsia="Calibri" w:cs="Tahoma"/>
          <w:bCs/>
          <w:color w:val="000000"/>
          <w:sz w:val="24"/>
          <w:szCs w:val="24"/>
          <w:lang w:eastAsia="ro-RO"/>
        </w:rPr>
      </w:pPr>
    </w:p>
    <w:p w:rsidR="00A90DF3" w:rsidRPr="007C0B91" w:rsidRDefault="00A25161" w:rsidP="00213755">
      <w:pPr>
        <w:pStyle w:val="ListParagraph"/>
        <w:numPr>
          <w:ilvl w:val="0"/>
          <w:numId w:val="6"/>
        </w:numPr>
        <w:shd w:val="clear" w:color="auto" w:fill="C6D9F1" w:themeFill="text2" w:themeFillTint="33"/>
        <w:jc w:val="both"/>
        <w:rPr>
          <w:b/>
          <w:bCs/>
          <w:iCs/>
          <w:sz w:val="24"/>
          <w:szCs w:val="24"/>
        </w:rPr>
      </w:pPr>
      <w:r>
        <w:rPr>
          <w:b/>
          <w:bCs/>
          <w:iCs/>
          <w:sz w:val="24"/>
          <w:szCs w:val="24"/>
        </w:rPr>
        <w:t>Stadiul actual al negocierii pachetului legislativ 2021-2027</w:t>
      </w:r>
    </w:p>
    <w:p w:rsidR="00B80E92" w:rsidRPr="00B80E92" w:rsidRDefault="00FD5E06" w:rsidP="0099453A">
      <w:pPr>
        <w:numPr>
          <w:ilvl w:val="0"/>
          <w:numId w:val="1"/>
        </w:numPr>
        <w:tabs>
          <w:tab w:val="left" w:pos="5103"/>
        </w:tabs>
        <w:spacing w:after="60" w:line="240" w:lineRule="auto"/>
        <w:jc w:val="both"/>
        <w:rPr>
          <w:bCs/>
          <w:iCs/>
          <w:sz w:val="24"/>
          <w:szCs w:val="24"/>
        </w:rPr>
      </w:pPr>
      <w:r>
        <w:rPr>
          <w:bCs/>
          <w:iCs/>
          <w:sz w:val="24"/>
          <w:szCs w:val="24"/>
        </w:rPr>
        <w:t xml:space="preserve">Negocierile privind </w:t>
      </w:r>
      <w:r w:rsidR="00B80E92" w:rsidRPr="00B80E92">
        <w:rPr>
          <w:bCs/>
          <w:iCs/>
          <w:sz w:val="24"/>
          <w:szCs w:val="24"/>
        </w:rPr>
        <w:t>Regulamentul priv</w:t>
      </w:r>
      <w:r w:rsidR="00B80E92">
        <w:rPr>
          <w:bCs/>
          <w:iCs/>
          <w:sz w:val="24"/>
          <w:szCs w:val="24"/>
        </w:rPr>
        <w:t xml:space="preserve">ind dispozițiile comune (RDC) </w:t>
      </w:r>
      <w:r>
        <w:rPr>
          <w:bCs/>
          <w:iCs/>
          <w:sz w:val="24"/>
          <w:szCs w:val="24"/>
        </w:rPr>
        <w:t xml:space="preserve">au fost orientate </w:t>
      </w:r>
      <w:r w:rsidR="00B80E92" w:rsidRPr="00B80E92">
        <w:rPr>
          <w:bCs/>
          <w:iCs/>
          <w:sz w:val="24"/>
          <w:szCs w:val="24"/>
        </w:rPr>
        <w:t xml:space="preserve">pe 8 blocuri tematice (BT), </w:t>
      </w:r>
      <w:r>
        <w:rPr>
          <w:bCs/>
          <w:iCs/>
          <w:sz w:val="24"/>
          <w:szCs w:val="24"/>
        </w:rPr>
        <w:t xml:space="preserve">numai 7 dintre ele fiind discutate în Grupul de Lucru Măsuri Structurale, grup de lucru din cadrul Consiliului aflat în responsabilitatea MFE, </w:t>
      </w:r>
      <w:r w:rsidR="00B80E92" w:rsidRPr="00B80E92">
        <w:rPr>
          <w:bCs/>
          <w:iCs/>
          <w:sz w:val="24"/>
          <w:szCs w:val="24"/>
        </w:rPr>
        <w:t>după cum urmează:</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1. Abordare strategică și programare</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2. Condiții de eligibilitate și cadrul de performanță</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3. Monitorizare, evaluare, comunicare și vizibilitate</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4. Sprijinul financiar din fonduri</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5. Management si control</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6.</w:t>
      </w:r>
      <w:r w:rsidR="00C62116">
        <w:rPr>
          <w:bCs/>
          <w:iCs/>
          <w:sz w:val="24"/>
          <w:szCs w:val="24"/>
        </w:rPr>
        <w:t xml:space="preserve"> </w:t>
      </w:r>
      <w:r w:rsidRPr="00B80E92">
        <w:rPr>
          <w:bCs/>
          <w:iCs/>
          <w:sz w:val="24"/>
          <w:szCs w:val="24"/>
        </w:rPr>
        <w:t>Management financiar</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7.Definiții, delegarea puterilor, implementarea, prevederi tranzitorii și finale</w:t>
      </w:r>
    </w:p>
    <w:p w:rsidR="00B80E92" w:rsidRPr="00B80E92" w:rsidRDefault="00B80E92" w:rsidP="00B931A1">
      <w:pPr>
        <w:tabs>
          <w:tab w:val="left" w:pos="5103"/>
        </w:tabs>
        <w:spacing w:after="0" w:line="240" w:lineRule="auto"/>
        <w:ind w:left="1416"/>
        <w:jc w:val="both"/>
        <w:rPr>
          <w:bCs/>
          <w:iCs/>
          <w:sz w:val="24"/>
          <w:szCs w:val="24"/>
        </w:rPr>
      </w:pPr>
      <w:r w:rsidRPr="00B80E92">
        <w:rPr>
          <w:bCs/>
          <w:iCs/>
          <w:sz w:val="24"/>
          <w:szCs w:val="24"/>
        </w:rPr>
        <w:t>8. Cadrul financiar</w:t>
      </w:r>
    </w:p>
    <w:p w:rsidR="00A90DF3" w:rsidRPr="00A25161" w:rsidRDefault="00B80E92" w:rsidP="00DD0D48">
      <w:pPr>
        <w:numPr>
          <w:ilvl w:val="0"/>
          <w:numId w:val="1"/>
        </w:numPr>
        <w:tabs>
          <w:tab w:val="left" w:pos="5103"/>
        </w:tabs>
        <w:spacing w:before="120" w:after="120" w:line="240" w:lineRule="auto"/>
        <w:jc w:val="both"/>
        <w:rPr>
          <w:bCs/>
          <w:iCs/>
          <w:sz w:val="24"/>
          <w:szCs w:val="24"/>
        </w:rPr>
      </w:pPr>
      <w:r w:rsidRPr="00B80E92">
        <w:rPr>
          <w:bCs/>
          <w:iCs/>
          <w:sz w:val="24"/>
          <w:szCs w:val="24"/>
        </w:rPr>
        <w:t xml:space="preserve">De la preluarea Președinției Consiliului UE de către România, discuțiile la nivel tehnic din </w:t>
      </w:r>
      <w:r w:rsidR="00EA4AF4">
        <w:rPr>
          <w:bCs/>
          <w:iCs/>
          <w:sz w:val="24"/>
          <w:szCs w:val="24"/>
        </w:rPr>
        <w:t>Consiliu (</w:t>
      </w:r>
      <w:r w:rsidRPr="00B80E92">
        <w:rPr>
          <w:bCs/>
          <w:iCs/>
          <w:sz w:val="24"/>
          <w:szCs w:val="24"/>
        </w:rPr>
        <w:t>SMWP</w:t>
      </w:r>
      <w:r w:rsidR="00EA4AF4">
        <w:rPr>
          <w:bCs/>
          <w:iCs/>
          <w:sz w:val="24"/>
          <w:szCs w:val="24"/>
        </w:rPr>
        <w:t>)</w:t>
      </w:r>
      <w:r w:rsidRPr="00B80E92">
        <w:rPr>
          <w:bCs/>
          <w:iCs/>
          <w:sz w:val="24"/>
          <w:szCs w:val="24"/>
        </w:rPr>
        <w:t xml:space="preserve">, aferente pachetului legislativ privind Politica de Coeziune 2021 – 2027, au avansat într-un ritm alert și, până în prezent, </w:t>
      </w:r>
      <w:r w:rsidRPr="00C4323A">
        <w:rPr>
          <w:b/>
          <w:bCs/>
          <w:iCs/>
          <w:sz w:val="24"/>
          <w:szCs w:val="24"/>
        </w:rPr>
        <w:t xml:space="preserve">au fost aprobate mandatele de negociere pe toate blocurile tematice (cu excepția blocului 8 care se discută în Grupul </w:t>
      </w:r>
      <w:proofErr w:type="spellStart"/>
      <w:r w:rsidRPr="00C4323A">
        <w:rPr>
          <w:b/>
          <w:bCs/>
          <w:iCs/>
          <w:sz w:val="24"/>
          <w:szCs w:val="24"/>
        </w:rPr>
        <w:t>Ad-Hoc</w:t>
      </w:r>
      <w:proofErr w:type="spellEnd"/>
      <w:r w:rsidRPr="00C4323A">
        <w:rPr>
          <w:b/>
          <w:bCs/>
          <w:iCs/>
          <w:sz w:val="24"/>
          <w:szCs w:val="24"/>
        </w:rPr>
        <w:t xml:space="preserve"> privind C</w:t>
      </w:r>
      <w:r w:rsidR="00C62116">
        <w:rPr>
          <w:b/>
          <w:bCs/>
          <w:iCs/>
          <w:sz w:val="24"/>
          <w:szCs w:val="24"/>
        </w:rPr>
        <w:t xml:space="preserve">adrul </w:t>
      </w:r>
      <w:r w:rsidRPr="00C4323A">
        <w:rPr>
          <w:b/>
          <w:bCs/>
          <w:iCs/>
          <w:sz w:val="24"/>
          <w:szCs w:val="24"/>
        </w:rPr>
        <w:t>F</w:t>
      </w:r>
      <w:r w:rsidR="00C62116">
        <w:rPr>
          <w:b/>
          <w:bCs/>
          <w:iCs/>
          <w:sz w:val="24"/>
          <w:szCs w:val="24"/>
        </w:rPr>
        <w:t xml:space="preserve">inanciar </w:t>
      </w:r>
      <w:r w:rsidRPr="00C4323A">
        <w:rPr>
          <w:b/>
          <w:bCs/>
          <w:iCs/>
          <w:sz w:val="24"/>
          <w:szCs w:val="24"/>
        </w:rPr>
        <w:t>M</w:t>
      </w:r>
      <w:r w:rsidR="00C62116">
        <w:rPr>
          <w:b/>
          <w:bCs/>
          <w:iCs/>
          <w:sz w:val="24"/>
          <w:szCs w:val="24"/>
        </w:rPr>
        <w:t>ultianual</w:t>
      </w:r>
      <w:r w:rsidRPr="00C4323A">
        <w:rPr>
          <w:b/>
          <w:bCs/>
          <w:iCs/>
          <w:sz w:val="24"/>
          <w:szCs w:val="24"/>
        </w:rPr>
        <w:t>), urmând ca la Consiliul Afaceri Generale – format coeziune din 25 iunie a.c. să fie adoptat acordul general parțial.</w:t>
      </w:r>
      <w:r w:rsidR="00EA4AF4" w:rsidRPr="00C4323A">
        <w:rPr>
          <w:b/>
          <w:bCs/>
          <w:iCs/>
          <w:sz w:val="24"/>
          <w:szCs w:val="24"/>
        </w:rPr>
        <w:t xml:space="preserve"> De asemenea, au fost finalizate negocierile pe proiectele de regulamente privind FEDR/FC, FSE+ și </w:t>
      </w:r>
      <w:proofErr w:type="spellStart"/>
      <w:r w:rsidR="00EA4AF4" w:rsidRPr="00C4323A">
        <w:rPr>
          <w:b/>
          <w:bCs/>
          <w:iCs/>
          <w:sz w:val="24"/>
          <w:szCs w:val="24"/>
        </w:rPr>
        <w:t>Interreg</w:t>
      </w:r>
      <w:proofErr w:type="spellEnd"/>
      <w:r w:rsidR="00EA4AF4" w:rsidRPr="00C4323A">
        <w:rPr>
          <w:b/>
          <w:bCs/>
          <w:iCs/>
          <w:sz w:val="24"/>
          <w:szCs w:val="24"/>
        </w:rPr>
        <w:t>, acordul parțial general urmând a fi adoptat tot la CAG coeziune.</w:t>
      </w:r>
    </w:p>
    <w:p w:rsidR="00A25161" w:rsidRDefault="00A25161" w:rsidP="00DD0D48">
      <w:pPr>
        <w:numPr>
          <w:ilvl w:val="0"/>
          <w:numId w:val="1"/>
        </w:numPr>
        <w:tabs>
          <w:tab w:val="left" w:pos="5103"/>
        </w:tabs>
        <w:spacing w:before="120" w:after="120" w:line="240" w:lineRule="auto"/>
        <w:jc w:val="both"/>
        <w:rPr>
          <w:bCs/>
          <w:iCs/>
          <w:sz w:val="24"/>
          <w:szCs w:val="24"/>
        </w:rPr>
      </w:pPr>
      <w:r>
        <w:rPr>
          <w:b/>
          <w:bCs/>
          <w:iCs/>
          <w:sz w:val="24"/>
          <w:szCs w:val="24"/>
        </w:rPr>
        <w:t xml:space="preserve">Începând cu luna octombrie 2019, vor începe negocierile în format </w:t>
      </w:r>
      <w:proofErr w:type="spellStart"/>
      <w:r>
        <w:rPr>
          <w:b/>
          <w:bCs/>
          <w:iCs/>
          <w:sz w:val="24"/>
          <w:szCs w:val="24"/>
        </w:rPr>
        <w:t>trialog</w:t>
      </w:r>
      <w:proofErr w:type="spellEnd"/>
      <w:r>
        <w:rPr>
          <w:b/>
          <w:bCs/>
          <w:iCs/>
          <w:sz w:val="24"/>
          <w:szCs w:val="24"/>
        </w:rPr>
        <w:t xml:space="preserve"> (Comisia Europeană, Consiliu, Parlamentul European, în compone</w:t>
      </w:r>
      <w:r w:rsidR="0092663C">
        <w:rPr>
          <w:b/>
          <w:bCs/>
          <w:iCs/>
          <w:sz w:val="24"/>
          <w:szCs w:val="24"/>
        </w:rPr>
        <w:t>nță</w:t>
      </w:r>
      <w:r>
        <w:rPr>
          <w:b/>
          <w:bCs/>
          <w:iCs/>
          <w:sz w:val="24"/>
          <w:szCs w:val="24"/>
        </w:rPr>
        <w:t xml:space="preserve"> post alegeri). </w:t>
      </w:r>
    </w:p>
    <w:p w:rsidR="002A1321" w:rsidRDefault="002A1321" w:rsidP="00B72F1A">
      <w:pPr>
        <w:tabs>
          <w:tab w:val="left" w:pos="5103"/>
        </w:tabs>
        <w:spacing w:before="120" w:after="120" w:line="240" w:lineRule="auto"/>
        <w:jc w:val="both"/>
        <w:rPr>
          <w:bCs/>
          <w:iCs/>
          <w:sz w:val="24"/>
          <w:szCs w:val="24"/>
        </w:rPr>
      </w:pPr>
    </w:p>
    <w:p w:rsidR="00B72F1A" w:rsidRDefault="00843CB0" w:rsidP="00843CB0">
      <w:pPr>
        <w:pStyle w:val="ListParagraph"/>
        <w:numPr>
          <w:ilvl w:val="0"/>
          <w:numId w:val="6"/>
        </w:numPr>
        <w:shd w:val="clear" w:color="auto" w:fill="C6D9F1" w:themeFill="text2" w:themeFillTint="33"/>
        <w:jc w:val="both"/>
        <w:rPr>
          <w:rFonts w:eastAsia="MS Gothic" w:cs="Times New Roman"/>
          <w:b/>
          <w:bCs/>
          <w:kern w:val="28"/>
          <w:sz w:val="24"/>
          <w:szCs w:val="24"/>
        </w:rPr>
      </w:pPr>
      <w:r w:rsidRPr="007C0B91">
        <w:rPr>
          <w:rFonts w:eastAsia="MS Gothic" w:cs="Times New Roman"/>
          <w:b/>
          <w:bCs/>
          <w:kern w:val="28"/>
          <w:sz w:val="24"/>
          <w:szCs w:val="24"/>
        </w:rPr>
        <w:t>Parteneriat</w:t>
      </w:r>
    </w:p>
    <w:p w:rsidR="00C62116" w:rsidRDefault="00C62116" w:rsidP="00B65612">
      <w:pPr>
        <w:numPr>
          <w:ilvl w:val="0"/>
          <w:numId w:val="1"/>
        </w:numPr>
        <w:tabs>
          <w:tab w:val="left" w:pos="5103"/>
        </w:tabs>
        <w:spacing w:before="120" w:after="120" w:line="240" w:lineRule="auto"/>
        <w:jc w:val="both"/>
        <w:rPr>
          <w:bCs/>
          <w:iCs/>
          <w:sz w:val="24"/>
          <w:szCs w:val="24"/>
        </w:rPr>
      </w:pPr>
      <w:r>
        <w:rPr>
          <w:bCs/>
          <w:iCs/>
          <w:sz w:val="24"/>
          <w:szCs w:val="24"/>
        </w:rPr>
        <w:t xml:space="preserve">În cadrul </w:t>
      </w:r>
      <w:r w:rsidR="00B65612" w:rsidRPr="008F0343">
        <w:rPr>
          <w:bCs/>
          <w:iCs/>
          <w:sz w:val="24"/>
          <w:szCs w:val="24"/>
        </w:rPr>
        <w:t>actualul</w:t>
      </w:r>
      <w:r>
        <w:rPr>
          <w:bCs/>
          <w:iCs/>
          <w:sz w:val="24"/>
          <w:szCs w:val="24"/>
        </w:rPr>
        <w:t>ui</w:t>
      </w:r>
      <w:r w:rsidR="00B65612" w:rsidRPr="008F0343">
        <w:rPr>
          <w:bCs/>
          <w:iCs/>
          <w:sz w:val="24"/>
          <w:szCs w:val="24"/>
        </w:rPr>
        <w:t xml:space="preserve"> cadru de coordonare și parteneriat existent pentru Acordul de Parteneriat și programele operaționale</w:t>
      </w:r>
      <w:r>
        <w:rPr>
          <w:bCs/>
          <w:iCs/>
          <w:sz w:val="24"/>
          <w:szCs w:val="24"/>
        </w:rPr>
        <w:t xml:space="preserve"> (Comitetul de Coordonare pentru Managementul Acordului de Parteneriat - CCMAP</w:t>
      </w:r>
      <w:r w:rsidR="008F0343" w:rsidRPr="008F0343">
        <w:rPr>
          <w:bCs/>
          <w:iCs/>
          <w:sz w:val="24"/>
          <w:szCs w:val="24"/>
        </w:rPr>
        <w:t xml:space="preserve">, </w:t>
      </w:r>
      <w:r>
        <w:rPr>
          <w:bCs/>
          <w:iCs/>
          <w:sz w:val="24"/>
          <w:szCs w:val="24"/>
        </w:rPr>
        <w:t xml:space="preserve">Comitete de Monitorizare -CM) se organizează grupuri tehnice de lucru corespunzătoare fiecărui </w:t>
      </w:r>
      <w:r w:rsidRPr="00A25161">
        <w:rPr>
          <w:bCs/>
          <w:i/>
          <w:iCs/>
          <w:sz w:val="24"/>
          <w:szCs w:val="24"/>
        </w:rPr>
        <w:t>Obiectiv de Politica</w:t>
      </w:r>
      <w:r>
        <w:rPr>
          <w:bCs/>
          <w:iCs/>
          <w:sz w:val="24"/>
          <w:szCs w:val="24"/>
        </w:rPr>
        <w:t xml:space="preserve"> 2021-2027, respectiv:</w:t>
      </w:r>
    </w:p>
    <w:p w:rsidR="00C62116" w:rsidRPr="00C62116" w:rsidRDefault="00C62116" w:rsidP="000134AE">
      <w:pPr>
        <w:spacing w:after="120" w:line="240" w:lineRule="auto"/>
        <w:ind w:left="708" w:right="-567"/>
        <w:contextualSpacing/>
        <w:jc w:val="both"/>
        <w:rPr>
          <w:bCs/>
          <w:i/>
          <w:sz w:val="24"/>
          <w:szCs w:val="24"/>
        </w:rPr>
      </w:pPr>
      <w:r w:rsidRPr="00C62116">
        <w:rPr>
          <w:bCs/>
          <w:i/>
          <w:sz w:val="24"/>
          <w:szCs w:val="24"/>
        </w:rPr>
        <w:t>OP 1 - O Europă mai inteligentă – o transformare economică inovatoare și inteligentă</w:t>
      </w:r>
    </w:p>
    <w:p w:rsidR="00C62116" w:rsidRPr="00C62116" w:rsidRDefault="00C62116" w:rsidP="000134AE">
      <w:pPr>
        <w:tabs>
          <w:tab w:val="left" w:pos="993"/>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Cercetare și inovare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    Serviciile publice digitale și integrarea tehnologiilor digitale de către întreprinderi</w:t>
      </w:r>
    </w:p>
    <w:p w:rsidR="00C62116" w:rsidRPr="00C62116" w:rsidRDefault="00C62116" w:rsidP="000134AE">
      <w:pPr>
        <w:tabs>
          <w:tab w:val="left" w:pos="993"/>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Digitalizare și bandă largă</w:t>
      </w:r>
    </w:p>
    <w:p w:rsidR="00C62116" w:rsidRPr="00C62116" w:rsidRDefault="00C62116" w:rsidP="000134AE">
      <w:pPr>
        <w:tabs>
          <w:tab w:val="left" w:pos="993"/>
        </w:tabs>
        <w:spacing w:after="120" w:line="240" w:lineRule="auto"/>
        <w:ind w:left="1134" w:right="-567"/>
        <w:jc w:val="both"/>
        <w:rPr>
          <w:bCs/>
          <w:sz w:val="24"/>
          <w:szCs w:val="24"/>
        </w:rPr>
      </w:pPr>
      <w:r w:rsidRPr="00C62116">
        <w:rPr>
          <w:bCs/>
          <w:sz w:val="24"/>
          <w:szCs w:val="24"/>
        </w:rPr>
        <w:lastRenderedPageBreak/>
        <w:t>-</w:t>
      </w:r>
      <w:r w:rsidRPr="00C62116">
        <w:rPr>
          <w:bCs/>
          <w:sz w:val="24"/>
          <w:szCs w:val="24"/>
        </w:rPr>
        <w:tab/>
        <w:t>Întreprinderilor mici și mijlocii</w:t>
      </w:r>
    </w:p>
    <w:p w:rsidR="00C62116" w:rsidRPr="00C62116" w:rsidRDefault="00C62116" w:rsidP="000134AE">
      <w:pPr>
        <w:spacing w:after="120" w:line="240" w:lineRule="auto"/>
        <w:ind w:left="708" w:right="-567"/>
        <w:contextualSpacing/>
        <w:jc w:val="both"/>
        <w:rPr>
          <w:bCs/>
          <w:i/>
          <w:sz w:val="24"/>
          <w:szCs w:val="24"/>
        </w:rPr>
      </w:pPr>
      <w:r w:rsidRPr="00C62116">
        <w:rPr>
          <w:bCs/>
          <w:i/>
          <w:sz w:val="24"/>
          <w:szCs w:val="24"/>
        </w:rPr>
        <w:t>OP 2 - O Europă mai ecologică, cu emisii scăzute de carbon</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Energie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Schimbări climatice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Apa și apele uzate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Gestionarea deșeurilor</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Biodiversitatea</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 xml:space="preserve">Mobilitatea </w:t>
      </w:r>
      <w:proofErr w:type="spellStart"/>
      <w:r w:rsidRPr="00C62116">
        <w:rPr>
          <w:bCs/>
          <w:sz w:val="24"/>
          <w:szCs w:val="24"/>
        </w:rPr>
        <w:t>multimodală</w:t>
      </w:r>
      <w:proofErr w:type="spellEnd"/>
      <w:r w:rsidRPr="00C62116">
        <w:rPr>
          <w:bCs/>
          <w:sz w:val="24"/>
          <w:szCs w:val="24"/>
        </w:rPr>
        <w:t xml:space="preserve"> în mediul urban</w:t>
      </w:r>
    </w:p>
    <w:p w:rsidR="00C62116" w:rsidRPr="00C62116" w:rsidRDefault="00C62116" w:rsidP="000134AE">
      <w:pPr>
        <w:spacing w:after="120" w:line="240" w:lineRule="auto"/>
        <w:ind w:left="708" w:right="-567"/>
        <w:contextualSpacing/>
        <w:jc w:val="both"/>
        <w:rPr>
          <w:bCs/>
          <w:i/>
          <w:sz w:val="24"/>
          <w:szCs w:val="24"/>
        </w:rPr>
      </w:pPr>
      <w:r w:rsidRPr="00C62116">
        <w:rPr>
          <w:bCs/>
          <w:i/>
          <w:sz w:val="24"/>
          <w:szCs w:val="24"/>
        </w:rPr>
        <w:t>OP 3 - O Europă mai conectată – mobilitate și conectivitate TIC regională</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Transport</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Digitalizare și bandă largă (</w:t>
      </w:r>
      <w:proofErr w:type="spellStart"/>
      <w:r w:rsidRPr="00C62116">
        <w:rPr>
          <w:bCs/>
          <w:sz w:val="24"/>
          <w:szCs w:val="24"/>
        </w:rPr>
        <w:t>Broadband</w:t>
      </w:r>
      <w:proofErr w:type="spellEnd"/>
      <w:r w:rsidRPr="00C62116">
        <w:rPr>
          <w:bCs/>
          <w:sz w:val="24"/>
          <w:szCs w:val="24"/>
        </w:rPr>
        <w:t>)</w:t>
      </w:r>
    </w:p>
    <w:p w:rsidR="00C62116" w:rsidRPr="00C62116" w:rsidRDefault="00C62116" w:rsidP="000134AE">
      <w:pPr>
        <w:spacing w:after="120" w:line="240" w:lineRule="auto"/>
        <w:ind w:left="708" w:right="-567"/>
        <w:contextualSpacing/>
        <w:jc w:val="both"/>
        <w:rPr>
          <w:bCs/>
          <w:i/>
          <w:sz w:val="24"/>
          <w:szCs w:val="24"/>
        </w:rPr>
      </w:pPr>
      <w:r w:rsidRPr="00C62116">
        <w:rPr>
          <w:bCs/>
          <w:i/>
          <w:sz w:val="24"/>
          <w:szCs w:val="24"/>
        </w:rPr>
        <w:t>OP 4 - O Europă mai socială – implementarea Pilonului european al drepturilor sociale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Politicile pieței muncii</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Educaţie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Incluziune, sărăcie</w:t>
      </w:r>
    </w:p>
    <w:p w:rsidR="00C62116" w:rsidRPr="00C62116" w:rsidRDefault="00C62116" w:rsidP="000134AE">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Sănătate</w:t>
      </w:r>
    </w:p>
    <w:p w:rsidR="00C62116" w:rsidRPr="00C62116" w:rsidRDefault="00C62116" w:rsidP="000134AE">
      <w:pPr>
        <w:spacing w:after="120" w:line="240" w:lineRule="auto"/>
        <w:ind w:left="708" w:right="-142"/>
        <w:contextualSpacing/>
        <w:jc w:val="both"/>
        <w:rPr>
          <w:bCs/>
          <w:i/>
          <w:sz w:val="24"/>
          <w:szCs w:val="24"/>
        </w:rPr>
      </w:pPr>
      <w:r w:rsidRPr="00C62116">
        <w:rPr>
          <w:bCs/>
          <w:i/>
          <w:sz w:val="24"/>
          <w:szCs w:val="24"/>
        </w:rPr>
        <w:t>OP 5 - O Europă mai aproape de cetățeni – dezvoltarea sustenabilă și integrată a zonelor urbane, rurale și de coastă prin inițiative locale</w:t>
      </w:r>
    </w:p>
    <w:p w:rsidR="00C62116" w:rsidRDefault="00C62116" w:rsidP="0099453A">
      <w:pPr>
        <w:tabs>
          <w:tab w:val="left" w:pos="1418"/>
        </w:tabs>
        <w:spacing w:after="120" w:line="240" w:lineRule="auto"/>
        <w:ind w:left="1134" w:right="-567"/>
        <w:contextualSpacing/>
        <w:jc w:val="both"/>
        <w:rPr>
          <w:bCs/>
          <w:sz w:val="24"/>
          <w:szCs w:val="24"/>
        </w:rPr>
      </w:pPr>
      <w:r w:rsidRPr="00C62116">
        <w:rPr>
          <w:bCs/>
          <w:sz w:val="24"/>
          <w:szCs w:val="24"/>
        </w:rPr>
        <w:t>-</w:t>
      </w:r>
      <w:r w:rsidRPr="00C62116">
        <w:rPr>
          <w:bCs/>
          <w:sz w:val="24"/>
          <w:szCs w:val="24"/>
        </w:rPr>
        <w:tab/>
        <w:t>Dezvoltarea teritorială / urban</w:t>
      </w:r>
      <w:r w:rsidR="000134AE">
        <w:rPr>
          <w:bCs/>
          <w:sz w:val="24"/>
          <w:szCs w:val="24"/>
        </w:rPr>
        <w:t>ă</w:t>
      </w:r>
    </w:p>
    <w:p w:rsidR="0099453A" w:rsidRPr="00C62116" w:rsidRDefault="0099453A" w:rsidP="0099453A">
      <w:pPr>
        <w:tabs>
          <w:tab w:val="left" w:pos="1418"/>
        </w:tabs>
        <w:spacing w:after="120" w:line="240" w:lineRule="auto"/>
        <w:ind w:left="1134" w:right="-567"/>
        <w:contextualSpacing/>
        <w:jc w:val="both"/>
        <w:rPr>
          <w:bCs/>
          <w:sz w:val="24"/>
          <w:szCs w:val="24"/>
        </w:rPr>
      </w:pPr>
    </w:p>
    <w:p w:rsidR="00B65612" w:rsidRDefault="00C62116" w:rsidP="00532BF1">
      <w:pPr>
        <w:numPr>
          <w:ilvl w:val="0"/>
          <w:numId w:val="1"/>
        </w:numPr>
        <w:tabs>
          <w:tab w:val="left" w:pos="5103"/>
        </w:tabs>
        <w:spacing w:before="120" w:after="120" w:line="240" w:lineRule="auto"/>
        <w:jc w:val="both"/>
        <w:rPr>
          <w:bCs/>
          <w:iCs/>
          <w:sz w:val="24"/>
          <w:szCs w:val="24"/>
        </w:rPr>
      </w:pPr>
      <w:r>
        <w:rPr>
          <w:bCs/>
          <w:iCs/>
          <w:sz w:val="24"/>
          <w:szCs w:val="24"/>
        </w:rPr>
        <w:t xml:space="preserve">Grupurile </w:t>
      </w:r>
      <w:r w:rsidR="00B65612" w:rsidRPr="00B65612">
        <w:rPr>
          <w:bCs/>
          <w:iCs/>
          <w:sz w:val="24"/>
          <w:szCs w:val="24"/>
        </w:rPr>
        <w:t>de lucru</w:t>
      </w:r>
      <w:r w:rsidR="00532BF1">
        <w:rPr>
          <w:bCs/>
          <w:iCs/>
          <w:sz w:val="24"/>
          <w:szCs w:val="24"/>
        </w:rPr>
        <w:t xml:space="preserve"> tehnice sunt constituite cu participarea</w:t>
      </w:r>
      <w:r w:rsidR="009A49DD">
        <w:rPr>
          <w:bCs/>
          <w:iCs/>
          <w:sz w:val="24"/>
          <w:szCs w:val="24"/>
        </w:rPr>
        <w:t xml:space="preserve"> </w:t>
      </w:r>
      <w:r w:rsidR="00B65612" w:rsidRPr="00B65612">
        <w:rPr>
          <w:bCs/>
          <w:iCs/>
          <w:sz w:val="24"/>
          <w:szCs w:val="24"/>
        </w:rPr>
        <w:t>reprezentanți</w:t>
      </w:r>
      <w:r w:rsidR="00532BF1">
        <w:rPr>
          <w:bCs/>
          <w:iCs/>
          <w:sz w:val="24"/>
          <w:szCs w:val="24"/>
        </w:rPr>
        <w:t xml:space="preserve">lor </w:t>
      </w:r>
      <w:r w:rsidR="00532BF1" w:rsidRPr="00B65612">
        <w:rPr>
          <w:bCs/>
          <w:iCs/>
          <w:sz w:val="24"/>
          <w:szCs w:val="24"/>
        </w:rPr>
        <w:t>ministerelor / instituțiilor centrale</w:t>
      </w:r>
      <w:r w:rsidR="00532BF1" w:rsidRPr="00285227">
        <w:rPr>
          <w:bCs/>
          <w:iCs/>
          <w:sz w:val="24"/>
          <w:szCs w:val="24"/>
        </w:rPr>
        <w:t xml:space="preserve"> </w:t>
      </w:r>
      <w:r w:rsidR="00532BF1" w:rsidRPr="00B65612">
        <w:rPr>
          <w:bCs/>
          <w:iCs/>
          <w:sz w:val="24"/>
          <w:szCs w:val="24"/>
        </w:rPr>
        <w:t>relevante</w:t>
      </w:r>
      <w:r w:rsidR="00532BF1">
        <w:rPr>
          <w:bCs/>
          <w:iCs/>
          <w:sz w:val="24"/>
          <w:szCs w:val="24"/>
        </w:rPr>
        <w:t>, partenerilor din societatea civilă, mediul</w:t>
      </w:r>
      <w:r w:rsidR="0099453A">
        <w:rPr>
          <w:bCs/>
          <w:iCs/>
          <w:sz w:val="24"/>
          <w:szCs w:val="24"/>
        </w:rPr>
        <w:t>ui</w:t>
      </w:r>
      <w:r w:rsidR="00532BF1">
        <w:rPr>
          <w:bCs/>
          <w:iCs/>
          <w:sz w:val="24"/>
          <w:szCs w:val="24"/>
        </w:rPr>
        <w:t xml:space="preserve"> privat</w:t>
      </w:r>
      <w:r w:rsidR="0099453A">
        <w:rPr>
          <w:bCs/>
          <w:iCs/>
          <w:sz w:val="24"/>
          <w:szCs w:val="24"/>
        </w:rPr>
        <w:t>,</w:t>
      </w:r>
      <w:r w:rsidR="00532BF1">
        <w:rPr>
          <w:bCs/>
          <w:iCs/>
          <w:sz w:val="24"/>
          <w:szCs w:val="24"/>
        </w:rPr>
        <w:t xml:space="preserve"> </w:t>
      </w:r>
      <w:r w:rsidR="00285227">
        <w:rPr>
          <w:bCs/>
          <w:iCs/>
          <w:sz w:val="24"/>
          <w:szCs w:val="24"/>
        </w:rPr>
        <w:t xml:space="preserve">autorităților de management, </w:t>
      </w:r>
      <w:proofErr w:type="spellStart"/>
      <w:r w:rsidR="00532BF1">
        <w:rPr>
          <w:bCs/>
          <w:iCs/>
          <w:sz w:val="24"/>
          <w:szCs w:val="24"/>
        </w:rPr>
        <w:t>ADR-urilor</w:t>
      </w:r>
      <w:proofErr w:type="spellEnd"/>
      <w:r w:rsidR="00532BF1">
        <w:rPr>
          <w:bCs/>
          <w:iCs/>
          <w:sz w:val="24"/>
          <w:szCs w:val="24"/>
        </w:rPr>
        <w:t>, etc</w:t>
      </w:r>
      <w:r w:rsidR="006C0935">
        <w:rPr>
          <w:bCs/>
          <w:iCs/>
          <w:sz w:val="24"/>
          <w:szCs w:val="24"/>
        </w:rPr>
        <w:t xml:space="preserve">. </w:t>
      </w:r>
    </w:p>
    <w:p w:rsidR="000742C0" w:rsidRDefault="00532BF1" w:rsidP="000742C0">
      <w:pPr>
        <w:pStyle w:val="ListParagraph"/>
        <w:numPr>
          <w:ilvl w:val="0"/>
          <w:numId w:val="1"/>
        </w:numPr>
        <w:jc w:val="both"/>
        <w:rPr>
          <w:bCs/>
          <w:iCs/>
          <w:sz w:val="24"/>
          <w:szCs w:val="24"/>
        </w:rPr>
      </w:pPr>
      <w:r w:rsidRPr="00532BF1">
        <w:rPr>
          <w:bCs/>
          <w:iCs/>
          <w:sz w:val="24"/>
          <w:szCs w:val="24"/>
        </w:rPr>
        <w:t xml:space="preserve">Eficacitatea funcționării parteneriatului depinde de capacitatea părților interesate de a contribui </w:t>
      </w:r>
      <w:r w:rsidR="000742C0">
        <w:rPr>
          <w:bCs/>
          <w:iCs/>
          <w:sz w:val="24"/>
          <w:szCs w:val="24"/>
        </w:rPr>
        <w:t xml:space="preserve">la elaborarea documentelor de programare, </w:t>
      </w:r>
      <w:r w:rsidRPr="00532BF1">
        <w:rPr>
          <w:bCs/>
          <w:iCs/>
          <w:sz w:val="24"/>
          <w:szCs w:val="24"/>
        </w:rPr>
        <w:t>în mod substanțial</w:t>
      </w:r>
      <w:r w:rsidR="000742C0">
        <w:rPr>
          <w:bCs/>
          <w:iCs/>
          <w:sz w:val="24"/>
          <w:szCs w:val="24"/>
        </w:rPr>
        <w:t>,</w:t>
      </w:r>
      <w:r w:rsidRPr="00532BF1">
        <w:rPr>
          <w:bCs/>
          <w:iCs/>
          <w:sz w:val="24"/>
          <w:szCs w:val="24"/>
        </w:rPr>
        <w:t xml:space="preserve"> </w:t>
      </w:r>
      <w:r>
        <w:rPr>
          <w:bCs/>
          <w:iCs/>
          <w:sz w:val="24"/>
          <w:szCs w:val="24"/>
        </w:rPr>
        <w:t xml:space="preserve">concret </w:t>
      </w:r>
      <w:r w:rsidR="000742C0">
        <w:rPr>
          <w:bCs/>
          <w:iCs/>
          <w:sz w:val="24"/>
          <w:szCs w:val="24"/>
        </w:rPr>
        <w:t>și argumentat</w:t>
      </w:r>
      <w:r w:rsidRPr="00532BF1">
        <w:rPr>
          <w:bCs/>
          <w:iCs/>
          <w:sz w:val="24"/>
          <w:szCs w:val="24"/>
        </w:rPr>
        <w:t xml:space="preserve">. </w:t>
      </w:r>
    </w:p>
    <w:p w:rsidR="000742C0" w:rsidRPr="000742C0" w:rsidRDefault="000742C0" w:rsidP="00B65612">
      <w:pPr>
        <w:numPr>
          <w:ilvl w:val="0"/>
          <w:numId w:val="1"/>
        </w:numPr>
        <w:tabs>
          <w:tab w:val="left" w:pos="5103"/>
        </w:tabs>
        <w:spacing w:before="120" w:after="120" w:line="240" w:lineRule="auto"/>
        <w:jc w:val="both"/>
        <w:rPr>
          <w:bCs/>
          <w:iCs/>
          <w:sz w:val="24"/>
          <w:szCs w:val="24"/>
        </w:rPr>
      </w:pPr>
      <w:r>
        <w:rPr>
          <w:b/>
          <w:bCs/>
          <w:iCs/>
          <w:sz w:val="24"/>
          <w:szCs w:val="24"/>
        </w:rPr>
        <w:t>Primele reuniuni ale Grupurilor de lucru:</w:t>
      </w:r>
    </w:p>
    <w:p w:rsidR="000742C0" w:rsidRDefault="000742C0" w:rsidP="00EE4BA7">
      <w:pPr>
        <w:numPr>
          <w:ilvl w:val="1"/>
          <w:numId w:val="7"/>
        </w:numPr>
        <w:tabs>
          <w:tab w:val="left" w:pos="5103"/>
        </w:tabs>
        <w:spacing w:after="0" w:line="240" w:lineRule="auto"/>
        <w:jc w:val="both"/>
        <w:rPr>
          <w:bCs/>
          <w:iCs/>
          <w:sz w:val="24"/>
          <w:szCs w:val="24"/>
        </w:rPr>
      </w:pPr>
      <w:r>
        <w:rPr>
          <w:bCs/>
          <w:iCs/>
          <w:sz w:val="24"/>
          <w:szCs w:val="24"/>
        </w:rPr>
        <w:t xml:space="preserve">18 iunie (ora 10, sediul MFE): GLOP2 - </w:t>
      </w:r>
      <w:r w:rsidRPr="000742C0">
        <w:rPr>
          <w:bCs/>
          <w:iCs/>
          <w:sz w:val="24"/>
          <w:szCs w:val="24"/>
        </w:rPr>
        <w:t>O Europă mai ecologică, cu emisii scăzute de carbon</w:t>
      </w:r>
    </w:p>
    <w:p w:rsidR="000742C0" w:rsidRPr="000742C0" w:rsidRDefault="000742C0" w:rsidP="00EE4BA7">
      <w:pPr>
        <w:pStyle w:val="ListParagraph"/>
        <w:numPr>
          <w:ilvl w:val="1"/>
          <w:numId w:val="7"/>
        </w:numPr>
        <w:spacing w:after="0" w:line="240" w:lineRule="auto"/>
        <w:contextualSpacing w:val="0"/>
        <w:rPr>
          <w:bCs/>
          <w:iCs/>
          <w:sz w:val="24"/>
          <w:szCs w:val="24"/>
        </w:rPr>
      </w:pPr>
      <w:r w:rsidRPr="000742C0">
        <w:rPr>
          <w:bCs/>
          <w:iCs/>
          <w:sz w:val="24"/>
          <w:szCs w:val="24"/>
        </w:rPr>
        <w:t>18 iunie (ora 1</w:t>
      </w:r>
      <w:r>
        <w:rPr>
          <w:bCs/>
          <w:iCs/>
          <w:sz w:val="24"/>
          <w:szCs w:val="24"/>
        </w:rPr>
        <w:t>2</w:t>
      </w:r>
      <w:r w:rsidRPr="000742C0">
        <w:rPr>
          <w:bCs/>
          <w:iCs/>
          <w:sz w:val="24"/>
          <w:szCs w:val="24"/>
        </w:rPr>
        <w:t>, sediul MFE)</w:t>
      </w:r>
      <w:r>
        <w:rPr>
          <w:bCs/>
          <w:iCs/>
          <w:sz w:val="24"/>
          <w:szCs w:val="24"/>
        </w:rPr>
        <w:t>:</w:t>
      </w:r>
      <w:r w:rsidRPr="000742C0">
        <w:t xml:space="preserve"> </w:t>
      </w:r>
      <w:r w:rsidRPr="000742C0">
        <w:rPr>
          <w:bCs/>
          <w:iCs/>
          <w:sz w:val="24"/>
          <w:szCs w:val="24"/>
        </w:rPr>
        <w:t>GLOP</w:t>
      </w:r>
      <w:r>
        <w:rPr>
          <w:bCs/>
          <w:iCs/>
          <w:sz w:val="24"/>
          <w:szCs w:val="24"/>
        </w:rPr>
        <w:t>3</w:t>
      </w:r>
      <w:r w:rsidRPr="000742C0">
        <w:rPr>
          <w:bCs/>
          <w:iCs/>
          <w:sz w:val="24"/>
          <w:szCs w:val="24"/>
        </w:rPr>
        <w:t xml:space="preserve"> -</w:t>
      </w:r>
      <w:r>
        <w:rPr>
          <w:bCs/>
          <w:iCs/>
          <w:sz w:val="24"/>
          <w:szCs w:val="24"/>
        </w:rPr>
        <w:t xml:space="preserve"> </w:t>
      </w:r>
      <w:r w:rsidRPr="000742C0">
        <w:rPr>
          <w:bCs/>
          <w:iCs/>
          <w:sz w:val="24"/>
          <w:szCs w:val="24"/>
        </w:rPr>
        <w:t>O Europă mai conectată</w:t>
      </w:r>
    </w:p>
    <w:p w:rsidR="00EE4BA7" w:rsidRDefault="000742C0" w:rsidP="00EE4BA7">
      <w:pPr>
        <w:numPr>
          <w:ilvl w:val="1"/>
          <w:numId w:val="7"/>
        </w:numPr>
        <w:tabs>
          <w:tab w:val="left" w:pos="5103"/>
        </w:tabs>
        <w:spacing w:after="0" w:line="240" w:lineRule="auto"/>
        <w:jc w:val="both"/>
        <w:rPr>
          <w:bCs/>
          <w:iCs/>
          <w:sz w:val="24"/>
          <w:szCs w:val="24"/>
        </w:rPr>
      </w:pPr>
      <w:r w:rsidRPr="000742C0">
        <w:rPr>
          <w:bCs/>
          <w:iCs/>
          <w:sz w:val="24"/>
          <w:szCs w:val="24"/>
        </w:rPr>
        <w:t>24 iunie</w:t>
      </w:r>
      <w:r>
        <w:rPr>
          <w:bCs/>
          <w:iCs/>
          <w:sz w:val="24"/>
          <w:szCs w:val="24"/>
        </w:rPr>
        <w:t xml:space="preserve">: </w:t>
      </w:r>
      <w:r w:rsidRPr="000742C0">
        <w:rPr>
          <w:bCs/>
          <w:iCs/>
          <w:sz w:val="24"/>
          <w:szCs w:val="24"/>
        </w:rPr>
        <w:t xml:space="preserve"> </w:t>
      </w:r>
      <w:r w:rsidR="00EE4BA7">
        <w:rPr>
          <w:bCs/>
          <w:iCs/>
          <w:sz w:val="24"/>
          <w:szCs w:val="24"/>
        </w:rPr>
        <w:t xml:space="preserve">GL OP1 </w:t>
      </w:r>
      <w:r w:rsidRPr="000742C0">
        <w:rPr>
          <w:bCs/>
          <w:iCs/>
          <w:sz w:val="24"/>
          <w:szCs w:val="24"/>
        </w:rPr>
        <w:t xml:space="preserve">-  </w:t>
      </w:r>
      <w:r w:rsidR="00EE4BA7">
        <w:rPr>
          <w:bCs/>
          <w:iCs/>
          <w:sz w:val="24"/>
          <w:szCs w:val="24"/>
        </w:rPr>
        <w:t>O</w:t>
      </w:r>
      <w:r w:rsidRPr="000742C0">
        <w:rPr>
          <w:bCs/>
          <w:iCs/>
          <w:sz w:val="24"/>
          <w:szCs w:val="24"/>
        </w:rPr>
        <w:t xml:space="preserve"> Europa mai inteligenta,</w:t>
      </w:r>
    </w:p>
    <w:p w:rsidR="00EE4BA7" w:rsidRDefault="00EE4BA7" w:rsidP="00EE4BA7">
      <w:pPr>
        <w:numPr>
          <w:ilvl w:val="1"/>
          <w:numId w:val="7"/>
        </w:numPr>
        <w:tabs>
          <w:tab w:val="left" w:pos="5103"/>
        </w:tabs>
        <w:spacing w:after="0" w:line="240" w:lineRule="auto"/>
        <w:jc w:val="both"/>
        <w:rPr>
          <w:bCs/>
          <w:iCs/>
          <w:sz w:val="24"/>
          <w:szCs w:val="24"/>
        </w:rPr>
      </w:pPr>
      <w:r>
        <w:rPr>
          <w:bCs/>
          <w:iCs/>
          <w:sz w:val="24"/>
          <w:szCs w:val="24"/>
        </w:rPr>
        <w:t>25 iunie: GL OP</w:t>
      </w:r>
      <w:r w:rsidR="000742C0" w:rsidRPr="000742C0">
        <w:rPr>
          <w:bCs/>
          <w:iCs/>
          <w:sz w:val="24"/>
          <w:szCs w:val="24"/>
        </w:rPr>
        <w:t xml:space="preserve">4 – </w:t>
      </w:r>
      <w:r>
        <w:rPr>
          <w:bCs/>
          <w:iCs/>
          <w:sz w:val="24"/>
          <w:szCs w:val="24"/>
        </w:rPr>
        <w:t>O</w:t>
      </w:r>
      <w:r w:rsidR="000742C0" w:rsidRPr="000742C0">
        <w:rPr>
          <w:bCs/>
          <w:iCs/>
          <w:sz w:val="24"/>
          <w:szCs w:val="24"/>
        </w:rPr>
        <w:t xml:space="preserve"> Europă mai socială</w:t>
      </w:r>
      <w:r>
        <w:rPr>
          <w:bCs/>
          <w:iCs/>
          <w:sz w:val="24"/>
          <w:szCs w:val="24"/>
        </w:rPr>
        <w:t>,</w:t>
      </w:r>
    </w:p>
    <w:p w:rsidR="000742C0" w:rsidRDefault="000742C0" w:rsidP="00EE4BA7">
      <w:pPr>
        <w:numPr>
          <w:ilvl w:val="1"/>
          <w:numId w:val="7"/>
        </w:numPr>
        <w:tabs>
          <w:tab w:val="left" w:pos="5103"/>
        </w:tabs>
        <w:spacing w:after="0" w:line="240" w:lineRule="auto"/>
        <w:jc w:val="both"/>
        <w:rPr>
          <w:bCs/>
          <w:iCs/>
          <w:sz w:val="24"/>
          <w:szCs w:val="24"/>
        </w:rPr>
      </w:pPr>
      <w:r w:rsidRPr="000742C0">
        <w:rPr>
          <w:bCs/>
          <w:iCs/>
          <w:sz w:val="24"/>
          <w:szCs w:val="24"/>
        </w:rPr>
        <w:t>26 iunie</w:t>
      </w:r>
      <w:r w:rsidR="00EE4BA7">
        <w:rPr>
          <w:bCs/>
          <w:iCs/>
          <w:sz w:val="24"/>
          <w:szCs w:val="24"/>
        </w:rPr>
        <w:t>: GL OP</w:t>
      </w:r>
      <w:r w:rsidRPr="000742C0">
        <w:rPr>
          <w:bCs/>
          <w:iCs/>
          <w:sz w:val="24"/>
          <w:szCs w:val="24"/>
        </w:rPr>
        <w:t xml:space="preserve">5 – </w:t>
      </w:r>
      <w:r w:rsidR="00EE4BA7">
        <w:rPr>
          <w:bCs/>
          <w:iCs/>
          <w:sz w:val="24"/>
          <w:szCs w:val="24"/>
        </w:rPr>
        <w:t>O</w:t>
      </w:r>
      <w:r w:rsidRPr="000742C0">
        <w:rPr>
          <w:bCs/>
          <w:iCs/>
          <w:sz w:val="24"/>
          <w:szCs w:val="24"/>
        </w:rPr>
        <w:t xml:space="preserve"> Europă mai aproape de </w:t>
      </w:r>
      <w:r w:rsidR="00EE4BA7" w:rsidRPr="000742C0">
        <w:rPr>
          <w:bCs/>
          <w:iCs/>
          <w:sz w:val="24"/>
          <w:szCs w:val="24"/>
        </w:rPr>
        <w:t>cetățeni</w:t>
      </w:r>
      <w:r w:rsidRPr="000742C0">
        <w:rPr>
          <w:bCs/>
          <w:iCs/>
          <w:sz w:val="24"/>
          <w:szCs w:val="24"/>
        </w:rPr>
        <w:t>.</w:t>
      </w:r>
    </w:p>
    <w:p w:rsidR="005C2443" w:rsidRDefault="005C2443" w:rsidP="005C2443">
      <w:pPr>
        <w:tabs>
          <w:tab w:val="left" w:pos="5103"/>
        </w:tabs>
        <w:spacing w:after="0" w:line="240" w:lineRule="auto"/>
        <w:jc w:val="both"/>
        <w:rPr>
          <w:bCs/>
          <w:iCs/>
          <w:sz w:val="24"/>
          <w:szCs w:val="24"/>
        </w:rPr>
      </w:pPr>
    </w:p>
    <w:p w:rsidR="005C2443" w:rsidRDefault="005C2443" w:rsidP="005C2443">
      <w:pPr>
        <w:tabs>
          <w:tab w:val="left" w:pos="5103"/>
        </w:tabs>
        <w:spacing w:after="0" w:line="240" w:lineRule="auto"/>
        <w:jc w:val="both"/>
        <w:rPr>
          <w:bCs/>
          <w:iCs/>
          <w:sz w:val="24"/>
          <w:szCs w:val="24"/>
        </w:rPr>
      </w:pPr>
    </w:p>
    <w:p w:rsidR="005C2443" w:rsidRPr="006A0CE0" w:rsidRDefault="005C2443" w:rsidP="006A0CE0">
      <w:pPr>
        <w:pStyle w:val="ListParagraph"/>
        <w:numPr>
          <w:ilvl w:val="0"/>
          <w:numId w:val="6"/>
        </w:numPr>
        <w:shd w:val="clear" w:color="auto" w:fill="C6D9F1" w:themeFill="text2" w:themeFillTint="33"/>
        <w:jc w:val="both"/>
        <w:rPr>
          <w:rFonts w:eastAsia="MS Gothic" w:cs="Times New Roman"/>
          <w:b/>
          <w:bCs/>
          <w:kern w:val="28"/>
          <w:sz w:val="24"/>
          <w:szCs w:val="24"/>
        </w:rPr>
      </w:pPr>
      <w:r w:rsidRPr="006A0CE0">
        <w:rPr>
          <w:rFonts w:eastAsia="MS Gothic" w:cs="Times New Roman"/>
          <w:b/>
          <w:bCs/>
          <w:kern w:val="28"/>
          <w:sz w:val="24"/>
          <w:szCs w:val="24"/>
        </w:rPr>
        <w:t>Scenarii privind alocările naționale pe fonduri și obiective de politică</w:t>
      </w:r>
    </w:p>
    <w:p w:rsidR="005C2443" w:rsidRDefault="005C2443" w:rsidP="005C2443">
      <w:pPr>
        <w:pStyle w:val="ListParagraph"/>
        <w:pBdr>
          <w:top w:val="nil"/>
          <w:left w:val="nil"/>
          <w:bottom w:val="nil"/>
          <w:right w:val="nil"/>
          <w:between w:val="nil"/>
        </w:pBdr>
        <w:spacing w:after="0" w:line="240" w:lineRule="auto"/>
        <w:contextualSpacing w:val="0"/>
        <w:jc w:val="both"/>
        <w:rPr>
          <w:rFonts w:ascii="Trebuchet MS" w:eastAsia="Calibri" w:hAnsi="Trebuchet MS" w:cs="Tahoma"/>
          <w:b/>
          <w:bCs/>
          <w:color w:val="000000"/>
          <w:sz w:val="24"/>
          <w:szCs w:val="24"/>
          <w:u w:val="single"/>
          <w:lang w:eastAsia="ro-RO"/>
        </w:rPr>
      </w:pPr>
    </w:p>
    <w:p w:rsidR="006A0CE0" w:rsidRPr="00F319C0" w:rsidRDefault="006A0CE0" w:rsidP="00F319C0">
      <w:pPr>
        <w:pStyle w:val="ListParagraph"/>
        <w:numPr>
          <w:ilvl w:val="0"/>
          <w:numId w:val="1"/>
        </w:numPr>
        <w:jc w:val="both"/>
        <w:rPr>
          <w:bCs/>
          <w:iCs/>
          <w:sz w:val="24"/>
          <w:szCs w:val="24"/>
        </w:rPr>
      </w:pPr>
      <w:r w:rsidRPr="00F319C0">
        <w:rPr>
          <w:bCs/>
          <w:iCs/>
          <w:sz w:val="24"/>
          <w:szCs w:val="24"/>
        </w:rPr>
        <w:t xml:space="preserve">Conform pachetului legislativ 2021-2027 propus de Comisia Europeană, alocările dedicate României din fondurile aferente Politicii de Coeziune însumează 30,599 miliarde euro (prețuri curente) și sunt distribuite pe fonduri astfel: </w:t>
      </w:r>
    </w:p>
    <w:p w:rsidR="006A0CE0" w:rsidRPr="00F319C0" w:rsidRDefault="006A0CE0" w:rsidP="00F319C0">
      <w:pPr>
        <w:pStyle w:val="ListParagraph"/>
        <w:numPr>
          <w:ilvl w:val="0"/>
          <w:numId w:val="8"/>
        </w:numPr>
        <w:ind w:left="1134" w:hanging="283"/>
        <w:jc w:val="both"/>
        <w:rPr>
          <w:bCs/>
          <w:iCs/>
          <w:sz w:val="24"/>
          <w:szCs w:val="24"/>
        </w:rPr>
      </w:pPr>
      <w:r w:rsidRPr="00F319C0">
        <w:rPr>
          <w:bCs/>
          <w:iCs/>
          <w:sz w:val="24"/>
          <w:szCs w:val="24"/>
        </w:rPr>
        <w:t>Fondul European de Dezvoltare Regională (FEDR)  - 17,715 miliarde euro, inclusiv 392 milioane euro pentru Cooperare Teritorială Europeană</w:t>
      </w:r>
    </w:p>
    <w:p w:rsidR="006A0CE0" w:rsidRPr="00F319C0" w:rsidRDefault="006A0CE0" w:rsidP="00F319C0">
      <w:pPr>
        <w:pStyle w:val="ListParagraph"/>
        <w:numPr>
          <w:ilvl w:val="0"/>
          <w:numId w:val="8"/>
        </w:numPr>
        <w:ind w:left="1134" w:hanging="283"/>
        <w:jc w:val="both"/>
        <w:rPr>
          <w:bCs/>
          <w:iCs/>
          <w:sz w:val="24"/>
          <w:szCs w:val="24"/>
        </w:rPr>
      </w:pPr>
      <w:r w:rsidRPr="00F319C0">
        <w:rPr>
          <w:bCs/>
          <w:iCs/>
          <w:sz w:val="24"/>
          <w:szCs w:val="24"/>
        </w:rPr>
        <w:t>Fondul Social European Plus (FSE+) -  8,385 miliarde euro</w:t>
      </w:r>
    </w:p>
    <w:p w:rsidR="006A0CE0" w:rsidRDefault="006A0CE0" w:rsidP="00F319C0">
      <w:pPr>
        <w:pStyle w:val="ListParagraph"/>
        <w:numPr>
          <w:ilvl w:val="0"/>
          <w:numId w:val="8"/>
        </w:numPr>
        <w:ind w:left="1134" w:hanging="283"/>
        <w:jc w:val="both"/>
        <w:rPr>
          <w:rFonts w:ascii="Trebuchet MS" w:eastAsia="Calibri" w:hAnsi="Trebuchet MS" w:cs="Tahoma"/>
          <w:b/>
          <w:bCs/>
          <w:color w:val="000000"/>
          <w:sz w:val="24"/>
          <w:szCs w:val="24"/>
          <w:u w:val="single"/>
          <w:lang w:eastAsia="ro-RO"/>
        </w:rPr>
      </w:pPr>
      <w:r w:rsidRPr="00F319C0">
        <w:rPr>
          <w:bCs/>
          <w:iCs/>
          <w:sz w:val="24"/>
          <w:szCs w:val="24"/>
        </w:rPr>
        <w:t>Fondul de Coeziune (FC) - 4,499 miliarde euro, inclusiv alocarea de transferat către Mecanismul pentru Interconectarea Europei (</w:t>
      </w:r>
      <w:proofErr w:type="spellStart"/>
      <w:r w:rsidRPr="00F319C0">
        <w:rPr>
          <w:bCs/>
          <w:iCs/>
          <w:sz w:val="24"/>
          <w:szCs w:val="24"/>
        </w:rPr>
        <w:t>Connecting</w:t>
      </w:r>
      <w:proofErr w:type="spellEnd"/>
      <w:r w:rsidRPr="00F319C0">
        <w:rPr>
          <w:bCs/>
          <w:iCs/>
          <w:sz w:val="24"/>
          <w:szCs w:val="24"/>
        </w:rPr>
        <w:t xml:space="preserve"> Europe </w:t>
      </w:r>
      <w:proofErr w:type="spellStart"/>
      <w:r w:rsidRPr="00F319C0">
        <w:rPr>
          <w:bCs/>
          <w:iCs/>
          <w:sz w:val="24"/>
          <w:szCs w:val="24"/>
        </w:rPr>
        <w:t>Facility</w:t>
      </w:r>
      <w:proofErr w:type="spellEnd"/>
      <w:r w:rsidRPr="00F319C0">
        <w:rPr>
          <w:bCs/>
          <w:iCs/>
          <w:sz w:val="24"/>
          <w:szCs w:val="24"/>
        </w:rPr>
        <w:t xml:space="preserve"> - CEF)  - 1,091 miliarde euro</w:t>
      </w:r>
    </w:p>
    <w:p w:rsidR="006A0CE0" w:rsidRPr="0062555B" w:rsidRDefault="0062555B" w:rsidP="005C2443">
      <w:pPr>
        <w:pBdr>
          <w:top w:val="nil"/>
          <w:left w:val="nil"/>
          <w:bottom w:val="nil"/>
          <w:right w:val="nil"/>
          <w:between w:val="nil"/>
        </w:pBdr>
        <w:spacing w:after="240" w:line="240" w:lineRule="auto"/>
        <w:jc w:val="both"/>
        <w:rPr>
          <w:rFonts w:ascii="Trebuchet MS" w:eastAsia="Calibri" w:hAnsi="Trebuchet MS" w:cs="Tahoma"/>
          <w:b/>
          <w:bCs/>
          <w:color w:val="000000"/>
          <w:sz w:val="24"/>
          <w:szCs w:val="24"/>
          <w:lang w:eastAsia="ro-RO"/>
        </w:rPr>
      </w:pPr>
      <w:r w:rsidRPr="0062555B">
        <w:rPr>
          <w:rFonts w:ascii="Trebuchet MS" w:eastAsia="Calibri" w:hAnsi="Trebuchet MS" w:cs="Tahoma"/>
          <w:b/>
          <w:bCs/>
          <w:color w:val="000000"/>
          <w:sz w:val="24"/>
          <w:szCs w:val="24"/>
          <w:lang w:eastAsia="ro-RO"/>
        </w:rPr>
        <w:lastRenderedPageBreak/>
        <w:t>Având î</w:t>
      </w:r>
      <w:r w:rsidR="006631A2" w:rsidRPr="0062555B">
        <w:rPr>
          <w:rFonts w:ascii="Trebuchet MS" w:eastAsia="Calibri" w:hAnsi="Trebuchet MS" w:cs="Tahoma"/>
          <w:b/>
          <w:bCs/>
          <w:color w:val="000000"/>
          <w:sz w:val="24"/>
          <w:szCs w:val="24"/>
          <w:lang w:eastAsia="ro-RO"/>
        </w:rPr>
        <w:t xml:space="preserve">n vedere </w:t>
      </w:r>
      <w:r w:rsidRPr="0062555B">
        <w:rPr>
          <w:rFonts w:ascii="Trebuchet MS" w:eastAsia="Calibri" w:hAnsi="Trebuchet MS" w:cs="Tahoma"/>
          <w:b/>
          <w:bCs/>
          <w:color w:val="000000"/>
          <w:sz w:val="24"/>
          <w:szCs w:val="24"/>
          <w:lang w:eastAsia="ro-RO"/>
        </w:rPr>
        <w:t xml:space="preserve">limitările procentuale propuse de Comisia Europeană prin pachetul legislativ 2021-2027, </w:t>
      </w:r>
      <w:r w:rsidRPr="0062555B">
        <w:rPr>
          <w:rFonts w:ascii="Trebuchet MS" w:eastAsia="Calibri" w:hAnsi="Trebuchet MS" w:cs="Tahoma"/>
          <w:b/>
          <w:bCs/>
          <w:i/>
          <w:color w:val="000000"/>
          <w:sz w:val="24"/>
          <w:szCs w:val="24"/>
          <w:u w:val="single"/>
          <w:lang w:eastAsia="ro-RO"/>
        </w:rPr>
        <w:t>a fost realizată o simulare</w:t>
      </w:r>
      <w:r w:rsidRPr="0062555B">
        <w:rPr>
          <w:rFonts w:ascii="Trebuchet MS" w:eastAsia="Calibri" w:hAnsi="Trebuchet MS" w:cs="Tahoma"/>
          <w:b/>
          <w:bCs/>
          <w:color w:val="000000"/>
          <w:sz w:val="24"/>
          <w:szCs w:val="24"/>
          <w:lang w:eastAsia="ro-RO"/>
        </w:rPr>
        <w:t xml:space="preserve"> </w:t>
      </w:r>
      <w:r w:rsidR="006631A2" w:rsidRPr="0062555B">
        <w:rPr>
          <w:rFonts w:ascii="Trebuchet MS" w:eastAsia="Calibri" w:hAnsi="Trebuchet MS" w:cs="Tahoma"/>
          <w:b/>
          <w:bCs/>
          <w:color w:val="000000"/>
          <w:sz w:val="24"/>
          <w:szCs w:val="24"/>
          <w:lang w:eastAsia="ro-RO"/>
        </w:rPr>
        <w:t>privind alocările naționale pe fonduri și obiective de politică, scenariu care ia în considerare transferul de 5% de la FSE+ către FEDR.</w:t>
      </w:r>
    </w:p>
    <w:p w:rsidR="005C2443" w:rsidRPr="00467275" w:rsidRDefault="005C2443" w:rsidP="005C2443">
      <w:pPr>
        <w:pBdr>
          <w:top w:val="nil"/>
          <w:left w:val="nil"/>
          <w:bottom w:val="nil"/>
          <w:right w:val="nil"/>
          <w:between w:val="nil"/>
        </w:pBdr>
        <w:spacing w:after="240" w:line="240" w:lineRule="auto"/>
        <w:jc w:val="both"/>
        <w:rPr>
          <w:rFonts w:ascii="Trebuchet MS" w:eastAsia="Calibri" w:hAnsi="Trebuchet MS" w:cs="Tahoma"/>
          <w:bCs/>
          <w:color w:val="000000"/>
          <w:sz w:val="24"/>
          <w:szCs w:val="24"/>
          <w:lang w:eastAsia="ro-RO"/>
        </w:rPr>
      </w:pPr>
      <w:r w:rsidRPr="0020204D">
        <w:rPr>
          <w:rFonts w:ascii="Trebuchet MS" w:eastAsia="Calibri" w:hAnsi="Trebuchet MS" w:cs="Tahoma"/>
          <w:b/>
          <w:bCs/>
          <w:color w:val="000000"/>
          <w:sz w:val="24"/>
          <w:szCs w:val="24"/>
          <w:u w:val="single"/>
          <w:lang w:eastAsia="ro-RO"/>
        </w:rPr>
        <w:t>Alocare națională FEDR, inclusiv transfer 5% FSE+</w:t>
      </w:r>
      <w:r w:rsidRPr="0020204D">
        <w:rPr>
          <w:rFonts w:ascii="Trebuchet MS" w:eastAsia="Calibri" w:hAnsi="Trebuchet MS" w:cs="Tahoma"/>
          <w:bCs/>
          <w:color w:val="000000"/>
          <w:sz w:val="24"/>
          <w:szCs w:val="24"/>
          <w:lang w:eastAsia="ro-RO"/>
        </w:rPr>
        <w:t xml:space="preserve"> - </w:t>
      </w:r>
      <w:r w:rsidRPr="0020204D">
        <w:rPr>
          <w:rFonts w:ascii="Trebuchet MS" w:eastAsia="Calibri" w:hAnsi="Trebuchet MS" w:cs="Tahoma"/>
          <w:b/>
          <w:bCs/>
          <w:color w:val="000000"/>
          <w:sz w:val="24"/>
          <w:szCs w:val="24"/>
          <w:lang w:eastAsia="ro-RO"/>
        </w:rPr>
        <w:t>17,742 miliarde euro</w:t>
      </w:r>
      <w:r w:rsidRPr="0020204D">
        <w:rPr>
          <w:rFonts w:ascii="Trebuchet MS" w:eastAsia="Calibri" w:hAnsi="Trebuchet MS" w:cs="Tahoma"/>
          <w:bCs/>
          <w:color w:val="000000"/>
          <w:sz w:val="24"/>
          <w:szCs w:val="24"/>
          <w:lang w:eastAsia="ro-RO"/>
        </w:rPr>
        <w:t xml:space="preserve"> prețuri curente, din care 0,621 miliarde euro alocare AT</w:t>
      </w:r>
    </w:p>
    <w:tbl>
      <w:tblPr>
        <w:tblStyle w:val="TableGrid"/>
        <w:tblW w:w="4725" w:type="pct"/>
        <w:tblInd w:w="534" w:type="dxa"/>
        <w:tblLook w:val="04A0" w:firstRow="1" w:lastRow="0" w:firstColumn="1" w:lastColumn="0" w:noHBand="0" w:noVBand="1"/>
      </w:tblPr>
      <w:tblGrid>
        <w:gridCol w:w="6418"/>
        <w:gridCol w:w="778"/>
        <w:gridCol w:w="1983"/>
      </w:tblGrid>
      <w:tr w:rsidR="005C2443" w:rsidRPr="001A0415" w:rsidTr="0062555B">
        <w:tc>
          <w:tcPr>
            <w:tcW w:w="3495" w:type="pct"/>
            <w:vAlign w:val="center"/>
          </w:tcPr>
          <w:p w:rsidR="005C2443" w:rsidRPr="001A0415"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1A0415">
              <w:rPr>
                <w:rFonts w:ascii="Trebuchet MS" w:eastAsia="Calibri" w:hAnsi="Trebuchet MS" w:cs="Tahoma"/>
                <w:b/>
                <w:bCs/>
                <w:color w:val="000000"/>
                <w:sz w:val="24"/>
                <w:szCs w:val="24"/>
                <w:lang w:eastAsia="ro-RO"/>
              </w:rPr>
              <w:t>Obiectiv de Politic</w:t>
            </w:r>
            <w:r>
              <w:rPr>
                <w:rFonts w:ascii="Trebuchet MS" w:eastAsia="Calibri" w:hAnsi="Trebuchet MS" w:cs="Tahoma"/>
                <w:b/>
                <w:bCs/>
                <w:color w:val="000000"/>
                <w:sz w:val="24"/>
                <w:szCs w:val="24"/>
                <w:lang w:eastAsia="ro-RO"/>
              </w:rPr>
              <w:t>ă</w:t>
            </w:r>
          </w:p>
        </w:tc>
        <w:tc>
          <w:tcPr>
            <w:tcW w:w="424" w:type="pct"/>
            <w:vAlign w:val="center"/>
          </w:tcPr>
          <w:p w:rsidR="005C2443" w:rsidRPr="001A0415"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1A0415">
              <w:rPr>
                <w:rFonts w:ascii="Trebuchet MS" w:eastAsia="Calibri" w:hAnsi="Trebuchet MS" w:cs="Tahoma"/>
                <w:b/>
                <w:bCs/>
                <w:color w:val="000000"/>
                <w:sz w:val="24"/>
                <w:szCs w:val="24"/>
                <w:lang w:eastAsia="ro-RO"/>
              </w:rPr>
              <w:t>%</w:t>
            </w:r>
          </w:p>
        </w:tc>
        <w:tc>
          <w:tcPr>
            <w:tcW w:w="1080" w:type="pct"/>
            <w:vAlign w:val="center"/>
          </w:tcPr>
          <w:p w:rsidR="005C244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1A0415">
              <w:rPr>
                <w:rFonts w:ascii="Trebuchet MS" w:eastAsia="Calibri" w:hAnsi="Trebuchet MS" w:cs="Tahoma"/>
                <w:b/>
                <w:bCs/>
                <w:color w:val="000000"/>
                <w:sz w:val="24"/>
                <w:szCs w:val="24"/>
                <w:lang w:eastAsia="ro-RO"/>
              </w:rPr>
              <w:t xml:space="preserve">Alocare </w:t>
            </w:r>
          </w:p>
          <w:p w:rsidR="005C2443" w:rsidRPr="00E079F4" w:rsidRDefault="005C2443" w:rsidP="00EE7F1C">
            <w:pPr>
              <w:pStyle w:val="ListParagraph"/>
              <w:ind w:left="0"/>
              <w:contextualSpacing w:val="0"/>
              <w:jc w:val="center"/>
              <w:rPr>
                <w:rFonts w:ascii="Trebuchet MS" w:eastAsia="Calibri" w:hAnsi="Trebuchet MS" w:cs="Tahoma"/>
                <w:bCs/>
                <w:i/>
                <w:color w:val="000000"/>
                <w:sz w:val="24"/>
                <w:szCs w:val="24"/>
                <w:lang w:eastAsia="ro-RO"/>
              </w:rPr>
            </w:pPr>
            <w:r w:rsidRPr="00E079F4">
              <w:rPr>
                <w:rFonts w:ascii="Trebuchet MS" w:eastAsia="Calibri" w:hAnsi="Trebuchet MS" w:cs="Tahoma"/>
                <w:bCs/>
                <w:i/>
                <w:color w:val="000000"/>
                <w:sz w:val="24"/>
                <w:szCs w:val="24"/>
                <w:lang w:eastAsia="ro-RO"/>
              </w:rPr>
              <w:t>(</w:t>
            </w:r>
            <w:proofErr w:type="spellStart"/>
            <w:r w:rsidRPr="00E079F4">
              <w:rPr>
                <w:rFonts w:ascii="Trebuchet MS" w:eastAsia="Calibri" w:hAnsi="Trebuchet MS" w:cs="Tahoma"/>
                <w:bCs/>
                <w:i/>
                <w:color w:val="000000"/>
                <w:sz w:val="24"/>
                <w:szCs w:val="24"/>
                <w:lang w:eastAsia="ro-RO"/>
              </w:rPr>
              <w:t>mlrd</w:t>
            </w:r>
            <w:proofErr w:type="spellEnd"/>
            <w:r w:rsidRPr="00E079F4">
              <w:rPr>
                <w:rFonts w:ascii="Trebuchet MS" w:eastAsia="Calibri" w:hAnsi="Trebuchet MS" w:cs="Tahoma"/>
                <w:bCs/>
                <w:i/>
                <w:color w:val="000000"/>
                <w:sz w:val="24"/>
                <w:szCs w:val="24"/>
                <w:lang w:eastAsia="ro-RO"/>
              </w:rPr>
              <w:t>. euro)</w:t>
            </w:r>
          </w:p>
        </w:tc>
      </w:tr>
      <w:tr w:rsidR="005C2443" w:rsidTr="0062555B">
        <w:tc>
          <w:tcPr>
            <w:tcW w:w="3495" w:type="pct"/>
            <w:vAlign w:val="center"/>
          </w:tcPr>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 xml:space="preserve">OP 1 - </w:t>
            </w:r>
            <w:r w:rsidRPr="001A0415">
              <w:rPr>
                <w:rFonts w:ascii="Trebuchet MS" w:eastAsia="Calibri" w:hAnsi="Trebuchet MS" w:cs="Tahoma"/>
                <w:bCs/>
                <w:i/>
                <w:color w:val="000000"/>
                <w:sz w:val="24"/>
                <w:szCs w:val="24"/>
                <w:lang w:eastAsia="ro-RO"/>
              </w:rPr>
              <w:t>O Europă mai inteligentă</w:t>
            </w:r>
            <w:r w:rsidRPr="0056204A">
              <w:rPr>
                <w:rFonts w:ascii="Trebuchet MS" w:eastAsia="Calibri" w:hAnsi="Trebuchet MS" w:cs="Tahoma"/>
                <w:bCs/>
                <w:color w:val="000000"/>
                <w:sz w:val="24"/>
                <w:szCs w:val="24"/>
                <w:lang w:eastAsia="ro-RO"/>
              </w:rPr>
              <w:t xml:space="preserve"> </w:t>
            </w:r>
          </w:p>
        </w:tc>
        <w:tc>
          <w:tcPr>
            <w:tcW w:w="424" w:type="pct"/>
            <w:vAlign w:val="center"/>
          </w:tcPr>
          <w:p w:rsidR="005C244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35%</w:t>
            </w:r>
          </w:p>
        </w:tc>
        <w:tc>
          <w:tcPr>
            <w:tcW w:w="1080" w:type="pct"/>
            <w:vAlign w:val="center"/>
          </w:tcPr>
          <w:p w:rsidR="005C2443" w:rsidRPr="00E079F4"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079F4">
              <w:rPr>
                <w:rFonts w:ascii="Trebuchet MS" w:eastAsia="Calibri" w:hAnsi="Trebuchet MS" w:cs="Tahoma"/>
                <w:b/>
                <w:bCs/>
                <w:color w:val="000000"/>
                <w:sz w:val="24"/>
                <w:szCs w:val="24"/>
                <w:lang w:eastAsia="ro-RO"/>
              </w:rPr>
              <w:t>5,992</w:t>
            </w:r>
          </w:p>
        </w:tc>
      </w:tr>
      <w:tr w:rsidR="005C2443" w:rsidTr="0062555B">
        <w:tc>
          <w:tcPr>
            <w:tcW w:w="3495" w:type="pct"/>
            <w:vAlign w:val="center"/>
          </w:tcPr>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 xml:space="preserve">OP 2 - </w:t>
            </w:r>
            <w:r w:rsidRPr="001A0415">
              <w:rPr>
                <w:rFonts w:ascii="Trebuchet MS" w:eastAsia="Calibri" w:hAnsi="Trebuchet MS" w:cs="Tahoma"/>
                <w:bCs/>
                <w:i/>
                <w:color w:val="000000"/>
                <w:sz w:val="24"/>
                <w:szCs w:val="24"/>
                <w:lang w:eastAsia="ro-RO"/>
              </w:rPr>
              <w:t>O Europă mai ecologică, cu emisii reduse de carbon</w:t>
            </w:r>
          </w:p>
        </w:tc>
        <w:tc>
          <w:tcPr>
            <w:tcW w:w="424" w:type="pct"/>
            <w:vAlign w:val="center"/>
          </w:tcPr>
          <w:p w:rsidR="005C244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30%</w:t>
            </w:r>
          </w:p>
        </w:tc>
        <w:tc>
          <w:tcPr>
            <w:tcW w:w="1080" w:type="pct"/>
            <w:vAlign w:val="center"/>
          </w:tcPr>
          <w:p w:rsidR="005C2443" w:rsidRPr="00E079F4"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079F4">
              <w:rPr>
                <w:rFonts w:ascii="Trebuchet MS" w:eastAsia="Calibri" w:hAnsi="Trebuchet MS" w:cs="Tahoma"/>
                <w:b/>
                <w:bCs/>
                <w:color w:val="000000"/>
                <w:sz w:val="24"/>
                <w:szCs w:val="24"/>
                <w:lang w:eastAsia="ro-RO"/>
              </w:rPr>
              <w:t>5,136</w:t>
            </w:r>
          </w:p>
        </w:tc>
      </w:tr>
      <w:tr w:rsidR="005C2443" w:rsidTr="0062555B">
        <w:tc>
          <w:tcPr>
            <w:tcW w:w="3495" w:type="pct"/>
            <w:vAlign w:val="center"/>
          </w:tcPr>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OP 3 -</w:t>
            </w:r>
            <w:r w:rsidRPr="0056204A">
              <w:rPr>
                <w:rFonts w:ascii="Trebuchet MS" w:eastAsia="Calibri" w:hAnsi="Trebuchet MS" w:cs="Tahoma"/>
                <w:bCs/>
                <w:color w:val="000000"/>
                <w:sz w:val="24"/>
                <w:szCs w:val="24"/>
                <w:lang w:eastAsia="ro-RO"/>
              </w:rPr>
              <w:t xml:space="preserve"> O Europă mai conectată</w:t>
            </w:r>
          </w:p>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 xml:space="preserve">OP 4 - </w:t>
            </w:r>
            <w:r w:rsidRPr="0056204A">
              <w:rPr>
                <w:rFonts w:ascii="Trebuchet MS" w:eastAsia="Calibri" w:hAnsi="Trebuchet MS" w:cs="Tahoma"/>
                <w:bCs/>
                <w:color w:val="000000"/>
                <w:sz w:val="24"/>
                <w:szCs w:val="24"/>
                <w:lang w:eastAsia="ro-RO"/>
              </w:rPr>
              <w:t>O Europă mai socială</w:t>
            </w:r>
          </w:p>
        </w:tc>
        <w:tc>
          <w:tcPr>
            <w:tcW w:w="424" w:type="pct"/>
            <w:vAlign w:val="center"/>
          </w:tcPr>
          <w:p w:rsidR="005C244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29%</w:t>
            </w:r>
          </w:p>
        </w:tc>
        <w:tc>
          <w:tcPr>
            <w:tcW w:w="1080" w:type="pct"/>
            <w:vAlign w:val="center"/>
          </w:tcPr>
          <w:p w:rsidR="005C2443" w:rsidRPr="00E079F4"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Pr>
                <w:rFonts w:ascii="Trebuchet MS" w:eastAsia="Calibri" w:hAnsi="Trebuchet MS" w:cs="Tahoma"/>
                <w:b/>
                <w:bCs/>
                <w:color w:val="000000"/>
                <w:sz w:val="24"/>
                <w:szCs w:val="24"/>
                <w:lang w:eastAsia="ro-RO"/>
              </w:rPr>
              <w:t>4,966</w:t>
            </w:r>
          </w:p>
        </w:tc>
      </w:tr>
      <w:tr w:rsidR="005C2443" w:rsidTr="0062555B">
        <w:tc>
          <w:tcPr>
            <w:tcW w:w="3495" w:type="pct"/>
            <w:vAlign w:val="center"/>
          </w:tcPr>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sidRPr="0056204A">
              <w:rPr>
                <w:rFonts w:ascii="Trebuchet MS" w:eastAsia="Calibri" w:hAnsi="Trebuchet MS" w:cs="Tahoma"/>
                <w:bCs/>
                <w:color w:val="000000"/>
                <w:sz w:val="24"/>
                <w:szCs w:val="24"/>
                <w:lang w:eastAsia="ro-RO"/>
              </w:rPr>
              <w:t>O</w:t>
            </w:r>
            <w:r>
              <w:rPr>
                <w:rFonts w:ascii="Trebuchet MS" w:eastAsia="Calibri" w:hAnsi="Trebuchet MS" w:cs="Tahoma"/>
                <w:bCs/>
                <w:color w:val="000000"/>
                <w:sz w:val="24"/>
                <w:szCs w:val="24"/>
                <w:lang w:eastAsia="ro-RO"/>
              </w:rPr>
              <w:t xml:space="preserve">P 5 </w:t>
            </w:r>
            <w:r w:rsidRPr="0056204A">
              <w:rPr>
                <w:rFonts w:ascii="Trebuchet MS" w:eastAsia="Calibri" w:hAnsi="Trebuchet MS" w:cs="Tahoma"/>
                <w:bCs/>
                <w:color w:val="000000"/>
                <w:sz w:val="24"/>
                <w:szCs w:val="24"/>
                <w:lang w:eastAsia="ro-RO"/>
              </w:rPr>
              <w:t xml:space="preserve"> </w:t>
            </w:r>
            <w:r w:rsidRPr="001A0415">
              <w:rPr>
                <w:rFonts w:ascii="Trebuchet MS" w:eastAsia="Calibri" w:hAnsi="Trebuchet MS" w:cs="Tahoma"/>
                <w:bCs/>
                <w:i/>
                <w:color w:val="000000"/>
                <w:sz w:val="24"/>
                <w:szCs w:val="24"/>
                <w:lang w:eastAsia="ro-RO"/>
              </w:rPr>
              <w:t>Europă mai aproape de cetățeni</w:t>
            </w:r>
            <w:r>
              <w:rPr>
                <w:rFonts w:ascii="Trebuchet MS" w:eastAsia="Calibri" w:hAnsi="Trebuchet MS" w:cs="Tahoma"/>
                <w:bCs/>
                <w:color w:val="000000"/>
                <w:sz w:val="24"/>
                <w:szCs w:val="24"/>
                <w:lang w:eastAsia="ro-RO"/>
              </w:rPr>
              <w:t xml:space="preserve"> (</w:t>
            </w:r>
            <w:r w:rsidRPr="0056204A">
              <w:rPr>
                <w:rFonts w:ascii="Trebuchet MS" w:eastAsia="Calibri" w:hAnsi="Trebuchet MS" w:cs="Tahoma"/>
                <w:bCs/>
                <w:color w:val="000000"/>
                <w:sz w:val="24"/>
                <w:szCs w:val="24"/>
                <w:lang w:eastAsia="ro-RO"/>
              </w:rPr>
              <w:t>dezvoltarea sustenabilă și integrată a zonelor urbane, rurale și de coastă prin inițiative locale</w:t>
            </w:r>
            <w:r>
              <w:rPr>
                <w:rFonts w:ascii="Trebuchet MS" w:eastAsia="Calibri" w:hAnsi="Trebuchet MS" w:cs="Tahoma"/>
                <w:bCs/>
                <w:color w:val="000000"/>
                <w:sz w:val="24"/>
                <w:szCs w:val="24"/>
                <w:lang w:eastAsia="ro-RO"/>
              </w:rPr>
              <w:t>)</w:t>
            </w:r>
          </w:p>
        </w:tc>
        <w:tc>
          <w:tcPr>
            <w:tcW w:w="424" w:type="pct"/>
            <w:vAlign w:val="center"/>
          </w:tcPr>
          <w:p w:rsidR="005C244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6%</w:t>
            </w:r>
          </w:p>
        </w:tc>
        <w:tc>
          <w:tcPr>
            <w:tcW w:w="1080" w:type="pct"/>
            <w:vAlign w:val="center"/>
          </w:tcPr>
          <w:p w:rsidR="005C2443" w:rsidRPr="00E079F4"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079F4">
              <w:rPr>
                <w:rFonts w:ascii="Trebuchet MS" w:eastAsia="Calibri" w:hAnsi="Trebuchet MS" w:cs="Tahoma"/>
                <w:b/>
                <w:bCs/>
                <w:color w:val="000000"/>
                <w:sz w:val="24"/>
                <w:szCs w:val="24"/>
                <w:lang w:eastAsia="ro-RO"/>
              </w:rPr>
              <w:t>1,027</w:t>
            </w:r>
          </w:p>
        </w:tc>
      </w:tr>
      <w:tr w:rsidR="005C2443" w:rsidTr="0062555B">
        <w:tc>
          <w:tcPr>
            <w:tcW w:w="3495" w:type="pct"/>
            <w:vAlign w:val="center"/>
          </w:tcPr>
          <w:p w:rsidR="005C2443" w:rsidRPr="00DD5C95" w:rsidRDefault="005C2443" w:rsidP="00EE7F1C">
            <w:pPr>
              <w:pStyle w:val="ListParagraph"/>
              <w:ind w:left="0"/>
              <w:contextualSpacing w:val="0"/>
              <w:jc w:val="right"/>
              <w:rPr>
                <w:rFonts w:ascii="Trebuchet MS" w:eastAsia="Calibri" w:hAnsi="Trebuchet MS" w:cs="Tahoma"/>
                <w:b/>
                <w:bCs/>
                <w:color w:val="000000"/>
                <w:sz w:val="24"/>
                <w:szCs w:val="24"/>
                <w:lang w:eastAsia="ro-RO"/>
              </w:rPr>
            </w:pPr>
            <w:r w:rsidRPr="00DD5C95">
              <w:rPr>
                <w:rFonts w:ascii="Trebuchet MS" w:eastAsia="Calibri" w:hAnsi="Trebuchet MS" w:cs="Tahoma"/>
                <w:b/>
                <w:bCs/>
                <w:color w:val="000000"/>
                <w:sz w:val="24"/>
                <w:szCs w:val="24"/>
                <w:lang w:eastAsia="ro-RO"/>
              </w:rPr>
              <w:t>TOTAL</w:t>
            </w:r>
          </w:p>
        </w:tc>
        <w:tc>
          <w:tcPr>
            <w:tcW w:w="424" w:type="pct"/>
            <w:vAlign w:val="center"/>
          </w:tcPr>
          <w:p w:rsidR="005C2443" w:rsidRDefault="005C2443" w:rsidP="00EE7F1C">
            <w:pPr>
              <w:pStyle w:val="ListParagraph"/>
              <w:ind w:left="0"/>
              <w:contextualSpacing w:val="0"/>
              <w:jc w:val="center"/>
              <w:rPr>
                <w:rFonts w:ascii="Trebuchet MS" w:eastAsia="Calibri" w:hAnsi="Trebuchet MS" w:cs="Tahoma"/>
                <w:bCs/>
                <w:color w:val="000000"/>
                <w:sz w:val="24"/>
                <w:szCs w:val="24"/>
                <w:lang w:eastAsia="ro-RO"/>
              </w:rPr>
            </w:pPr>
          </w:p>
        </w:tc>
        <w:tc>
          <w:tcPr>
            <w:tcW w:w="1080" w:type="pct"/>
            <w:vAlign w:val="center"/>
          </w:tcPr>
          <w:p w:rsidR="005C2443" w:rsidRPr="00FA6A6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FA6A63">
              <w:rPr>
                <w:rFonts w:ascii="Trebuchet MS" w:eastAsia="Calibri" w:hAnsi="Trebuchet MS" w:cs="Tahoma"/>
                <w:b/>
                <w:bCs/>
                <w:color w:val="000000"/>
                <w:sz w:val="24"/>
                <w:szCs w:val="24"/>
                <w:lang w:eastAsia="ro-RO"/>
              </w:rPr>
              <w:t>17,121</w:t>
            </w:r>
          </w:p>
        </w:tc>
      </w:tr>
    </w:tbl>
    <w:p w:rsidR="005C2443" w:rsidRPr="00467275" w:rsidRDefault="005C2443" w:rsidP="005C2443">
      <w:pPr>
        <w:pBdr>
          <w:top w:val="nil"/>
          <w:left w:val="nil"/>
          <w:bottom w:val="nil"/>
          <w:right w:val="nil"/>
          <w:between w:val="nil"/>
        </w:pBdr>
        <w:spacing w:after="0" w:line="240" w:lineRule="auto"/>
        <w:jc w:val="both"/>
        <w:rPr>
          <w:rFonts w:ascii="Trebuchet MS" w:eastAsia="Calibri" w:hAnsi="Trebuchet MS" w:cs="Tahoma"/>
          <w:bCs/>
          <w:color w:val="000000"/>
          <w:sz w:val="24"/>
          <w:szCs w:val="24"/>
          <w:lang w:eastAsia="ro-RO"/>
        </w:rPr>
      </w:pPr>
    </w:p>
    <w:p w:rsidR="005C2443" w:rsidRPr="00467275" w:rsidRDefault="005C2443" w:rsidP="005C2443">
      <w:pPr>
        <w:pBdr>
          <w:top w:val="nil"/>
          <w:left w:val="nil"/>
          <w:bottom w:val="nil"/>
          <w:right w:val="nil"/>
          <w:between w:val="nil"/>
        </w:pBdr>
        <w:spacing w:before="240" w:after="240" w:line="240" w:lineRule="auto"/>
        <w:jc w:val="both"/>
        <w:rPr>
          <w:rFonts w:ascii="Trebuchet MS" w:eastAsia="Calibri" w:hAnsi="Trebuchet MS" w:cs="Tahoma"/>
          <w:bCs/>
          <w:color w:val="000000"/>
          <w:sz w:val="24"/>
          <w:szCs w:val="24"/>
          <w:lang w:eastAsia="ro-RO"/>
        </w:rPr>
      </w:pPr>
      <w:r w:rsidRPr="00467275">
        <w:rPr>
          <w:rFonts w:ascii="Trebuchet MS" w:eastAsia="Calibri" w:hAnsi="Trebuchet MS" w:cs="Tahoma"/>
          <w:b/>
          <w:bCs/>
          <w:color w:val="000000"/>
          <w:sz w:val="24"/>
          <w:szCs w:val="24"/>
          <w:u w:val="single"/>
          <w:lang w:eastAsia="ro-RO"/>
        </w:rPr>
        <w:t>Alocare națională FSE+, exclusiv</w:t>
      </w:r>
      <w:r w:rsidRPr="00467275">
        <w:rPr>
          <w:u w:val="single"/>
        </w:rPr>
        <w:t xml:space="preserve"> </w:t>
      </w:r>
      <w:r w:rsidRPr="00467275">
        <w:rPr>
          <w:rFonts w:ascii="Trebuchet MS" w:eastAsia="Calibri" w:hAnsi="Trebuchet MS" w:cs="Tahoma"/>
          <w:b/>
          <w:bCs/>
          <w:color w:val="000000"/>
          <w:sz w:val="24"/>
          <w:szCs w:val="24"/>
          <w:u w:val="single"/>
          <w:lang w:eastAsia="ro-RO"/>
        </w:rPr>
        <w:t>transfer 5% către FEDR</w:t>
      </w:r>
      <w:r w:rsidRPr="00467275">
        <w:rPr>
          <w:rFonts w:ascii="Trebuchet MS" w:eastAsia="Calibri" w:hAnsi="Trebuchet MS" w:cs="Tahoma"/>
          <w:bCs/>
          <w:color w:val="000000"/>
          <w:sz w:val="24"/>
          <w:szCs w:val="24"/>
          <w:lang w:eastAsia="ro-RO"/>
        </w:rPr>
        <w:t xml:space="preserve"> – </w:t>
      </w:r>
      <w:r w:rsidRPr="00467275">
        <w:rPr>
          <w:rFonts w:ascii="Trebuchet MS" w:eastAsia="Calibri" w:hAnsi="Trebuchet MS" w:cs="Tahoma"/>
          <w:b/>
          <w:bCs/>
          <w:color w:val="000000"/>
          <w:sz w:val="24"/>
          <w:szCs w:val="24"/>
          <w:lang w:eastAsia="ro-RO"/>
        </w:rPr>
        <w:t>7,966 miliarde euro</w:t>
      </w:r>
      <w:r w:rsidRPr="00467275">
        <w:rPr>
          <w:rFonts w:ascii="Trebuchet MS" w:eastAsia="Calibri" w:hAnsi="Trebuchet MS" w:cs="Tahoma"/>
          <w:bCs/>
          <w:color w:val="000000"/>
          <w:sz w:val="24"/>
          <w:szCs w:val="24"/>
          <w:lang w:eastAsia="ro-RO"/>
        </w:rPr>
        <w:t xml:space="preserve"> prețuri curente, din care 0,312 miliarde euro alocare AT</w:t>
      </w:r>
    </w:p>
    <w:tbl>
      <w:tblPr>
        <w:tblStyle w:val="TableGrid"/>
        <w:tblW w:w="4725" w:type="pct"/>
        <w:tblInd w:w="534" w:type="dxa"/>
        <w:tblLook w:val="04A0" w:firstRow="1" w:lastRow="0" w:firstColumn="1" w:lastColumn="0" w:noHBand="0" w:noVBand="1"/>
      </w:tblPr>
      <w:tblGrid>
        <w:gridCol w:w="1917"/>
        <w:gridCol w:w="4501"/>
        <w:gridCol w:w="778"/>
        <w:gridCol w:w="1983"/>
      </w:tblGrid>
      <w:tr w:rsidR="005C2443" w:rsidRPr="00E15923" w:rsidTr="0062555B">
        <w:tc>
          <w:tcPr>
            <w:tcW w:w="1044" w:type="pct"/>
            <w:vAlign w:val="center"/>
          </w:tcPr>
          <w:p w:rsidR="005C2443" w:rsidRPr="00E1592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15923">
              <w:rPr>
                <w:rFonts w:ascii="Trebuchet MS" w:eastAsia="Calibri" w:hAnsi="Trebuchet MS" w:cs="Tahoma"/>
                <w:b/>
                <w:bCs/>
                <w:color w:val="000000"/>
                <w:sz w:val="24"/>
                <w:szCs w:val="24"/>
                <w:lang w:eastAsia="ro-RO"/>
              </w:rPr>
              <w:t>Obiectiv de Politic</w:t>
            </w:r>
            <w:r>
              <w:rPr>
                <w:rFonts w:ascii="Trebuchet MS" w:eastAsia="Calibri" w:hAnsi="Trebuchet MS" w:cs="Tahoma"/>
                <w:b/>
                <w:bCs/>
                <w:color w:val="000000"/>
                <w:sz w:val="24"/>
                <w:szCs w:val="24"/>
                <w:lang w:eastAsia="ro-RO"/>
              </w:rPr>
              <w:t>ă</w:t>
            </w:r>
          </w:p>
        </w:tc>
        <w:tc>
          <w:tcPr>
            <w:tcW w:w="2452" w:type="pct"/>
            <w:vAlign w:val="center"/>
          </w:tcPr>
          <w:p w:rsidR="005C2443" w:rsidRPr="00E1592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15923">
              <w:rPr>
                <w:rFonts w:ascii="Trebuchet MS" w:eastAsia="Calibri" w:hAnsi="Trebuchet MS" w:cs="Tahoma"/>
                <w:b/>
                <w:bCs/>
                <w:color w:val="000000"/>
                <w:sz w:val="24"/>
                <w:szCs w:val="24"/>
                <w:lang w:eastAsia="ro-RO"/>
              </w:rPr>
              <w:t>Obiective specifice</w:t>
            </w:r>
          </w:p>
        </w:tc>
        <w:tc>
          <w:tcPr>
            <w:tcW w:w="424" w:type="pct"/>
            <w:vAlign w:val="center"/>
          </w:tcPr>
          <w:p w:rsidR="005C2443" w:rsidRPr="00E1592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15923">
              <w:rPr>
                <w:rFonts w:ascii="Trebuchet MS" w:eastAsia="Calibri" w:hAnsi="Trebuchet MS" w:cs="Tahoma"/>
                <w:b/>
                <w:bCs/>
                <w:color w:val="000000"/>
                <w:sz w:val="24"/>
                <w:szCs w:val="24"/>
                <w:lang w:eastAsia="ro-RO"/>
              </w:rPr>
              <w:t>%</w:t>
            </w:r>
          </w:p>
        </w:tc>
        <w:tc>
          <w:tcPr>
            <w:tcW w:w="1080" w:type="pct"/>
            <w:vAlign w:val="center"/>
          </w:tcPr>
          <w:p w:rsidR="005C2443" w:rsidRPr="00E1592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15923">
              <w:rPr>
                <w:rFonts w:ascii="Trebuchet MS" w:eastAsia="Calibri" w:hAnsi="Trebuchet MS" w:cs="Tahoma"/>
                <w:b/>
                <w:bCs/>
                <w:color w:val="000000"/>
                <w:sz w:val="24"/>
                <w:szCs w:val="24"/>
                <w:lang w:eastAsia="ro-RO"/>
              </w:rPr>
              <w:t xml:space="preserve">Alocare </w:t>
            </w:r>
          </w:p>
          <w:p w:rsidR="005C2443" w:rsidRPr="00E1592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E15923">
              <w:rPr>
                <w:rFonts w:ascii="Trebuchet MS" w:eastAsia="Calibri" w:hAnsi="Trebuchet MS" w:cs="Tahoma"/>
                <w:b/>
                <w:bCs/>
                <w:color w:val="000000"/>
                <w:sz w:val="24"/>
                <w:szCs w:val="24"/>
                <w:lang w:eastAsia="ro-RO"/>
              </w:rPr>
              <w:t>(</w:t>
            </w:r>
            <w:proofErr w:type="spellStart"/>
            <w:r w:rsidRPr="00FA6A63">
              <w:rPr>
                <w:rFonts w:ascii="Trebuchet MS" w:eastAsia="Calibri" w:hAnsi="Trebuchet MS" w:cs="Tahoma"/>
                <w:bCs/>
                <w:i/>
                <w:color w:val="000000"/>
                <w:sz w:val="24"/>
                <w:szCs w:val="24"/>
                <w:lang w:eastAsia="ro-RO"/>
              </w:rPr>
              <w:t>mlrd</w:t>
            </w:r>
            <w:proofErr w:type="spellEnd"/>
            <w:r w:rsidRPr="00FA6A63">
              <w:rPr>
                <w:rFonts w:ascii="Trebuchet MS" w:eastAsia="Calibri" w:hAnsi="Trebuchet MS" w:cs="Tahoma"/>
                <w:bCs/>
                <w:i/>
                <w:color w:val="000000"/>
                <w:sz w:val="24"/>
                <w:szCs w:val="24"/>
                <w:lang w:eastAsia="ro-RO"/>
              </w:rPr>
              <w:t>. euro)</w:t>
            </w:r>
          </w:p>
        </w:tc>
      </w:tr>
      <w:tr w:rsidR="005C2443" w:rsidTr="0062555B">
        <w:tc>
          <w:tcPr>
            <w:tcW w:w="1044" w:type="pct"/>
            <w:vMerge w:val="restart"/>
            <w:vAlign w:val="center"/>
          </w:tcPr>
          <w:p w:rsidR="005C2443" w:rsidRPr="001F1FBF" w:rsidRDefault="005C2443" w:rsidP="001F1FBF">
            <w:pPr>
              <w:pStyle w:val="ListParagraph"/>
              <w:ind w:left="0"/>
              <w:contextualSpacing w:val="0"/>
              <w:rPr>
                <w:rFonts w:ascii="Trebuchet MS" w:eastAsia="Calibri" w:hAnsi="Trebuchet MS" w:cs="Tahoma"/>
                <w:bCs/>
                <w:color w:val="000000"/>
                <w:sz w:val="24"/>
                <w:szCs w:val="24"/>
                <w:lang w:eastAsia="ro-RO"/>
              </w:rPr>
            </w:pPr>
            <w:r w:rsidRPr="001F1FBF">
              <w:rPr>
                <w:rFonts w:ascii="Trebuchet MS" w:eastAsia="Calibri" w:hAnsi="Trebuchet MS" w:cs="Tahoma"/>
                <w:bCs/>
                <w:color w:val="000000"/>
                <w:sz w:val="24"/>
                <w:szCs w:val="24"/>
                <w:lang w:eastAsia="ro-RO"/>
              </w:rPr>
              <w:t xml:space="preserve">OP 4 - </w:t>
            </w:r>
            <w:r w:rsidRPr="001F1FBF">
              <w:rPr>
                <w:rFonts w:ascii="Trebuchet MS" w:eastAsia="Calibri" w:hAnsi="Trebuchet MS" w:cs="Tahoma"/>
                <w:bCs/>
                <w:i/>
                <w:color w:val="000000"/>
                <w:sz w:val="24"/>
                <w:szCs w:val="24"/>
                <w:lang w:eastAsia="ro-RO"/>
              </w:rPr>
              <w:t>O Europă mai socială</w:t>
            </w:r>
          </w:p>
        </w:tc>
        <w:tc>
          <w:tcPr>
            <w:tcW w:w="2452" w:type="pct"/>
            <w:vAlign w:val="center"/>
          </w:tcPr>
          <w:p w:rsidR="005C2443" w:rsidRPr="001A0415"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I</w:t>
            </w:r>
            <w:r w:rsidRPr="001A0415">
              <w:rPr>
                <w:rFonts w:ascii="Trebuchet MS" w:eastAsia="Calibri" w:hAnsi="Trebuchet MS" w:cs="Tahoma"/>
                <w:bCs/>
                <w:color w:val="000000"/>
                <w:sz w:val="24"/>
                <w:szCs w:val="24"/>
                <w:lang w:eastAsia="ro-RO"/>
              </w:rPr>
              <w:t>ncluziunea socială</w:t>
            </w:r>
          </w:p>
        </w:tc>
        <w:tc>
          <w:tcPr>
            <w:tcW w:w="424" w:type="pct"/>
            <w:vAlign w:val="center"/>
          </w:tcPr>
          <w:p w:rsidR="005C2443" w:rsidRPr="00E1592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sidRPr="00E15923">
              <w:rPr>
                <w:rFonts w:ascii="Trebuchet MS" w:eastAsia="Calibri" w:hAnsi="Trebuchet MS" w:cs="Tahoma"/>
                <w:bCs/>
                <w:color w:val="000000"/>
                <w:sz w:val="24"/>
                <w:szCs w:val="24"/>
                <w:lang w:eastAsia="ro-RO"/>
              </w:rPr>
              <w:t>25%</w:t>
            </w:r>
          </w:p>
        </w:tc>
        <w:tc>
          <w:tcPr>
            <w:tcW w:w="1080" w:type="pct"/>
            <w:vAlign w:val="center"/>
          </w:tcPr>
          <w:p w:rsidR="005C2443" w:rsidRPr="0034285D"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34285D">
              <w:rPr>
                <w:rFonts w:ascii="Trebuchet MS" w:eastAsia="Calibri" w:hAnsi="Trebuchet MS" w:cs="Tahoma"/>
                <w:b/>
                <w:bCs/>
                <w:color w:val="000000"/>
                <w:sz w:val="24"/>
                <w:szCs w:val="24"/>
                <w:lang w:eastAsia="ro-RO"/>
              </w:rPr>
              <w:t>1,9</w:t>
            </w:r>
            <w:r>
              <w:rPr>
                <w:rFonts w:ascii="Trebuchet MS" w:eastAsia="Calibri" w:hAnsi="Trebuchet MS" w:cs="Tahoma"/>
                <w:b/>
                <w:bCs/>
                <w:color w:val="000000"/>
                <w:sz w:val="24"/>
                <w:szCs w:val="24"/>
                <w:lang w:eastAsia="ro-RO"/>
              </w:rPr>
              <w:t>13</w:t>
            </w:r>
          </w:p>
        </w:tc>
      </w:tr>
      <w:tr w:rsidR="005C2443" w:rsidTr="0062555B">
        <w:tc>
          <w:tcPr>
            <w:tcW w:w="1044" w:type="pct"/>
            <w:vMerge/>
            <w:vAlign w:val="center"/>
          </w:tcPr>
          <w:p w:rsidR="005C2443" w:rsidRPr="001A0415" w:rsidRDefault="005C2443" w:rsidP="00EE7F1C">
            <w:pPr>
              <w:pStyle w:val="ListParagraph"/>
              <w:ind w:left="0"/>
              <w:contextualSpacing w:val="0"/>
              <w:jc w:val="both"/>
              <w:rPr>
                <w:rFonts w:ascii="Trebuchet MS" w:eastAsia="Calibri" w:hAnsi="Trebuchet MS" w:cs="Tahoma"/>
                <w:b/>
                <w:bCs/>
                <w:color w:val="000000"/>
                <w:sz w:val="24"/>
                <w:szCs w:val="24"/>
                <w:lang w:eastAsia="ro-RO"/>
              </w:rPr>
            </w:pPr>
          </w:p>
        </w:tc>
        <w:tc>
          <w:tcPr>
            <w:tcW w:w="2452" w:type="pct"/>
            <w:vAlign w:val="center"/>
          </w:tcPr>
          <w:p w:rsidR="005C2443" w:rsidRPr="001A0415"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A</w:t>
            </w:r>
            <w:r w:rsidRPr="001A0415">
              <w:rPr>
                <w:rFonts w:ascii="Trebuchet MS" w:eastAsia="Calibri" w:hAnsi="Trebuchet MS" w:cs="Tahoma"/>
                <w:bCs/>
                <w:color w:val="000000"/>
                <w:sz w:val="24"/>
                <w:szCs w:val="24"/>
                <w:lang w:eastAsia="ro-RO"/>
              </w:rPr>
              <w:t xml:space="preserve">jutorarea </w:t>
            </w:r>
            <w:r>
              <w:rPr>
                <w:rFonts w:ascii="Trebuchet MS" w:eastAsia="Calibri" w:hAnsi="Trebuchet MS" w:cs="Tahoma"/>
                <w:bCs/>
                <w:color w:val="000000"/>
                <w:sz w:val="24"/>
                <w:szCs w:val="24"/>
                <w:lang w:eastAsia="ro-RO"/>
              </w:rPr>
              <w:t>celor mai defavorizate persoane</w:t>
            </w:r>
          </w:p>
        </w:tc>
        <w:tc>
          <w:tcPr>
            <w:tcW w:w="424" w:type="pct"/>
            <w:vAlign w:val="center"/>
          </w:tcPr>
          <w:p w:rsidR="005C2443" w:rsidRPr="00E1592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sidRPr="00E15923">
              <w:rPr>
                <w:rFonts w:ascii="Trebuchet MS" w:eastAsia="Calibri" w:hAnsi="Trebuchet MS" w:cs="Tahoma"/>
                <w:bCs/>
                <w:color w:val="000000"/>
                <w:sz w:val="24"/>
                <w:szCs w:val="24"/>
                <w:lang w:eastAsia="ro-RO"/>
              </w:rPr>
              <w:t>8%</w:t>
            </w:r>
          </w:p>
        </w:tc>
        <w:tc>
          <w:tcPr>
            <w:tcW w:w="1080" w:type="pct"/>
            <w:vAlign w:val="center"/>
          </w:tcPr>
          <w:p w:rsidR="005C2443" w:rsidRPr="0034285D"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34285D">
              <w:rPr>
                <w:rFonts w:ascii="Trebuchet MS" w:eastAsia="Calibri" w:hAnsi="Trebuchet MS" w:cs="Tahoma"/>
                <w:b/>
                <w:bCs/>
                <w:color w:val="000000"/>
                <w:sz w:val="24"/>
                <w:szCs w:val="24"/>
                <w:lang w:eastAsia="ro-RO"/>
              </w:rPr>
              <w:t>0,6</w:t>
            </w:r>
            <w:r>
              <w:rPr>
                <w:rFonts w:ascii="Trebuchet MS" w:eastAsia="Calibri" w:hAnsi="Trebuchet MS" w:cs="Tahoma"/>
                <w:b/>
                <w:bCs/>
                <w:color w:val="000000"/>
                <w:sz w:val="24"/>
                <w:szCs w:val="24"/>
                <w:lang w:eastAsia="ro-RO"/>
              </w:rPr>
              <w:t>12</w:t>
            </w:r>
          </w:p>
        </w:tc>
      </w:tr>
      <w:tr w:rsidR="005C2443" w:rsidTr="0062555B">
        <w:tc>
          <w:tcPr>
            <w:tcW w:w="1044" w:type="pct"/>
            <w:vMerge/>
            <w:vAlign w:val="center"/>
          </w:tcPr>
          <w:p w:rsidR="005C2443" w:rsidRPr="001A0415" w:rsidRDefault="005C2443" w:rsidP="00EE7F1C">
            <w:pPr>
              <w:pStyle w:val="ListParagraph"/>
              <w:ind w:left="0"/>
              <w:contextualSpacing w:val="0"/>
              <w:jc w:val="both"/>
              <w:rPr>
                <w:rFonts w:ascii="Trebuchet MS" w:eastAsia="Calibri" w:hAnsi="Trebuchet MS" w:cs="Tahoma"/>
                <w:b/>
                <w:bCs/>
                <w:color w:val="000000"/>
                <w:sz w:val="24"/>
                <w:szCs w:val="24"/>
                <w:lang w:eastAsia="ro-RO"/>
              </w:rPr>
            </w:pPr>
          </w:p>
        </w:tc>
        <w:tc>
          <w:tcPr>
            <w:tcW w:w="2452" w:type="pct"/>
            <w:vAlign w:val="center"/>
          </w:tcPr>
          <w:p w:rsidR="005C2443" w:rsidRPr="001A0415"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I</w:t>
            </w:r>
            <w:r w:rsidRPr="00E15923">
              <w:rPr>
                <w:rFonts w:ascii="Trebuchet MS" w:eastAsia="Calibri" w:hAnsi="Trebuchet MS" w:cs="Tahoma"/>
                <w:bCs/>
                <w:color w:val="000000"/>
                <w:sz w:val="24"/>
                <w:szCs w:val="24"/>
                <w:lang w:eastAsia="ro-RO"/>
              </w:rPr>
              <w:t>nițiativ</w:t>
            </w:r>
            <w:r>
              <w:rPr>
                <w:rFonts w:ascii="Trebuchet MS" w:eastAsia="Calibri" w:hAnsi="Trebuchet MS" w:cs="Tahoma"/>
                <w:bCs/>
                <w:color w:val="000000"/>
                <w:sz w:val="24"/>
                <w:szCs w:val="24"/>
                <w:lang w:eastAsia="ro-RO"/>
              </w:rPr>
              <w:t>a</w:t>
            </w:r>
            <w:r w:rsidRPr="00E15923">
              <w:rPr>
                <w:rFonts w:ascii="Trebuchet MS" w:eastAsia="Calibri" w:hAnsi="Trebuchet MS" w:cs="Tahoma"/>
                <w:bCs/>
                <w:color w:val="000000"/>
                <w:sz w:val="24"/>
                <w:szCs w:val="24"/>
                <w:lang w:eastAsia="ro-RO"/>
              </w:rPr>
              <w:t xml:space="preserve"> dedicat</w:t>
            </w:r>
            <w:r>
              <w:rPr>
                <w:rFonts w:ascii="Trebuchet MS" w:eastAsia="Calibri" w:hAnsi="Trebuchet MS" w:cs="Tahoma"/>
                <w:bCs/>
                <w:color w:val="000000"/>
                <w:sz w:val="24"/>
                <w:szCs w:val="24"/>
                <w:lang w:eastAsia="ro-RO"/>
              </w:rPr>
              <w:t>ă</w:t>
            </w:r>
            <w:r w:rsidRPr="00E15923">
              <w:rPr>
                <w:rFonts w:ascii="Trebuchet MS" w:eastAsia="Calibri" w:hAnsi="Trebuchet MS" w:cs="Tahoma"/>
                <w:bCs/>
                <w:color w:val="000000"/>
                <w:sz w:val="24"/>
                <w:szCs w:val="24"/>
                <w:lang w:eastAsia="ro-RO"/>
              </w:rPr>
              <w:t xml:space="preserve"> tinerilor</w:t>
            </w:r>
            <w:r>
              <w:rPr>
                <w:rFonts w:ascii="Trebuchet MS" w:eastAsia="Calibri" w:hAnsi="Trebuchet MS" w:cs="Tahoma"/>
                <w:bCs/>
                <w:color w:val="000000"/>
                <w:sz w:val="24"/>
                <w:szCs w:val="24"/>
                <w:lang w:eastAsia="ro-RO"/>
              </w:rPr>
              <w:t xml:space="preserve"> </w:t>
            </w:r>
            <w:proofErr w:type="spellStart"/>
            <w:r>
              <w:rPr>
                <w:rFonts w:ascii="Trebuchet MS" w:eastAsia="Calibri" w:hAnsi="Trebuchet MS" w:cs="Tahoma"/>
                <w:bCs/>
                <w:color w:val="000000"/>
                <w:sz w:val="24"/>
                <w:szCs w:val="24"/>
                <w:lang w:eastAsia="ro-RO"/>
              </w:rPr>
              <w:t>NEETs</w:t>
            </w:r>
            <w:proofErr w:type="spellEnd"/>
          </w:p>
        </w:tc>
        <w:tc>
          <w:tcPr>
            <w:tcW w:w="424" w:type="pct"/>
            <w:vAlign w:val="center"/>
          </w:tcPr>
          <w:p w:rsidR="005C2443" w:rsidRPr="00E1592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sidRPr="00E15923">
              <w:rPr>
                <w:rFonts w:ascii="Trebuchet MS" w:eastAsia="Calibri" w:hAnsi="Trebuchet MS" w:cs="Tahoma"/>
                <w:bCs/>
                <w:color w:val="000000"/>
                <w:sz w:val="24"/>
                <w:szCs w:val="24"/>
                <w:lang w:eastAsia="ro-RO"/>
              </w:rPr>
              <w:t>10%</w:t>
            </w:r>
          </w:p>
        </w:tc>
        <w:tc>
          <w:tcPr>
            <w:tcW w:w="1080" w:type="pct"/>
            <w:vAlign w:val="center"/>
          </w:tcPr>
          <w:p w:rsidR="005C2443" w:rsidRPr="0034285D"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34285D">
              <w:rPr>
                <w:rFonts w:ascii="Trebuchet MS" w:eastAsia="Calibri" w:hAnsi="Trebuchet MS" w:cs="Tahoma"/>
                <w:b/>
                <w:bCs/>
                <w:color w:val="000000"/>
                <w:sz w:val="24"/>
                <w:szCs w:val="24"/>
                <w:lang w:eastAsia="ro-RO"/>
              </w:rPr>
              <w:t>0,7</w:t>
            </w:r>
            <w:r>
              <w:rPr>
                <w:rFonts w:ascii="Trebuchet MS" w:eastAsia="Calibri" w:hAnsi="Trebuchet MS" w:cs="Tahoma"/>
                <w:b/>
                <w:bCs/>
                <w:color w:val="000000"/>
                <w:sz w:val="24"/>
                <w:szCs w:val="24"/>
                <w:lang w:eastAsia="ro-RO"/>
              </w:rPr>
              <w:t>65</w:t>
            </w:r>
          </w:p>
        </w:tc>
      </w:tr>
      <w:tr w:rsidR="005C2443" w:rsidTr="0062555B">
        <w:tc>
          <w:tcPr>
            <w:tcW w:w="1044" w:type="pct"/>
            <w:vMerge/>
            <w:vAlign w:val="center"/>
          </w:tcPr>
          <w:p w:rsidR="005C2443" w:rsidRPr="001A0415" w:rsidRDefault="005C2443" w:rsidP="00EE7F1C">
            <w:pPr>
              <w:pStyle w:val="ListParagraph"/>
              <w:ind w:left="0"/>
              <w:contextualSpacing w:val="0"/>
              <w:jc w:val="both"/>
              <w:rPr>
                <w:rFonts w:ascii="Trebuchet MS" w:eastAsia="Calibri" w:hAnsi="Trebuchet MS" w:cs="Tahoma"/>
                <w:b/>
                <w:bCs/>
                <w:color w:val="000000"/>
                <w:sz w:val="24"/>
                <w:szCs w:val="24"/>
                <w:lang w:eastAsia="ro-RO"/>
              </w:rPr>
            </w:pPr>
          </w:p>
        </w:tc>
        <w:tc>
          <w:tcPr>
            <w:tcW w:w="2452" w:type="pct"/>
            <w:vAlign w:val="center"/>
          </w:tcPr>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Alte obiective specifice FSE+</w:t>
            </w:r>
          </w:p>
        </w:tc>
        <w:tc>
          <w:tcPr>
            <w:tcW w:w="424" w:type="pct"/>
            <w:vAlign w:val="center"/>
          </w:tcPr>
          <w:p w:rsidR="005C2443" w:rsidRPr="00E15923"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57%</w:t>
            </w:r>
          </w:p>
        </w:tc>
        <w:tc>
          <w:tcPr>
            <w:tcW w:w="1080" w:type="pct"/>
            <w:vAlign w:val="center"/>
          </w:tcPr>
          <w:p w:rsidR="005C2443" w:rsidRPr="0034285D"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34285D">
              <w:rPr>
                <w:rFonts w:ascii="Trebuchet MS" w:eastAsia="Calibri" w:hAnsi="Trebuchet MS" w:cs="Tahoma"/>
                <w:b/>
                <w:bCs/>
                <w:color w:val="000000"/>
                <w:sz w:val="24"/>
                <w:szCs w:val="24"/>
                <w:lang w:eastAsia="ro-RO"/>
              </w:rPr>
              <w:t>4,</w:t>
            </w:r>
            <w:r>
              <w:rPr>
                <w:rFonts w:ascii="Trebuchet MS" w:eastAsia="Calibri" w:hAnsi="Trebuchet MS" w:cs="Tahoma"/>
                <w:b/>
                <w:bCs/>
                <w:color w:val="000000"/>
                <w:sz w:val="24"/>
                <w:szCs w:val="24"/>
                <w:lang w:eastAsia="ro-RO"/>
              </w:rPr>
              <w:t>363</w:t>
            </w:r>
          </w:p>
        </w:tc>
      </w:tr>
      <w:tr w:rsidR="005C2443" w:rsidTr="0062555B">
        <w:tc>
          <w:tcPr>
            <w:tcW w:w="3495" w:type="pct"/>
            <w:gridSpan w:val="2"/>
            <w:vAlign w:val="center"/>
          </w:tcPr>
          <w:p w:rsidR="005C2443" w:rsidRDefault="005C2443" w:rsidP="00EE7F1C">
            <w:pPr>
              <w:pStyle w:val="ListParagraph"/>
              <w:ind w:left="0"/>
              <w:contextualSpacing w:val="0"/>
              <w:jc w:val="right"/>
              <w:rPr>
                <w:rFonts w:ascii="Trebuchet MS" w:eastAsia="Calibri" w:hAnsi="Trebuchet MS" w:cs="Tahoma"/>
                <w:bCs/>
                <w:color w:val="000000"/>
                <w:sz w:val="24"/>
                <w:szCs w:val="24"/>
                <w:lang w:eastAsia="ro-RO"/>
              </w:rPr>
            </w:pPr>
            <w:r>
              <w:rPr>
                <w:rFonts w:ascii="Trebuchet MS" w:eastAsia="Calibri" w:hAnsi="Trebuchet MS" w:cs="Tahoma"/>
                <w:b/>
                <w:bCs/>
                <w:color w:val="000000"/>
                <w:sz w:val="24"/>
                <w:szCs w:val="24"/>
                <w:lang w:eastAsia="ro-RO"/>
              </w:rPr>
              <w:t>TOTAL</w:t>
            </w:r>
          </w:p>
        </w:tc>
        <w:tc>
          <w:tcPr>
            <w:tcW w:w="424" w:type="pct"/>
            <w:vAlign w:val="center"/>
          </w:tcPr>
          <w:p w:rsidR="005C2443" w:rsidRPr="00E15923" w:rsidRDefault="005C2443" w:rsidP="00EE7F1C">
            <w:pPr>
              <w:pStyle w:val="ListParagraph"/>
              <w:ind w:left="0"/>
              <w:contextualSpacing w:val="0"/>
              <w:jc w:val="center"/>
              <w:rPr>
                <w:rFonts w:ascii="Trebuchet MS" w:eastAsia="Calibri" w:hAnsi="Trebuchet MS" w:cs="Tahoma"/>
                <w:bCs/>
                <w:color w:val="000000"/>
                <w:sz w:val="24"/>
                <w:szCs w:val="24"/>
                <w:lang w:eastAsia="ro-RO"/>
              </w:rPr>
            </w:pPr>
          </w:p>
        </w:tc>
        <w:tc>
          <w:tcPr>
            <w:tcW w:w="1080" w:type="pct"/>
            <w:vAlign w:val="center"/>
          </w:tcPr>
          <w:p w:rsidR="005C2443" w:rsidRPr="001A0415" w:rsidRDefault="005C2443" w:rsidP="00EE7F1C">
            <w:pPr>
              <w:pStyle w:val="ListParagraph"/>
              <w:ind w:left="0"/>
              <w:contextualSpacing w:val="0"/>
              <w:jc w:val="center"/>
              <w:rPr>
                <w:rFonts w:ascii="Trebuchet MS" w:eastAsia="Calibri" w:hAnsi="Trebuchet MS" w:cs="Tahoma"/>
                <w:bCs/>
                <w:color w:val="000000"/>
                <w:sz w:val="24"/>
                <w:szCs w:val="24"/>
                <w:lang w:eastAsia="ro-RO"/>
              </w:rPr>
            </w:pPr>
            <w:r w:rsidRPr="00FA6A63">
              <w:rPr>
                <w:rFonts w:ascii="Trebuchet MS" w:eastAsia="Calibri" w:hAnsi="Trebuchet MS" w:cs="Tahoma"/>
                <w:b/>
                <w:bCs/>
                <w:color w:val="000000"/>
                <w:sz w:val="24"/>
                <w:szCs w:val="24"/>
                <w:lang w:eastAsia="ro-RO"/>
              </w:rPr>
              <w:t>7,</w:t>
            </w:r>
            <w:r>
              <w:rPr>
                <w:rFonts w:ascii="Trebuchet MS" w:eastAsia="Calibri" w:hAnsi="Trebuchet MS" w:cs="Tahoma"/>
                <w:b/>
                <w:bCs/>
                <w:color w:val="000000"/>
                <w:sz w:val="24"/>
                <w:szCs w:val="24"/>
                <w:lang w:eastAsia="ro-RO"/>
              </w:rPr>
              <w:t>654</w:t>
            </w:r>
          </w:p>
        </w:tc>
      </w:tr>
    </w:tbl>
    <w:p w:rsidR="005C2443" w:rsidRDefault="005C2443" w:rsidP="005C2443">
      <w:pPr>
        <w:pStyle w:val="ListParagraph"/>
        <w:pBdr>
          <w:top w:val="nil"/>
          <w:left w:val="nil"/>
          <w:bottom w:val="nil"/>
          <w:right w:val="nil"/>
          <w:between w:val="nil"/>
        </w:pBdr>
        <w:spacing w:after="0" w:line="240" w:lineRule="auto"/>
        <w:contextualSpacing w:val="0"/>
        <w:jc w:val="both"/>
        <w:rPr>
          <w:rFonts w:ascii="Trebuchet MS" w:eastAsia="Calibri" w:hAnsi="Trebuchet MS" w:cs="Tahoma"/>
          <w:bCs/>
          <w:color w:val="000000"/>
          <w:sz w:val="24"/>
          <w:szCs w:val="24"/>
          <w:lang w:eastAsia="ro-RO"/>
        </w:rPr>
      </w:pPr>
    </w:p>
    <w:p w:rsidR="005C2443" w:rsidRPr="00467275" w:rsidRDefault="005C2443" w:rsidP="005C2443">
      <w:pPr>
        <w:pBdr>
          <w:top w:val="nil"/>
          <w:left w:val="nil"/>
          <w:bottom w:val="nil"/>
          <w:right w:val="nil"/>
          <w:between w:val="nil"/>
        </w:pBdr>
        <w:spacing w:before="240" w:after="240" w:line="240" w:lineRule="auto"/>
        <w:jc w:val="both"/>
        <w:rPr>
          <w:rFonts w:ascii="Trebuchet MS" w:eastAsia="Calibri" w:hAnsi="Trebuchet MS" w:cs="Tahoma"/>
          <w:bCs/>
          <w:color w:val="000000"/>
          <w:sz w:val="24"/>
          <w:szCs w:val="24"/>
          <w:lang w:eastAsia="ro-RO"/>
        </w:rPr>
      </w:pPr>
      <w:r w:rsidRPr="00467275">
        <w:rPr>
          <w:rFonts w:ascii="Trebuchet MS" w:eastAsia="Calibri" w:hAnsi="Trebuchet MS" w:cs="Tahoma"/>
          <w:b/>
          <w:bCs/>
          <w:color w:val="000000"/>
          <w:sz w:val="24"/>
          <w:szCs w:val="24"/>
          <w:u w:val="single"/>
          <w:lang w:eastAsia="ro-RO"/>
        </w:rPr>
        <w:t>Alocare națională FC</w:t>
      </w:r>
      <w:r w:rsidRPr="00467275">
        <w:rPr>
          <w:rFonts w:ascii="Trebuchet MS" w:eastAsia="Calibri" w:hAnsi="Trebuchet MS" w:cs="Tahoma"/>
          <w:b/>
          <w:bCs/>
          <w:color w:val="000000"/>
          <w:sz w:val="24"/>
          <w:szCs w:val="24"/>
          <w:lang w:eastAsia="ro-RO"/>
        </w:rPr>
        <w:t xml:space="preserve"> – 4,499</w:t>
      </w:r>
      <w:r w:rsidRPr="00467275">
        <w:rPr>
          <w:rFonts w:ascii="Trebuchet MS" w:eastAsia="Calibri" w:hAnsi="Trebuchet MS" w:cs="Tahoma"/>
          <w:bCs/>
          <w:color w:val="000000"/>
          <w:sz w:val="24"/>
          <w:szCs w:val="24"/>
          <w:lang w:eastAsia="ro-RO"/>
        </w:rPr>
        <w:t xml:space="preserve"> miliarde euro prețuri curente</w:t>
      </w:r>
    </w:p>
    <w:tbl>
      <w:tblPr>
        <w:tblStyle w:val="TableGrid"/>
        <w:tblW w:w="4725" w:type="pct"/>
        <w:tblInd w:w="534" w:type="dxa"/>
        <w:tblLook w:val="04A0" w:firstRow="1" w:lastRow="0" w:firstColumn="1" w:lastColumn="0" w:noHBand="0" w:noVBand="1"/>
      </w:tblPr>
      <w:tblGrid>
        <w:gridCol w:w="7165"/>
        <w:gridCol w:w="2014"/>
      </w:tblGrid>
      <w:tr w:rsidR="005C2443" w:rsidRPr="001A0415" w:rsidTr="0062555B">
        <w:tc>
          <w:tcPr>
            <w:tcW w:w="3903" w:type="pct"/>
            <w:vAlign w:val="center"/>
          </w:tcPr>
          <w:p w:rsidR="005C2443" w:rsidRPr="001A0415"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1A0415">
              <w:rPr>
                <w:rFonts w:ascii="Trebuchet MS" w:eastAsia="Calibri" w:hAnsi="Trebuchet MS" w:cs="Tahoma"/>
                <w:b/>
                <w:bCs/>
                <w:color w:val="000000"/>
                <w:sz w:val="24"/>
                <w:szCs w:val="24"/>
                <w:lang w:eastAsia="ro-RO"/>
              </w:rPr>
              <w:t>Obiectiv de Politic</w:t>
            </w:r>
            <w:r>
              <w:rPr>
                <w:rFonts w:ascii="Trebuchet MS" w:eastAsia="Calibri" w:hAnsi="Trebuchet MS" w:cs="Tahoma"/>
                <w:b/>
                <w:bCs/>
                <w:color w:val="000000"/>
                <w:sz w:val="24"/>
                <w:szCs w:val="24"/>
                <w:lang w:eastAsia="ro-RO"/>
              </w:rPr>
              <w:t>ă</w:t>
            </w:r>
          </w:p>
        </w:tc>
        <w:tc>
          <w:tcPr>
            <w:tcW w:w="1097" w:type="pct"/>
            <w:vAlign w:val="center"/>
          </w:tcPr>
          <w:p w:rsidR="005C244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1A0415">
              <w:rPr>
                <w:rFonts w:ascii="Trebuchet MS" w:eastAsia="Calibri" w:hAnsi="Trebuchet MS" w:cs="Tahoma"/>
                <w:b/>
                <w:bCs/>
                <w:color w:val="000000"/>
                <w:sz w:val="24"/>
                <w:szCs w:val="24"/>
                <w:lang w:eastAsia="ro-RO"/>
              </w:rPr>
              <w:t xml:space="preserve">Alocare </w:t>
            </w:r>
          </w:p>
          <w:p w:rsidR="005C2443" w:rsidRPr="001A0415"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FA6A63">
              <w:rPr>
                <w:rFonts w:ascii="Trebuchet MS" w:eastAsia="Calibri" w:hAnsi="Trebuchet MS" w:cs="Tahoma"/>
                <w:bCs/>
                <w:i/>
                <w:color w:val="000000"/>
                <w:sz w:val="24"/>
                <w:szCs w:val="24"/>
                <w:lang w:eastAsia="ro-RO"/>
              </w:rPr>
              <w:t>(</w:t>
            </w:r>
            <w:proofErr w:type="spellStart"/>
            <w:r w:rsidRPr="00FA6A63">
              <w:rPr>
                <w:rFonts w:ascii="Trebuchet MS" w:eastAsia="Calibri" w:hAnsi="Trebuchet MS" w:cs="Tahoma"/>
                <w:bCs/>
                <w:i/>
                <w:color w:val="000000"/>
                <w:sz w:val="24"/>
                <w:szCs w:val="24"/>
                <w:lang w:eastAsia="ro-RO"/>
              </w:rPr>
              <w:t>mlrd</w:t>
            </w:r>
            <w:proofErr w:type="spellEnd"/>
            <w:r w:rsidRPr="00FA6A63">
              <w:rPr>
                <w:rFonts w:ascii="Trebuchet MS" w:eastAsia="Calibri" w:hAnsi="Trebuchet MS" w:cs="Tahoma"/>
                <w:bCs/>
                <w:i/>
                <w:color w:val="000000"/>
                <w:sz w:val="24"/>
                <w:szCs w:val="24"/>
                <w:lang w:eastAsia="ro-RO"/>
              </w:rPr>
              <w:t>. euro)</w:t>
            </w:r>
          </w:p>
        </w:tc>
      </w:tr>
      <w:tr w:rsidR="005C2443" w:rsidTr="0062555B">
        <w:trPr>
          <w:trHeight w:val="567"/>
        </w:trPr>
        <w:tc>
          <w:tcPr>
            <w:tcW w:w="3903" w:type="pct"/>
            <w:vAlign w:val="center"/>
          </w:tcPr>
          <w:p w:rsidR="005C2443" w:rsidRDefault="005C2443" w:rsidP="00EE7F1C">
            <w:pPr>
              <w:pStyle w:val="ListParagraph"/>
              <w:ind w:left="0"/>
              <w:jc w:val="both"/>
              <w:rPr>
                <w:rFonts w:ascii="Trebuchet MS" w:eastAsia="Calibri" w:hAnsi="Trebuchet MS" w:cs="Tahoma"/>
                <w:bCs/>
                <w:i/>
                <w:color w:val="000000"/>
                <w:sz w:val="24"/>
                <w:szCs w:val="24"/>
                <w:lang w:eastAsia="ro-RO"/>
              </w:rPr>
            </w:pPr>
            <w:r>
              <w:rPr>
                <w:rFonts w:ascii="Trebuchet MS" w:eastAsia="Calibri" w:hAnsi="Trebuchet MS" w:cs="Tahoma"/>
                <w:bCs/>
                <w:color w:val="000000"/>
                <w:sz w:val="24"/>
                <w:szCs w:val="24"/>
                <w:lang w:eastAsia="ro-RO"/>
              </w:rPr>
              <w:t xml:space="preserve">OP 2 - </w:t>
            </w:r>
            <w:r w:rsidRPr="001A0415">
              <w:rPr>
                <w:rFonts w:ascii="Trebuchet MS" w:eastAsia="Calibri" w:hAnsi="Trebuchet MS" w:cs="Tahoma"/>
                <w:bCs/>
                <w:i/>
                <w:color w:val="000000"/>
                <w:sz w:val="24"/>
                <w:szCs w:val="24"/>
                <w:lang w:eastAsia="ro-RO"/>
              </w:rPr>
              <w:t>O Europă mai ecologică, cu emisii reduse de carbon</w:t>
            </w:r>
          </w:p>
          <w:p w:rsidR="005C2443" w:rsidRDefault="005C2443" w:rsidP="00EE7F1C">
            <w:pPr>
              <w:pStyle w:val="ListParagraph"/>
              <w:ind w:left="0"/>
              <w:contextualSpacing w:val="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OP 3 -</w:t>
            </w:r>
            <w:r w:rsidRPr="0056204A">
              <w:rPr>
                <w:rFonts w:ascii="Trebuchet MS" w:eastAsia="Calibri" w:hAnsi="Trebuchet MS" w:cs="Tahoma"/>
                <w:bCs/>
                <w:color w:val="000000"/>
                <w:sz w:val="24"/>
                <w:szCs w:val="24"/>
                <w:lang w:eastAsia="ro-RO"/>
              </w:rPr>
              <w:t xml:space="preserve"> </w:t>
            </w:r>
            <w:r w:rsidRPr="00DD5C95">
              <w:rPr>
                <w:rFonts w:ascii="Trebuchet MS" w:eastAsia="Calibri" w:hAnsi="Trebuchet MS" w:cs="Tahoma"/>
                <w:bCs/>
                <w:i/>
                <w:color w:val="000000"/>
                <w:sz w:val="24"/>
                <w:szCs w:val="24"/>
                <w:lang w:eastAsia="ro-RO"/>
              </w:rPr>
              <w:t>O Europă mai conectată</w:t>
            </w:r>
          </w:p>
        </w:tc>
        <w:tc>
          <w:tcPr>
            <w:tcW w:w="1097" w:type="pct"/>
            <w:vAlign w:val="center"/>
          </w:tcPr>
          <w:p w:rsidR="005C2443" w:rsidRPr="00FA6A6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Pr>
                <w:rFonts w:ascii="Trebuchet MS" w:eastAsia="Calibri" w:hAnsi="Trebuchet MS" w:cs="Tahoma"/>
                <w:b/>
                <w:bCs/>
                <w:color w:val="000000"/>
                <w:sz w:val="24"/>
                <w:szCs w:val="24"/>
                <w:lang w:eastAsia="ro-RO"/>
              </w:rPr>
              <w:t>3,323</w:t>
            </w:r>
          </w:p>
        </w:tc>
      </w:tr>
      <w:tr w:rsidR="005C2443" w:rsidTr="0062555B">
        <w:trPr>
          <w:trHeight w:val="567"/>
        </w:trPr>
        <w:tc>
          <w:tcPr>
            <w:tcW w:w="3903" w:type="pct"/>
            <w:vAlign w:val="center"/>
          </w:tcPr>
          <w:p w:rsidR="005C2443" w:rsidRDefault="005C2443" w:rsidP="00EE7F1C">
            <w:pPr>
              <w:pStyle w:val="ListParagraph"/>
              <w:ind w:left="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 xml:space="preserve">Asistență Tehnică </w:t>
            </w:r>
          </w:p>
        </w:tc>
        <w:tc>
          <w:tcPr>
            <w:tcW w:w="1097" w:type="pct"/>
            <w:vAlign w:val="center"/>
          </w:tcPr>
          <w:p w:rsidR="005C2443" w:rsidRPr="00FA6A6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FA6A63">
              <w:rPr>
                <w:rFonts w:ascii="Trebuchet MS" w:eastAsia="Calibri" w:hAnsi="Trebuchet MS" w:cs="Tahoma"/>
                <w:b/>
                <w:bCs/>
                <w:color w:val="000000"/>
                <w:sz w:val="24"/>
                <w:szCs w:val="24"/>
                <w:lang w:eastAsia="ro-RO"/>
              </w:rPr>
              <w:t>0,085</w:t>
            </w:r>
          </w:p>
        </w:tc>
      </w:tr>
      <w:tr w:rsidR="005C2443" w:rsidTr="0062555B">
        <w:trPr>
          <w:trHeight w:val="567"/>
        </w:trPr>
        <w:tc>
          <w:tcPr>
            <w:tcW w:w="3903" w:type="pct"/>
            <w:vAlign w:val="center"/>
          </w:tcPr>
          <w:p w:rsidR="005C2443" w:rsidRDefault="005C2443" w:rsidP="00EE7F1C">
            <w:pPr>
              <w:pStyle w:val="ListParagraph"/>
              <w:ind w:left="0"/>
              <w:jc w:val="both"/>
              <w:rPr>
                <w:rFonts w:ascii="Trebuchet MS" w:eastAsia="Calibri" w:hAnsi="Trebuchet MS" w:cs="Tahoma"/>
                <w:bCs/>
                <w:color w:val="000000"/>
                <w:sz w:val="24"/>
                <w:szCs w:val="24"/>
                <w:lang w:eastAsia="ro-RO"/>
              </w:rPr>
            </w:pPr>
            <w:r>
              <w:rPr>
                <w:rFonts w:ascii="Trebuchet MS" w:eastAsia="Calibri" w:hAnsi="Trebuchet MS" w:cs="Tahoma"/>
                <w:bCs/>
                <w:color w:val="000000"/>
                <w:sz w:val="24"/>
                <w:szCs w:val="24"/>
                <w:lang w:eastAsia="ro-RO"/>
              </w:rPr>
              <w:t>Transfer către Mecanismul pentru Interconectarea Europei 2.0</w:t>
            </w:r>
          </w:p>
        </w:tc>
        <w:tc>
          <w:tcPr>
            <w:tcW w:w="1097" w:type="pct"/>
            <w:vAlign w:val="center"/>
          </w:tcPr>
          <w:p w:rsidR="005C2443" w:rsidRPr="00FA6A63" w:rsidRDefault="005C2443" w:rsidP="00EE7F1C">
            <w:pPr>
              <w:pStyle w:val="ListParagraph"/>
              <w:ind w:left="0"/>
              <w:contextualSpacing w:val="0"/>
              <w:jc w:val="center"/>
              <w:rPr>
                <w:rFonts w:ascii="Trebuchet MS" w:eastAsia="Calibri" w:hAnsi="Trebuchet MS" w:cs="Tahoma"/>
                <w:b/>
                <w:bCs/>
                <w:color w:val="000000"/>
                <w:sz w:val="24"/>
                <w:szCs w:val="24"/>
                <w:lang w:eastAsia="ro-RO"/>
              </w:rPr>
            </w:pPr>
            <w:r w:rsidRPr="00FA6A63">
              <w:rPr>
                <w:rFonts w:ascii="Trebuchet MS" w:eastAsia="Calibri" w:hAnsi="Trebuchet MS" w:cs="Tahoma"/>
                <w:b/>
                <w:bCs/>
                <w:color w:val="000000"/>
                <w:sz w:val="24"/>
                <w:szCs w:val="24"/>
                <w:lang w:eastAsia="ro-RO"/>
              </w:rPr>
              <w:t>1,091</w:t>
            </w:r>
          </w:p>
        </w:tc>
      </w:tr>
    </w:tbl>
    <w:p w:rsidR="005C2443" w:rsidRPr="00DD5C95" w:rsidRDefault="005C2443" w:rsidP="005C2443">
      <w:pPr>
        <w:pStyle w:val="ListParagraph"/>
        <w:pBdr>
          <w:top w:val="nil"/>
          <w:left w:val="nil"/>
          <w:bottom w:val="nil"/>
          <w:right w:val="nil"/>
          <w:between w:val="nil"/>
        </w:pBdr>
        <w:spacing w:after="0" w:line="240" w:lineRule="auto"/>
        <w:contextualSpacing w:val="0"/>
        <w:jc w:val="both"/>
        <w:rPr>
          <w:rFonts w:ascii="Trebuchet MS" w:eastAsia="Calibri" w:hAnsi="Trebuchet MS" w:cs="Tahoma"/>
          <w:bCs/>
          <w:color w:val="000000"/>
          <w:sz w:val="24"/>
          <w:szCs w:val="24"/>
          <w:lang w:eastAsia="ro-RO"/>
        </w:rPr>
      </w:pPr>
    </w:p>
    <w:p w:rsidR="005C2443" w:rsidRPr="000742C0" w:rsidRDefault="005C2443" w:rsidP="005C2443">
      <w:pPr>
        <w:tabs>
          <w:tab w:val="left" w:pos="5103"/>
        </w:tabs>
        <w:spacing w:after="0" w:line="240" w:lineRule="auto"/>
        <w:jc w:val="both"/>
        <w:rPr>
          <w:bCs/>
          <w:iCs/>
          <w:sz w:val="24"/>
          <w:szCs w:val="24"/>
        </w:rPr>
      </w:pPr>
    </w:p>
    <w:sectPr w:rsidR="005C2443" w:rsidRPr="000742C0" w:rsidSect="00C62116">
      <w:footerReference w:type="default" r:id="rId8"/>
      <w:pgSz w:w="11906" w:h="16838"/>
      <w:pgMar w:top="851" w:right="1133" w:bottom="851" w:left="1276"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83" w:rsidRDefault="005F1583" w:rsidP="00C732A5">
      <w:pPr>
        <w:spacing w:after="0" w:line="240" w:lineRule="auto"/>
      </w:pPr>
      <w:r>
        <w:separator/>
      </w:r>
    </w:p>
  </w:endnote>
  <w:endnote w:type="continuationSeparator" w:id="0">
    <w:p w:rsidR="005F1583" w:rsidRDefault="005F1583" w:rsidP="00C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67356"/>
      <w:docPartObj>
        <w:docPartGallery w:val="Page Numbers (Bottom of Page)"/>
        <w:docPartUnique/>
      </w:docPartObj>
    </w:sdtPr>
    <w:sdtEndPr>
      <w:rPr>
        <w:noProof/>
      </w:rPr>
    </w:sdtEndPr>
    <w:sdtContent>
      <w:p w:rsidR="00C732A5" w:rsidRDefault="00C732A5">
        <w:pPr>
          <w:pStyle w:val="Footer"/>
          <w:jc w:val="right"/>
        </w:pPr>
        <w:r>
          <w:fldChar w:fldCharType="begin"/>
        </w:r>
        <w:r>
          <w:instrText xml:space="preserve"> PAGE   \* MERGEFORMAT </w:instrText>
        </w:r>
        <w:r>
          <w:fldChar w:fldCharType="separate"/>
        </w:r>
        <w:r w:rsidR="007667CC">
          <w:rPr>
            <w:noProof/>
          </w:rPr>
          <w:t>1</w:t>
        </w:r>
        <w:r>
          <w:rPr>
            <w:noProof/>
          </w:rPr>
          <w:fldChar w:fldCharType="end"/>
        </w:r>
      </w:p>
    </w:sdtContent>
  </w:sdt>
  <w:p w:rsidR="00C732A5" w:rsidRDefault="00C7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83" w:rsidRDefault="005F1583" w:rsidP="00C732A5">
      <w:pPr>
        <w:spacing w:after="0" w:line="240" w:lineRule="auto"/>
      </w:pPr>
      <w:r>
        <w:separator/>
      </w:r>
    </w:p>
  </w:footnote>
  <w:footnote w:type="continuationSeparator" w:id="0">
    <w:p w:rsidR="005F1583" w:rsidRDefault="005F1583" w:rsidP="00C7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790D"/>
    <w:multiLevelType w:val="hybridMultilevel"/>
    <w:tmpl w:val="73727E72"/>
    <w:lvl w:ilvl="0" w:tplc="03CE397E">
      <w:start w:val="1"/>
      <w:numFmt w:val="bullet"/>
      <w:lvlText w:val="–"/>
      <w:lvlJc w:val="left"/>
      <w:pPr>
        <w:ind w:left="1004" w:hanging="360"/>
      </w:pPr>
      <w:rPr>
        <w:rFonts w:ascii="Courier New" w:hAnsi="Courier New"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3A854427"/>
    <w:multiLevelType w:val="hybridMultilevel"/>
    <w:tmpl w:val="A3488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61B45"/>
    <w:multiLevelType w:val="hybridMultilevel"/>
    <w:tmpl w:val="9732ED64"/>
    <w:lvl w:ilvl="0" w:tplc="0409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A46F5"/>
    <w:multiLevelType w:val="hybridMultilevel"/>
    <w:tmpl w:val="D01EC7E8"/>
    <w:lvl w:ilvl="0" w:tplc="0409000B">
      <w:start w:val="1"/>
      <w:numFmt w:val="bullet"/>
      <w:lvlText w:val=""/>
      <w:lvlJc w:val="left"/>
      <w:pPr>
        <w:ind w:left="644" w:hanging="360"/>
      </w:pPr>
      <w:rPr>
        <w:rFonts w:ascii="Wingdings" w:hAnsi="Wingdings" w:hint="default"/>
      </w:rPr>
    </w:lvl>
    <w:lvl w:ilvl="1" w:tplc="03CE397E">
      <w:start w:val="1"/>
      <w:numFmt w:val="bullet"/>
      <w:lvlText w:val="–"/>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589F128E"/>
    <w:multiLevelType w:val="hybridMultilevel"/>
    <w:tmpl w:val="415AA8D8"/>
    <w:lvl w:ilvl="0" w:tplc="02C24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75799"/>
    <w:multiLevelType w:val="hybridMultilevel"/>
    <w:tmpl w:val="7C4612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701369A"/>
    <w:multiLevelType w:val="hybridMultilevel"/>
    <w:tmpl w:val="0212ED1E"/>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118F9"/>
    <w:multiLevelType w:val="hybridMultilevel"/>
    <w:tmpl w:val="72906B08"/>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Nichifor">
    <w15:presenceInfo w15:providerId="AD" w15:userId="S-1-5-21-1335690349-1632514493-598330653-1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2D"/>
    <w:rsid w:val="000134AE"/>
    <w:rsid w:val="000473E8"/>
    <w:rsid w:val="0006554A"/>
    <w:rsid w:val="000742C0"/>
    <w:rsid w:val="00083C46"/>
    <w:rsid w:val="0008538B"/>
    <w:rsid w:val="001B05C8"/>
    <w:rsid w:val="001E1C2D"/>
    <w:rsid w:val="001F1FBF"/>
    <w:rsid w:val="00213755"/>
    <w:rsid w:val="002543FC"/>
    <w:rsid w:val="00267303"/>
    <w:rsid w:val="00273438"/>
    <w:rsid w:val="00285227"/>
    <w:rsid w:val="002A1321"/>
    <w:rsid w:val="002E2ED0"/>
    <w:rsid w:val="00404A16"/>
    <w:rsid w:val="004132FD"/>
    <w:rsid w:val="004F7BF3"/>
    <w:rsid w:val="00501E61"/>
    <w:rsid w:val="00525144"/>
    <w:rsid w:val="00532BF1"/>
    <w:rsid w:val="005509DF"/>
    <w:rsid w:val="005722BD"/>
    <w:rsid w:val="005C2443"/>
    <w:rsid w:val="005D43F3"/>
    <w:rsid w:val="005D7B21"/>
    <w:rsid w:val="005F1583"/>
    <w:rsid w:val="0060790E"/>
    <w:rsid w:val="0062555B"/>
    <w:rsid w:val="00652333"/>
    <w:rsid w:val="006631A2"/>
    <w:rsid w:val="00667DDA"/>
    <w:rsid w:val="006A0CE0"/>
    <w:rsid w:val="006C0935"/>
    <w:rsid w:val="007279E7"/>
    <w:rsid w:val="00756E07"/>
    <w:rsid w:val="007667CC"/>
    <w:rsid w:val="00792F36"/>
    <w:rsid w:val="007A07E5"/>
    <w:rsid w:val="007C0B91"/>
    <w:rsid w:val="00843CB0"/>
    <w:rsid w:val="008C137B"/>
    <w:rsid w:val="008F0343"/>
    <w:rsid w:val="009141A2"/>
    <w:rsid w:val="00923E31"/>
    <w:rsid w:val="0092663C"/>
    <w:rsid w:val="00927430"/>
    <w:rsid w:val="00981D10"/>
    <w:rsid w:val="0099453A"/>
    <w:rsid w:val="009A49DD"/>
    <w:rsid w:val="009C5DCB"/>
    <w:rsid w:val="009F6D72"/>
    <w:rsid w:val="00A25161"/>
    <w:rsid w:val="00A554A8"/>
    <w:rsid w:val="00A70D9D"/>
    <w:rsid w:val="00A90DF3"/>
    <w:rsid w:val="00AB67C8"/>
    <w:rsid w:val="00AC4A20"/>
    <w:rsid w:val="00AD2B2A"/>
    <w:rsid w:val="00AF67FE"/>
    <w:rsid w:val="00B37E2D"/>
    <w:rsid w:val="00B65612"/>
    <w:rsid w:val="00B72F1A"/>
    <w:rsid w:val="00B80E92"/>
    <w:rsid w:val="00B82998"/>
    <w:rsid w:val="00B931A1"/>
    <w:rsid w:val="00BD70B5"/>
    <w:rsid w:val="00C07419"/>
    <w:rsid w:val="00C07F64"/>
    <w:rsid w:val="00C3239E"/>
    <w:rsid w:val="00C4323A"/>
    <w:rsid w:val="00C62116"/>
    <w:rsid w:val="00C732A5"/>
    <w:rsid w:val="00C9104C"/>
    <w:rsid w:val="00CD548E"/>
    <w:rsid w:val="00CE50AA"/>
    <w:rsid w:val="00D0003C"/>
    <w:rsid w:val="00D06D24"/>
    <w:rsid w:val="00DD0D48"/>
    <w:rsid w:val="00DF02E4"/>
    <w:rsid w:val="00E128C5"/>
    <w:rsid w:val="00EA4AF4"/>
    <w:rsid w:val="00EE4BA7"/>
    <w:rsid w:val="00F31622"/>
    <w:rsid w:val="00F319C0"/>
    <w:rsid w:val="00F403F4"/>
    <w:rsid w:val="00FB19C6"/>
    <w:rsid w:val="00FD5E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Normal bullet 2,Table of contents numbered,List1"/>
    <w:basedOn w:val="Normal"/>
    <w:link w:val="ListParagraphChar"/>
    <w:uiPriority w:val="1"/>
    <w:qFormat/>
    <w:rsid w:val="00A90DF3"/>
    <w:pPr>
      <w:ind w:left="720"/>
      <w:contextualSpacing/>
    </w:pPr>
  </w:style>
  <w:style w:type="character" w:customStyle="1" w:styleId="ListParagraphChar">
    <w:name w:val="List Paragraph Char"/>
    <w:aliases w:val="body 2 Char,List_Paragraph Char,Multilevel para_II Char,Normal bullet 2 Char,Table of contents numbered Char,List1 Char"/>
    <w:basedOn w:val="DefaultParagraphFont"/>
    <w:link w:val="ListParagraph"/>
    <w:uiPriority w:val="1"/>
    <w:rsid w:val="00A90DF3"/>
  </w:style>
  <w:style w:type="paragraph" w:styleId="BalloonText">
    <w:name w:val="Balloon Text"/>
    <w:basedOn w:val="Normal"/>
    <w:link w:val="BalloonTextChar"/>
    <w:uiPriority w:val="99"/>
    <w:semiHidden/>
    <w:unhideWhenUsed/>
    <w:rsid w:val="0055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DF"/>
    <w:rPr>
      <w:rFonts w:ascii="Tahoma" w:hAnsi="Tahoma" w:cs="Tahoma"/>
      <w:sz w:val="16"/>
      <w:szCs w:val="16"/>
    </w:rPr>
  </w:style>
  <w:style w:type="paragraph" w:styleId="Header">
    <w:name w:val="header"/>
    <w:basedOn w:val="Normal"/>
    <w:link w:val="HeaderChar"/>
    <w:uiPriority w:val="99"/>
    <w:unhideWhenUsed/>
    <w:rsid w:val="00C73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32A5"/>
  </w:style>
  <w:style w:type="paragraph" w:styleId="Footer">
    <w:name w:val="footer"/>
    <w:basedOn w:val="Normal"/>
    <w:link w:val="FooterChar"/>
    <w:uiPriority w:val="99"/>
    <w:unhideWhenUsed/>
    <w:rsid w:val="00C73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32A5"/>
  </w:style>
  <w:style w:type="table" w:styleId="TableGrid">
    <w:name w:val="Table Grid"/>
    <w:basedOn w:val="TableNormal"/>
    <w:uiPriority w:val="59"/>
    <w:rsid w:val="005C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Normal bullet 2,Table of contents numbered,List1"/>
    <w:basedOn w:val="Normal"/>
    <w:link w:val="ListParagraphChar"/>
    <w:uiPriority w:val="1"/>
    <w:qFormat/>
    <w:rsid w:val="00A90DF3"/>
    <w:pPr>
      <w:ind w:left="720"/>
      <w:contextualSpacing/>
    </w:pPr>
  </w:style>
  <w:style w:type="character" w:customStyle="1" w:styleId="ListParagraphChar">
    <w:name w:val="List Paragraph Char"/>
    <w:aliases w:val="body 2 Char,List_Paragraph Char,Multilevel para_II Char,Normal bullet 2 Char,Table of contents numbered Char,List1 Char"/>
    <w:basedOn w:val="DefaultParagraphFont"/>
    <w:link w:val="ListParagraph"/>
    <w:uiPriority w:val="1"/>
    <w:rsid w:val="00A90DF3"/>
  </w:style>
  <w:style w:type="paragraph" w:styleId="BalloonText">
    <w:name w:val="Balloon Text"/>
    <w:basedOn w:val="Normal"/>
    <w:link w:val="BalloonTextChar"/>
    <w:uiPriority w:val="99"/>
    <w:semiHidden/>
    <w:unhideWhenUsed/>
    <w:rsid w:val="0055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DF"/>
    <w:rPr>
      <w:rFonts w:ascii="Tahoma" w:hAnsi="Tahoma" w:cs="Tahoma"/>
      <w:sz w:val="16"/>
      <w:szCs w:val="16"/>
    </w:rPr>
  </w:style>
  <w:style w:type="paragraph" w:styleId="Header">
    <w:name w:val="header"/>
    <w:basedOn w:val="Normal"/>
    <w:link w:val="HeaderChar"/>
    <w:uiPriority w:val="99"/>
    <w:unhideWhenUsed/>
    <w:rsid w:val="00C73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32A5"/>
  </w:style>
  <w:style w:type="paragraph" w:styleId="Footer">
    <w:name w:val="footer"/>
    <w:basedOn w:val="Normal"/>
    <w:link w:val="FooterChar"/>
    <w:uiPriority w:val="99"/>
    <w:unhideWhenUsed/>
    <w:rsid w:val="00C73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32A5"/>
  </w:style>
  <w:style w:type="table" w:styleId="TableGrid">
    <w:name w:val="Table Grid"/>
    <w:basedOn w:val="TableNormal"/>
    <w:uiPriority w:val="59"/>
    <w:rsid w:val="005C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1821</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Ministerul Fondurilor Europene</dc:creator>
  <cp:lastModifiedBy>Ioana Maria Ciocoiu</cp:lastModifiedBy>
  <cp:revision>6</cp:revision>
  <cp:lastPrinted>2019-06-11T06:49:00Z</cp:lastPrinted>
  <dcterms:created xsi:type="dcterms:W3CDTF">2019-06-11T11:31:00Z</dcterms:created>
  <dcterms:modified xsi:type="dcterms:W3CDTF">2019-06-13T07:53:00Z</dcterms:modified>
</cp:coreProperties>
</file>