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Lines w:val="0"/>
        <w:pageBreakBefore w:val="0"/>
        <w:widowControl/>
        <w:kinsoku/>
        <w:wordWrap/>
        <w:overflowPunct/>
        <w:topLinePunct w:val="0"/>
        <w:autoSpaceDN/>
        <w:bidi w:val="0"/>
        <w:adjustRightInd/>
        <w:snapToGrid/>
        <w:spacing w:before="0" w:beforeAutospacing="0" w:after="0" w:afterAutospacing="0" w:line="240" w:lineRule="auto"/>
        <w:ind w:right="-284" w:firstLine="709"/>
        <w:jc w:val="both"/>
        <w:textAlignment w:val="auto"/>
        <w:outlineLvl w:val="9"/>
        <w:rPr>
          <w:rFonts w:hint="default" w:ascii="Arial" w:hAnsi="Arial" w:cs="Arial"/>
          <w:i w:val="0"/>
          <w:iCs w:val="0"/>
          <w:sz w:val="28"/>
          <w:szCs w:val="28"/>
        </w:rPr>
      </w:pPr>
      <w:r>
        <w:rPr>
          <w:rFonts w:hint="default" w:ascii="Arial" w:hAnsi="Arial" w:cs="Arial"/>
          <w:i w:val="0"/>
          <w:iCs w:val="0"/>
          <w:sz w:val="28"/>
          <w:szCs w:val="28"/>
        </w:rPr>
        <w:t>Ministerul Finanţelor Publice</w:t>
      </w:r>
      <w:r>
        <w:rPr>
          <w:rFonts w:hint="default" w:ascii="Arial" w:hAnsi="Arial" w:cs="Arial"/>
          <w:i w:val="0"/>
          <w:iCs w:val="0"/>
          <w:sz w:val="28"/>
          <w:szCs w:val="28"/>
          <w:lang w:val="en-US"/>
        </w:rPr>
        <w:t xml:space="preserve"> </w:t>
      </w:r>
      <w:r>
        <w:rPr>
          <w:rStyle w:val="7"/>
          <w:rFonts w:hint="default" w:ascii="Arial" w:hAnsi="Arial" w:cs="Arial"/>
          <w:i w:val="0"/>
          <w:iCs w:val="0"/>
          <w:sz w:val="28"/>
          <w:szCs w:val="28"/>
        </w:rPr>
        <w:t>- Direcţia Generală Regională a Finanţelor Publice Cluj Napoca</w:t>
      </w:r>
      <w:r>
        <w:rPr>
          <w:rFonts w:hint="default" w:ascii="Arial" w:hAnsi="Arial" w:cs="Arial"/>
          <w:i w:val="0"/>
          <w:iCs w:val="0"/>
          <w:sz w:val="28"/>
          <w:szCs w:val="28"/>
        </w:rPr>
        <w:t xml:space="preserve">, vine în sprijinul operatorilor economici care vor să aplice pentru obţinerea unor finanţări prin </w:t>
      </w:r>
      <w:r>
        <w:rPr>
          <w:rStyle w:val="5"/>
          <w:rFonts w:hint="default" w:ascii="Arial" w:hAnsi="Arial" w:cs="Arial"/>
          <w:i w:val="0"/>
          <w:iCs w:val="0"/>
          <w:sz w:val="28"/>
          <w:szCs w:val="28"/>
        </w:rPr>
        <w:t>H.G. nr.807/2014 pentru instituirea unei scheme de ajutor de stat având ca obiectiv stimularea investiţiilor cu impact major în economie.</w:t>
      </w:r>
      <w:r>
        <w:rPr>
          <w:rFonts w:hint="default" w:ascii="Arial" w:hAnsi="Arial" w:cs="Arial"/>
          <w:i w:val="0"/>
          <w:iCs w:val="0"/>
          <w:sz w:val="28"/>
          <w:szCs w:val="28"/>
        </w:rPr>
        <w:t xml:space="preserve"> </w:t>
      </w:r>
    </w:p>
    <w:p>
      <w:pPr>
        <w:pStyle w:val="2"/>
        <w:keepLines w:val="0"/>
        <w:pageBreakBefore w:val="0"/>
        <w:widowControl/>
        <w:kinsoku/>
        <w:wordWrap/>
        <w:overflowPunct/>
        <w:topLinePunct w:val="0"/>
        <w:autoSpaceDN/>
        <w:bidi w:val="0"/>
        <w:adjustRightInd/>
        <w:snapToGrid/>
        <w:spacing w:before="0" w:beforeAutospacing="0" w:after="0" w:afterAutospacing="0" w:line="240" w:lineRule="auto"/>
        <w:ind w:right="-284" w:firstLine="709"/>
        <w:jc w:val="both"/>
        <w:textAlignment w:val="auto"/>
        <w:outlineLvl w:val="9"/>
        <w:rPr>
          <w:rFonts w:hint="default" w:ascii="Arial" w:hAnsi="Arial" w:cs="Arial"/>
          <w:i w:val="0"/>
          <w:iCs w:val="0"/>
          <w:sz w:val="28"/>
          <w:szCs w:val="28"/>
        </w:rPr>
      </w:pPr>
      <w:r>
        <w:rPr>
          <w:rFonts w:hint="default" w:ascii="Arial" w:hAnsi="Arial" w:cs="Arial"/>
          <w:i w:val="0"/>
          <w:iCs w:val="0"/>
          <w:sz w:val="28"/>
          <w:szCs w:val="28"/>
        </w:rPr>
        <w:t xml:space="preserve">În acest sens, </w:t>
      </w:r>
      <w:r>
        <w:rPr>
          <w:rFonts w:hint="default" w:ascii="Arial" w:hAnsi="Arial" w:cs="Arial"/>
          <w:i w:val="0"/>
          <w:iCs w:val="0"/>
          <w:sz w:val="28"/>
          <w:szCs w:val="28"/>
          <w:lang w:val="en-US"/>
        </w:rPr>
        <w:t>sunt</w:t>
      </w:r>
      <w:r>
        <w:rPr>
          <w:rFonts w:hint="default" w:ascii="Arial" w:hAnsi="Arial" w:cs="Arial"/>
          <w:i w:val="0"/>
          <w:iCs w:val="0"/>
          <w:sz w:val="28"/>
          <w:szCs w:val="28"/>
        </w:rPr>
        <w:t xml:space="preserve"> organizate sesiuni</w:t>
      </w:r>
      <w:r>
        <w:rPr>
          <w:rFonts w:hint="default" w:ascii="Arial" w:hAnsi="Arial" w:cs="Arial"/>
          <w:i w:val="0"/>
          <w:iCs w:val="0"/>
          <w:sz w:val="28"/>
          <w:szCs w:val="28"/>
          <w:lang w:val="en-US"/>
        </w:rPr>
        <w:t xml:space="preserve"> bilunare</w:t>
      </w:r>
      <w:r>
        <w:rPr>
          <w:rFonts w:hint="default" w:ascii="Arial" w:hAnsi="Arial" w:cs="Arial"/>
          <w:i w:val="0"/>
          <w:iCs w:val="0"/>
          <w:sz w:val="28"/>
          <w:szCs w:val="28"/>
        </w:rPr>
        <w:t xml:space="preserve"> de pregătire cu operatorii economici conform </w:t>
      </w:r>
      <w:r>
        <w:rPr>
          <w:rFonts w:hint="default" w:ascii="Arial" w:hAnsi="Arial" w:cs="Arial"/>
          <w:i w:val="0"/>
          <w:iCs w:val="0"/>
          <w:sz w:val="28"/>
          <w:szCs w:val="28"/>
          <w:u w:val="single"/>
        </w:rPr>
        <w:t>“Calendarului întalnirilor cu operatorii economici”</w:t>
      </w:r>
      <w:r>
        <w:rPr>
          <w:rFonts w:hint="default" w:ascii="Arial" w:hAnsi="Arial" w:cs="Arial"/>
          <w:i w:val="0"/>
          <w:iCs w:val="0"/>
          <w:sz w:val="28"/>
          <w:szCs w:val="28"/>
        </w:rPr>
        <w:t>, afişat</w:t>
      </w:r>
      <w:r>
        <w:rPr>
          <w:rFonts w:hint="default" w:ascii="Arial" w:hAnsi="Arial" w:cs="Arial"/>
          <w:i w:val="0"/>
          <w:iCs w:val="0"/>
          <w:sz w:val="28"/>
          <w:szCs w:val="28"/>
          <w:lang w:val="en-US"/>
        </w:rPr>
        <w:t>e lunar</w:t>
      </w:r>
      <w:r>
        <w:rPr>
          <w:rFonts w:hint="default" w:ascii="Arial" w:hAnsi="Arial" w:cs="Arial"/>
          <w:i w:val="0"/>
          <w:iCs w:val="0"/>
          <w:sz w:val="28"/>
          <w:szCs w:val="28"/>
        </w:rPr>
        <w:t xml:space="preserve"> pe pagina de internet </w:t>
      </w:r>
      <w:r>
        <w:rPr>
          <w:rFonts w:hint="default" w:ascii="Arial" w:hAnsi="Arial" w:cs="Arial"/>
          <w:i w:val="0"/>
          <w:iCs w:val="0"/>
          <w:color w:val="0000FF"/>
          <w:sz w:val="28"/>
          <w:szCs w:val="28"/>
          <w:u w:val="single"/>
        </w:rPr>
        <w:fldChar w:fldCharType="begin"/>
      </w:r>
      <w:r>
        <w:rPr>
          <w:rFonts w:hint="default" w:ascii="Arial" w:hAnsi="Arial" w:cs="Arial"/>
          <w:i w:val="0"/>
          <w:iCs w:val="0"/>
          <w:color w:val="0000FF"/>
          <w:sz w:val="28"/>
          <w:szCs w:val="28"/>
          <w:u w:val="single"/>
        </w:rPr>
        <w:instrText xml:space="preserve"> HYPERLINK "http://www.anaf.ro/" </w:instrText>
      </w:r>
      <w:r>
        <w:rPr>
          <w:rFonts w:hint="default" w:ascii="Arial" w:hAnsi="Arial" w:cs="Arial"/>
          <w:i w:val="0"/>
          <w:iCs w:val="0"/>
          <w:color w:val="0000FF"/>
          <w:sz w:val="28"/>
          <w:szCs w:val="28"/>
          <w:u w:val="single"/>
        </w:rPr>
        <w:fldChar w:fldCharType="separate"/>
      </w:r>
      <w:r>
        <w:rPr>
          <w:rStyle w:val="6"/>
          <w:rFonts w:hint="default" w:ascii="Arial" w:hAnsi="Arial" w:cs="Arial"/>
          <w:i w:val="0"/>
          <w:iCs w:val="0"/>
          <w:sz w:val="28"/>
          <w:szCs w:val="28"/>
        </w:rPr>
        <w:t>www.anaf.ro</w:t>
      </w:r>
      <w:r>
        <w:rPr>
          <w:rFonts w:hint="default" w:ascii="Arial" w:hAnsi="Arial" w:cs="Arial"/>
          <w:i w:val="0"/>
          <w:iCs w:val="0"/>
          <w:color w:val="0000FF"/>
          <w:sz w:val="28"/>
          <w:szCs w:val="28"/>
          <w:u w:val="single"/>
        </w:rPr>
        <w:fldChar w:fldCharType="end"/>
      </w:r>
      <w:r>
        <w:rPr>
          <w:rFonts w:hint="default" w:ascii="Arial" w:hAnsi="Arial" w:cs="Arial"/>
          <w:i w:val="0"/>
          <w:iCs w:val="0"/>
          <w:sz w:val="28"/>
          <w:szCs w:val="28"/>
        </w:rPr>
        <w:t xml:space="preserve"> la sectiunea de prezentare a </w:t>
      </w:r>
      <w:r>
        <w:rPr>
          <w:rStyle w:val="7"/>
          <w:rFonts w:hint="default" w:ascii="Arial" w:hAnsi="Arial" w:cs="Arial"/>
          <w:b w:val="0"/>
          <w:bCs w:val="0"/>
          <w:i w:val="0"/>
          <w:iCs w:val="0"/>
          <w:sz w:val="28"/>
          <w:szCs w:val="28"/>
        </w:rPr>
        <w:t>Direcţiei Generale Regionale a Finanţelor Publice Cluj-Napoca.</w:t>
      </w:r>
      <w:r>
        <w:rPr>
          <w:rFonts w:hint="default" w:ascii="Arial" w:hAnsi="Arial" w:cs="Arial"/>
          <w:i w:val="0"/>
          <w:iCs w:val="0"/>
          <w:sz w:val="28"/>
          <w:szCs w:val="28"/>
        </w:rPr>
        <w:t xml:space="preserve"> </w:t>
      </w:r>
    </w:p>
    <w:p>
      <w:pPr>
        <w:pStyle w:val="2"/>
        <w:keepLines w:val="0"/>
        <w:pageBreakBefore w:val="0"/>
        <w:widowControl/>
        <w:kinsoku/>
        <w:wordWrap/>
        <w:overflowPunct/>
        <w:topLinePunct w:val="0"/>
        <w:autoSpaceDN/>
        <w:bidi w:val="0"/>
        <w:adjustRightInd/>
        <w:snapToGrid/>
        <w:spacing w:before="0" w:beforeAutospacing="0" w:after="0" w:afterAutospacing="0" w:line="240" w:lineRule="auto"/>
        <w:ind w:right="-244" w:firstLine="709"/>
        <w:jc w:val="both"/>
        <w:textAlignment w:val="auto"/>
        <w:outlineLvl w:val="9"/>
        <w:rPr>
          <w:rFonts w:hint="default" w:ascii="Arial" w:hAnsi="Arial" w:cs="Arial"/>
          <w:i w:val="0"/>
          <w:iCs w:val="0"/>
          <w:sz w:val="28"/>
          <w:szCs w:val="28"/>
        </w:rPr>
      </w:pPr>
      <w:r>
        <w:rPr>
          <w:rFonts w:hint="default" w:ascii="Arial" w:hAnsi="Arial" w:cs="Arial"/>
          <w:i w:val="0"/>
          <w:iCs w:val="0"/>
          <w:sz w:val="28"/>
          <w:szCs w:val="28"/>
        </w:rPr>
        <w:t>În cadrul sesiunilor de instruire</w:t>
      </w:r>
      <w:r>
        <w:rPr>
          <w:rFonts w:hint="default" w:ascii="Arial" w:hAnsi="Arial" w:cs="Arial"/>
          <w:i w:val="0"/>
          <w:iCs w:val="0"/>
          <w:sz w:val="28"/>
          <w:szCs w:val="28"/>
          <w:lang w:val="en-US"/>
        </w:rPr>
        <w:t xml:space="preserve"> se</w:t>
      </w:r>
      <w:r>
        <w:rPr>
          <w:rFonts w:hint="default" w:ascii="Arial" w:hAnsi="Arial" w:cs="Arial"/>
          <w:i w:val="0"/>
          <w:iCs w:val="0"/>
          <w:sz w:val="28"/>
          <w:szCs w:val="28"/>
        </w:rPr>
        <w:t xml:space="preserve"> v</w:t>
      </w:r>
      <w:r>
        <w:rPr>
          <w:rFonts w:hint="default" w:ascii="Arial" w:hAnsi="Arial" w:cs="Arial"/>
          <w:i w:val="0"/>
          <w:iCs w:val="0"/>
          <w:sz w:val="28"/>
          <w:szCs w:val="28"/>
          <w:lang w:val="en-US"/>
        </w:rPr>
        <w:t>a</w:t>
      </w:r>
      <w:r>
        <w:rPr>
          <w:rFonts w:hint="default" w:ascii="Arial" w:hAnsi="Arial" w:cs="Arial"/>
          <w:i w:val="0"/>
          <w:iCs w:val="0"/>
          <w:sz w:val="28"/>
          <w:szCs w:val="28"/>
        </w:rPr>
        <w:t xml:space="preserve"> face o prezentare generală a prevederilor H.G. nr.807/2014 şi a modificărilor şi completărilor ulterioare. Precizăm că în cadrul acestor întâlniri nu se vor analiza proiecte de investiţii şi nu se va stabili eligibilitatea acestora</w:t>
      </w:r>
      <w:r>
        <w:rPr>
          <w:rFonts w:hint="default" w:ascii="Arial" w:hAnsi="Arial" w:cs="Arial"/>
          <w:i w:val="0"/>
          <w:iCs w:val="0"/>
          <w:sz w:val="28"/>
          <w:szCs w:val="28"/>
          <w:lang w:val="en-US"/>
        </w:rPr>
        <w:t>.</w:t>
      </w:r>
      <w:r>
        <w:rPr>
          <w:rFonts w:hint="default" w:ascii="Arial" w:hAnsi="Arial" w:cs="Arial"/>
          <w:i w:val="0"/>
          <w:iCs w:val="0"/>
          <w:sz w:val="28"/>
          <w:szCs w:val="28"/>
        </w:rPr>
        <w:t xml:space="preserve"> Stabilirea eligibilităţii unui proiect de investiţii se poate determina numai după depunerea Cererii de acord pentru finanţare, însoţită de documentele justificative, conform prevederilor legale, şi doar după finalizarea procesului de analiză.</w:t>
      </w:r>
    </w:p>
    <w:p>
      <w:pPr>
        <w:pStyle w:val="2"/>
        <w:keepLines w:val="0"/>
        <w:pageBreakBefore w:val="0"/>
        <w:widowControl/>
        <w:kinsoku/>
        <w:wordWrap/>
        <w:overflowPunct/>
        <w:topLinePunct w:val="0"/>
        <w:autoSpaceDN/>
        <w:bidi w:val="0"/>
        <w:adjustRightInd/>
        <w:snapToGrid/>
        <w:spacing w:before="0" w:beforeAutospacing="0" w:after="0" w:afterAutospacing="0" w:line="240" w:lineRule="auto"/>
        <w:ind w:right="-244" w:firstLine="709"/>
        <w:jc w:val="both"/>
        <w:textAlignment w:val="auto"/>
        <w:outlineLvl w:val="9"/>
        <w:rPr>
          <w:rFonts w:hint="default" w:ascii="Arial" w:hAnsi="Arial" w:cs="Arial"/>
          <w:i w:val="0"/>
          <w:iCs w:val="0"/>
          <w:sz w:val="28"/>
          <w:szCs w:val="28"/>
        </w:rPr>
      </w:pPr>
      <w:r>
        <w:rPr>
          <w:rStyle w:val="5"/>
          <w:rFonts w:hint="default" w:ascii="Arial" w:hAnsi="Arial" w:cs="Arial"/>
          <w:i w:val="0"/>
          <w:iCs w:val="0"/>
          <w:sz w:val="28"/>
          <w:szCs w:val="28"/>
        </w:rPr>
        <w:t>Ministerul Finanţelor Publice a modificat şi a completat H.G. nr.807/2014 pentru instituirea unor scheme de ajutor de stat având ca obiectiv stimularea investiţiilor cu impact major în economie .</w:t>
      </w:r>
    </w:p>
    <w:p>
      <w:pPr>
        <w:pStyle w:val="2"/>
        <w:keepLines w:val="0"/>
        <w:pageBreakBefore w:val="0"/>
        <w:widowControl/>
        <w:kinsoku/>
        <w:wordWrap/>
        <w:overflowPunct/>
        <w:topLinePunct w:val="0"/>
        <w:autoSpaceDN/>
        <w:bidi w:val="0"/>
        <w:adjustRightInd/>
        <w:snapToGrid/>
        <w:spacing w:before="0" w:beforeAutospacing="0" w:after="0" w:afterAutospacing="0" w:line="240" w:lineRule="auto"/>
        <w:ind w:right="-284" w:firstLine="709"/>
        <w:jc w:val="both"/>
        <w:textAlignment w:val="auto"/>
        <w:outlineLvl w:val="9"/>
        <w:rPr>
          <w:rStyle w:val="5"/>
          <w:rFonts w:hint="default" w:ascii="Arial" w:hAnsi="Arial" w:cs="Arial"/>
          <w:sz w:val="28"/>
          <w:szCs w:val="28"/>
        </w:rPr>
      </w:pPr>
      <w:r>
        <w:rPr>
          <w:rStyle w:val="5"/>
          <w:rFonts w:hint="default" w:ascii="Arial" w:hAnsi="Arial" w:cs="Arial"/>
          <w:sz w:val="28"/>
          <w:szCs w:val="28"/>
        </w:rPr>
        <w:t xml:space="preserve">Principalele modificări se referă la : diminuarea nivelului minim al investiţiei la 4,5 milioane lei, respectiv echivalentul a aproximativ 1 milion euro; modificarea mecanismului de depunere a cererilor de finanţare, acestea urmând a fi depuse în sesiune continuă; renunţarea la selecţia proiectelor pe bază de punctaj, fiind selectate acele proiecte care îndeplinesc criteriile şi condiţiile de eligibilitate; simplificarea planului de investiţii aferent proiectului; posibilitatea demarării proiectului de investiţii după depunerea cererii de acord pentru finanţare. </w:t>
      </w:r>
    </w:p>
    <w:p>
      <w:pPr>
        <w:pStyle w:val="2"/>
        <w:keepLines w:val="0"/>
        <w:pageBreakBefore w:val="0"/>
        <w:widowControl/>
        <w:kinsoku/>
        <w:wordWrap/>
        <w:overflowPunct/>
        <w:topLinePunct w:val="0"/>
        <w:autoSpaceDN/>
        <w:bidi w:val="0"/>
        <w:adjustRightInd/>
        <w:snapToGrid/>
        <w:spacing w:before="0" w:beforeAutospacing="0" w:after="0" w:afterAutospacing="0" w:line="240" w:lineRule="auto"/>
        <w:ind w:right="-284" w:firstLine="709"/>
        <w:jc w:val="both"/>
        <w:textAlignment w:val="auto"/>
        <w:outlineLvl w:val="9"/>
        <w:rPr>
          <w:rStyle w:val="5"/>
          <w:rFonts w:hint="default" w:ascii="Arial" w:hAnsi="Arial" w:cs="Arial"/>
          <w:sz w:val="28"/>
          <w:szCs w:val="28"/>
          <w:lang w:val="en-US"/>
        </w:rPr>
      </w:pPr>
      <w:r>
        <w:rPr>
          <w:rStyle w:val="5"/>
          <w:rFonts w:hint="default" w:ascii="Arial" w:hAnsi="Arial" w:cs="Arial"/>
          <w:sz w:val="28"/>
          <w:szCs w:val="28"/>
          <w:lang w:val="en-US"/>
        </w:rPr>
        <w:t>Dintre proiectele aporbate pentru finan</w:t>
      </w:r>
      <w:r>
        <w:rPr>
          <w:rStyle w:val="5"/>
          <w:rFonts w:hint="default" w:ascii="Arial" w:hAnsi="Arial" w:cs="Arial"/>
          <w:sz w:val="28"/>
          <w:szCs w:val="28"/>
          <w:lang w:val="ro-RO"/>
        </w:rPr>
        <w:t>ț</w:t>
      </w:r>
      <w:r>
        <w:rPr>
          <w:rStyle w:val="5"/>
          <w:rFonts w:hint="default" w:ascii="Arial" w:hAnsi="Arial" w:cs="Arial"/>
          <w:sz w:val="28"/>
          <w:szCs w:val="28"/>
          <w:lang w:val="en-US"/>
        </w:rPr>
        <w:t xml:space="preserve">are, </w:t>
      </w:r>
      <w:r>
        <w:rPr>
          <w:rStyle w:val="5"/>
          <w:rFonts w:hint="default" w:ascii="Arial" w:hAnsi="Arial" w:cs="Arial"/>
          <w:sz w:val="28"/>
          <w:szCs w:val="28"/>
          <w:lang w:val="ro-RO"/>
        </w:rPr>
        <w:t>î</w:t>
      </w:r>
      <w:r>
        <w:rPr>
          <w:rStyle w:val="5"/>
          <w:rFonts w:hint="default" w:ascii="Arial" w:hAnsi="Arial" w:cs="Arial"/>
          <w:sz w:val="28"/>
          <w:szCs w:val="28"/>
          <w:lang w:val="en-US"/>
        </w:rPr>
        <w:t>n perioada 10.09.2018-24.04.2019, conform precizarilor</w:t>
      </w:r>
      <w:r>
        <w:rPr>
          <w:rStyle w:val="5"/>
          <w:rFonts w:hint="default" w:ascii="Arial" w:hAnsi="Arial" w:cs="Arial"/>
          <w:sz w:val="28"/>
          <w:szCs w:val="28"/>
          <w:lang w:val="ro-RO"/>
        </w:rPr>
        <w:t xml:space="preserve"> </w:t>
      </w:r>
      <w:r>
        <w:rPr>
          <w:rStyle w:val="5"/>
          <w:rFonts w:hint="default" w:ascii="Arial" w:hAnsi="Arial" w:cs="Arial"/>
          <w:sz w:val="28"/>
          <w:szCs w:val="28"/>
          <w:lang w:val="en-US"/>
        </w:rPr>
        <w:t>Ministerului Fina</w:t>
      </w:r>
      <w:r>
        <w:rPr>
          <w:rStyle w:val="5"/>
          <w:rFonts w:hint="default" w:ascii="Arial" w:hAnsi="Arial" w:cs="Arial"/>
          <w:sz w:val="28"/>
          <w:szCs w:val="28"/>
          <w:lang w:val="ro-RO"/>
        </w:rPr>
        <w:t>nt</w:t>
      </w:r>
      <w:r>
        <w:rPr>
          <w:rStyle w:val="5"/>
          <w:rFonts w:hint="default" w:ascii="Arial" w:hAnsi="Arial" w:cs="Arial"/>
          <w:sz w:val="28"/>
          <w:szCs w:val="28"/>
          <w:lang w:val="en-US"/>
        </w:rPr>
        <w:t>elor Publice, pentru regiunea NV au fost aprobate 9 proiecte, dup</w:t>
      </w:r>
      <w:r>
        <w:rPr>
          <w:rStyle w:val="5"/>
          <w:rFonts w:hint="default" w:ascii="Arial" w:hAnsi="Arial" w:cs="Arial"/>
          <w:sz w:val="28"/>
          <w:szCs w:val="28"/>
          <w:lang w:val="ro-RO"/>
        </w:rPr>
        <w:t>ă</w:t>
      </w:r>
      <w:r>
        <w:rPr>
          <w:rStyle w:val="5"/>
          <w:rFonts w:hint="default" w:ascii="Arial" w:hAnsi="Arial" w:cs="Arial"/>
          <w:sz w:val="28"/>
          <w:szCs w:val="28"/>
          <w:lang w:val="en-US"/>
        </w:rPr>
        <w:t xml:space="preserve"> cum urmeaz</w:t>
      </w:r>
      <w:r>
        <w:rPr>
          <w:rStyle w:val="5"/>
          <w:rFonts w:hint="default" w:ascii="Arial" w:hAnsi="Arial" w:cs="Arial"/>
          <w:sz w:val="28"/>
          <w:szCs w:val="28"/>
          <w:lang w:val="ro-RO"/>
        </w:rPr>
        <w:t>ă</w:t>
      </w:r>
      <w:r>
        <w:rPr>
          <w:rStyle w:val="5"/>
          <w:rFonts w:hint="default" w:ascii="Arial" w:hAnsi="Arial" w:cs="Arial"/>
          <w:sz w:val="28"/>
          <w:szCs w:val="28"/>
          <w:lang w:val="en-US"/>
        </w:rPr>
        <w:t>: Bihor 3 proiecte, Cluj 2 proiecte, Maramures 2 proiecte, Satu Mare 2 proiecte, aflate in diferite stadii de implementare.</w:t>
      </w:r>
    </w:p>
    <w:p>
      <w:pPr>
        <w:keepNext w:val="0"/>
        <w:keepLines w:val="0"/>
        <w:pageBreakBefore w:val="0"/>
        <w:widowControl/>
        <w:kinsoku/>
        <w:wordWrap/>
        <w:overflowPunct/>
        <w:topLinePunct w:val="0"/>
        <w:autoSpaceDE/>
        <w:autoSpaceDN/>
        <w:bidi w:val="0"/>
        <w:adjustRightInd/>
        <w:snapToGrid/>
        <w:spacing w:line="240" w:lineRule="auto"/>
        <w:ind w:left="0" w:leftChars="0" w:right="-11" w:rightChars="0" w:firstLine="700" w:firstLineChars="0"/>
        <w:jc w:val="both"/>
        <w:textAlignment w:val="auto"/>
        <w:outlineLvl w:val="9"/>
        <w:rPr>
          <w:rFonts w:hint="default" w:ascii="Arial" w:hAnsi="Arial" w:cs="Arial"/>
          <w:sz w:val="28"/>
          <w:szCs w:val="28"/>
          <w:lang w:val="ro-RO"/>
        </w:rPr>
      </w:pPr>
      <w:r>
        <w:rPr>
          <w:rFonts w:hint="default" w:ascii="Arial" w:hAnsi="Arial" w:cs="Arial"/>
          <w:sz w:val="28"/>
          <w:szCs w:val="28"/>
          <w:lang w:val="ro-RO"/>
        </w:rPr>
        <w:t xml:space="preserve">Vă transmitem alăturat </w:t>
      </w:r>
      <w:r>
        <w:rPr>
          <w:rFonts w:hint="default" w:ascii="Arial" w:hAnsi="Arial" w:cs="Arial"/>
          <w:i w:val="0"/>
          <w:iCs w:val="0"/>
          <w:sz w:val="28"/>
          <w:szCs w:val="28"/>
        </w:rPr>
        <w:t>“Calendaru</w:t>
      </w:r>
      <w:r>
        <w:rPr>
          <w:rFonts w:hint="default" w:ascii="Arial" w:hAnsi="Arial" w:cs="Arial"/>
          <w:i w:val="0"/>
          <w:iCs w:val="0"/>
          <w:sz w:val="28"/>
          <w:szCs w:val="28"/>
          <w:lang w:val="ro-RO"/>
        </w:rPr>
        <w:t>l</w:t>
      </w:r>
      <w:r>
        <w:rPr>
          <w:rFonts w:hint="default" w:ascii="Arial" w:hAnsi="Arial" w:cs="Arial"/>
          <w:i w:val="0"/>
          <w:iCs w:val="0"/>
          <w:sz w:val="28"/>
          <w:szCs w:val="28"/>
        </w:rPr>
        <w:t xml:space="preserve"> întalnirilor cu operatorii economici</w:t>
      </w:r>
      <w:r>
        <w:rPr>
          <w:rFonts w:hint="default" w:ascii="Arial" w:hAnsi="Arial" w:cs="Arial"/>
          <w:i w:val="0"/>
          <w:iCs w:val="0"/>
          <w:sz w:val="28"/>
          <w:szCs w:val="28"/>
          <w:lang w:val="ro-RO"/>
        </w:rPr>
        <w:t xml:space="preserve"> pentru luna septembrie 2019</w:t>
      </w:r>
      <w:r>
        <w:rPr>
          <w:rFonts w:hint="default" w:ascii="Arial" w:hAnsi="Arial" w:cs="Arial"/>
          <w:i w:val="0"/>
          <w:iCs w:val="0"/>
          <w:sz w:val="28"/>
          <w:szCs w:val="28"/>
        </w:rPr>
        <w:t>”</w:t>
      </w:r>
    </w:p>
    <w:p/>
    <w:p/>
    <w:p/>
    <w:p/>
    <w:p/>
    <w:p/>
    <w:p/>
    <w:p>
      <w:pPr>
        <w:keepNext w:val="0"/>
        <w:keepLines w:val="0"/>
        <w:pageBreakBefore w:val="0"/>
        <w:widowControl/>
        <w:kinsoku/>
        <w:wordWrap/>
        <w:overflowPunct/>
        <w:topLinePunct w:val="0"/>
        <w:autoSpaceDE/>
        <w:autoSpaceDN/>
        <w:bidi w:val="0"/>
        <w:adjustRightInd/>
        <w:snapToGrid/>
        <w:spacing w:line="240" w:lineRule="auto"/>
        <w:ind w:left="0" w:leftChars="0" w:right="-11" w:rightChars="0" w:firstLine="700" w:firstLineChars="0"/>
        <w:jc w:val="both"/>
        <w:textAlignment w:val="auto"/>
        <w:outlineLvl w:val="9"/>
        <w:rPr>
          <w:rFonts w:hint="default" w:ascii="Arial" w:hAnsi="Arial" w:cs="Arial"/>
          <w:sz w:val="28"/>
          <w:szCs w:val="28"/>
          <w:lang w:val="ro-RO"/>
        </w:rPr>
      </w:pPr>
      <w:r>
        <w:rPr>
          <w:rFonts w:hint="default" w:ascii="Arial" w:hAnsi="Arial" w:cs="Arial"/>
          <w:i w:val="0"/>
          <w:iCs w:val="0"/>
          <w:sz w:val="28"/>
          <w:szCs w:val="28"/>
        </w:rPr>
        <w:t>“Calendaru</w:t>
      </w:r>
      <w:r>
        <w:rPr>
          <w:rFonts w:hint="default" w:ascii="Arial" w:hAnsi="Arial" w:cs="Arial"/>
          <w:i w:val="0"/>
          <w:iCs w:val="0"/>
          <w:sz w:val="28"/>
          <w:szCs w:val="28"/>
          <w:lang w:val="ro-RO"/>
        </w:rPr>
        <w:t>l</w:t>
      </w:r>
      <w:r>
        <w:rPr>
          <w:rFonts w:hint="default" w:ascii="Arial" w:hAnsi="Arial" w:cs="Arial"/>
          <w:i w:val="0"/>
          <w:iCs w:val="0"/>
          <w:sz w:val="28"/>
          <w:szCs w:val="28"/>
        </w:rPr>
        <w:t xml:space="preserve"> întalnirilor cu operatorii economici</w:t>
      </w:r>
      <w:r>
        <w:rPr>
          <w:rFonts w:hint="default" w:ascii="Arial" w:hAnsi="Arial" w:cs="Arial"/>
          <w:i w:val="0"/>
          <w:iCs w:val="0"/>
          <w:sz w:val="28"/>
          <w:szCs w:val="28"/>
          <w:lang w:val="ro-RO"/>
        </w:rPr>
        <w:t xml:space="preserve"> pentru luna septembrie 2019</w:t>
      </w:r>
      <w:r>
        <w:rPr>
          <w:rFonts w:hint="default" w:ascii="Arial" w:hAnsi="Arial" w:cs="Arial"/>
          <w:i w:val="0"/>
          <w:iCs w:val="0"/>
          <w:sz w:val="28"/>
          <w:szCs w:val="28"/>
        </w:rPr>
        <w:t>”</w:t>
      </w:r>
    </w:p>
    <w:p>
      <w:pPr>
        <w:rPr>
          <w:lang w:val="ro-RO"/>
        </w:rPr>
      </w:pPr>
    </w:p>
    <w:p>
      <w:pPr>
        <w:rPr>
          <w:lang w:val="ro-RO"/>
        </w:rPr>
      </w:pPr>
    </w:p>
    <w:p>
      <w:pPr>
        <w:rPr>
          <w:lang w:val="ro-RO"/>
        </w:rPr>
      </w:pPr>
    </w:p>
    <w:tbl>
      <w:tblPr>
        <w:tblStyle w:val="8"/>
        <w:tblW w:w="9642" w:type="dxa"/>
        <w:tblInd w:w="-34" w:type="dxa"/>
        <w:tblLayout w:type="fixed"/>
        <w:tblCellMar>
          <w:top w:w="0" w:type="dxa"/>
          <w:left w:w="108" w:type="dxa"/>
          <w:bottom w:w="0" w:type="dxa"/>
          <w:right w:w="108" w:type="dxa"/>
        </w:tblCellMar>
      </w:tblPr>
      <w:tblGrid>
        <w:gridCol w:w="1560"/>
        <w:gridCol w:w="5528"/>
        <w:gridCol w:w="1701"/>
        <w:gridCol w:w="853"/>
      </w:tblGrid>
      <w:tr>
        <w:tblPrEx>
          <w:tblLayout w:type="fixed"/>
          <w:tblCellMar>
            <w:top w:w="0" w:type="dxa"/>
            <w:left w:w="108" w:type="dxa"/>
            <w:bottom w:w="0" w:type="dxa"/>
            <w:right w:w="108" w:type="dxa"/>
          </w:tblCellMar>
        </w:tblPrEx>
        <w:tc>
          <w:tcPr>
            <w:tcW w:w="7088" w:type="dxa"/>
            <w:gridSpan w:val="2"/>
            <w:tcBorders>
              <w:top w:val="single" w:color="000000" w:sz="4" w:space="0"/>
              <w:left w:val="single" w:color="000000" w:sz="4" w:space="0"/>
              <w:bottom w:val="single" w:color="000000" w:sz="4" w:space="0"/>
            </w:tcBorders>
            <w:vAlign w:val="top"/>
          </w:tcPr>
          <w:p>
            <w:pPr>
              <w:rPr>
                <w:i/>
                <w:iCs/>
                <w:lang w:val="it-IT"/>
              </w:rPr>
            </w:pPr>
            <w:r>
              <w:rPr>
                <w:bCs/>
                <w:i/>
                <w:iCs/>
                <w:lang w:val="ro-RO"/>
              </w:rPr>
              <w:t>Locaţia</w:t>
            </w:r>
          </w:p>
        </w:tc>
        <w:tc>
          <w:tcPr>
            <w:tcW w:w="1701" w:type="dxa"/>
            <w:tcBorders>
              <w:top w:val="single" w:color="000000" w:sz="4" w:space="0"/>
              <w:left w:val="single" w:color="000000" w:sz="4" w:space="0"/>
              <w:bottom w:val="single" w:color="000000" w:sz="4" w:space="0"/>
            </w:tcBorders>
            <w:vAlign w:val="top"/>
          </w:tcPr>
          <w:p>
            <w:pPr>
              <w:rPr>
                <w:bCs/>
                <w:i/>
                <w:iCs/>
                <w:lang w:val="it-IT"/>
              </w:rPr>
            </w:pPr>
            <w:r>
              <w:rPr>
                <w:i/>
                <w:iCs/>
                <w:lang w:val="it-IT"/>
              </w:rPr>
              <w:t>Data desfăşurării întălnirii</w:t>
            </w:r>
          </w:p>
        </w:tc>
        <w:tc>
          <w:tcPr>
            <w:tcW w:w="853" w:type="dxa"/>
            <w:tcBorders>
              <w:top w:val="single" w:color="000000" w:sz="4" w:space="0"/>
              <w:left w:val="single" w:color="000000" w:sz="4" w:space="0"/>
              <w:bottom w:val="single" w:color="000000" w:sz="4" w:space="0"/>
              <w:right w:val="single" w:color="000000" w:sz="4" w:space="0"/>
            </w:tcBorders>
            <w:vAlign w:val="top"/>
          </w:tcPr>
          <w:p>
            <w:r>
              <w:rPr>
                <w:bCs/>
                <w:i/>
                <w:iCs/>
                <w:lang w:val="it-IT"/>
              </w:rPr>
              <w:t>Ora</w:t>
            </w:r>
          </w:p>
        </w:tc>
      </w:tr>
      <w:tr>
        <w:tblPrEx>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tcBorders>
            <w:vAlign w:val="top"/>
          </w:tcPr>
          <w:p>
            <w:pPr>
              <w:rPr>
                <w:i/>
                <w:iCs/>
              </w:rPr>
            </w:pPr>
            <w:r>
              <w:rPr>
                <w:i/>
                <w:iCs/>
              </w:rPr>
              <w:t>Bihor</w:t>
            </w:r>
          </w:p>
        </w:tc>
        <w:tc>
          <w:tcPr>
            <w:tcW w:w="5528" w:type="dxa"/>
            <w:tcBorders>
              <w:top w:val="single" w:color="000000" w:sz="4" w:space="0"/>
              <w:left w:val="single" w:color="000000" w:sz="4" w:space="0"/>
              <w:bottom w:val="single" w:color="000000" w:sz="4" w:space="0"/>
            </w:tcBorders>
            <w:vAlign w:val="top"/>
          </w:tcPr>
          <w:p>
            <w:pPr>
              <w:rPr>
                <w:i/>
                <w:iCs/>
                <w:lang w:val="pt-BR"/>
              </w:rPr>
            </w:pPr>
            <w:r>
              <w:rPr>
                <w:i/>
                <w:iCs/>
              </w:rPr>
              <w:t>Administraţia Judeţeană a Finanţelor Publice  Bihor, Oradea, str. Dimitrie Cantemir, nr.2B, Sala mare de şedinţe</w:t>
            </w:r>
          </w:p>
        </w:tc>
        <w:tc>
          <w:tcPr>
            <w:tcW w:w="1701" w:type="dxa"/>
            <w:tcBorders>
              <w:top w:val="single" w:color="000000" w:sz="4" w:space="0"/>
              <w:left w:val="single" w:color="000000" w:sz="4" w:space="0"/>
              <w:bottom w:val="single" w:color="000000" w:sz="4" w:space="0"/>
            </w:tcBorders>
            <w:vAlign w:val="top"/>
          </w:tcPr>
          <w:p>
            <w:pPr>
              <w:rPr>
                <w:i/>
                <w:iCs/>
                <w:lang w:val="pt-BR"/>
              </w:rPr>
            </w:pPr>
            <w:r>
              <w:rPr>
                <w:i/>
                <w:iCs/>
                <w:lang w:val="en-US"/>
              </w:rPr>
              <w:t>20</w:t>
            </w:r>
            <w:r>
              <w:rPr>
                <w:i/>
                <w:iCs/>
                <w:lang w:val="pt-BR"/>
              </w:rPr>
              <w:t>.</w:t>
            </w:r>
            <w:r>
              <w:rPr>
                <w:i/>
                <w:iCs/>
                <w:lang w:val="en-US"/>
              </w:rPr>
              <w:t>09</w:t>
            </w:r>
            <w:r>
              <w:rPr>
                <w:i/>
                <w:iCs/>
                <w:lang w:val="pt-BR"/>
              </w:rPr>
              <w:t>.2019</w:t>
            </w:r>
          </w:p>
          <w:p>
            <w:pPr>
              <w:rPr>
                <w:i/>
                <w:iCs/>
                <w:lang w:val="pt-BR"/>
              </w:rPr>
            </w:pPr>
            <w:r>
              <w:rPr>
                <w:i/>
                <w:iCs/>
                <w:lang w:val="en-US"/>
              </w:rPr>
              <w:t>27</w:t>
            </w:r>
            <w:r>
              <w:rPr>
                <w:i/>
                <w:iCs/>
                <w:lang w:val="pt-BR"/>
              </w:rPr>
              <w:t>.</w:t>
            </w:r>
            <w:r>
              <w:rPr>
                <w:i/>
                <w:iCs/>
                <w:lang w:val="en-US"/>
              </w:rPr>
              <w:t>09</w:t>
            </w:r>
            <w:r>
              <w:rPr>
                <w:i/>
                <w:iCs/>
                <w:lang w:val="pt-BR"/>
              </w:rPr>
              <w:t>.2019</w:t>
            </w:r>
          </w:p>
        </w:tc>
        <w:tc>
          <w:tcPr>
            <w:tcW w:w="853" w:type="dxa"/>
            <w:tcBorders>
              <w:top w:val="single" w:color="000000" w:sz="4" w:space="0"/>
              <w:left w:val="single" w:color="000000" w:sz="4" w:space="0"/>
              <w:bottom w:val="single" w:color="000000" w:sz="4" w:space="0"/>
              <w:right w:val="single" w:color="000000" w:sz="4" w:space="0"/>
            </w:tcBorders>
            <w:vAlign w:val="top"/>
          </w:tcPr>
          <w:p>
            <w:pPr>
              <w:rPr>
                <w:i/>
                <w:iCs/>
                <w:lang w:val="pt-BR"/>
              </w:rPr>
            </w:pPr>
            <w:r>
              <w:rPr>
                <w:i/>
                <w:iCs/>
                <w:lang w:val="pt-BR"/>
              </w:rPr>
              <w:t>10:00</w:t>
            </w:r>
          </w:p>
          <w:p>
            <w:pPr>
              <w:rPr>
                <w:i/>
                <w:iCs/>
                <w:lang w:val="pt-BR"/>
              </w:rPr>
            </w:pPr>
            <w:r>
              <w:rPr>
                <w:i/>
                <w:iCs/>
                <w:lang w:val="pt-BR"/>
              </w:rPr>
              <w:t>10:00</w:t>
            </w:r>
          </w:p>
          <w:p>
            <w:pPr>
              <w:rPr>
                <w:i/>
                <w:iCs/>
                <w:lang w:val="pt-BR"/>
              </w:rPr>
            </w:pPr>
          </w:p>
        </w:tc>
      </w:tr>
      <w:tr>
        <w:tblPrEx>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tcBorders>
            <w:vAlign w:val="top"/>
          </w:tcPr>
          <w:p>
            <w:pPr>
              <w:rPr>
                <w:i/>
                <w:iCs/>
                <w:color w:val="000000"/>
                <w:lang w:val="pt-BR"/>
              </w:rPr>
            </w:pPr>
            <w:r>
              <w:rPr>
                <w:i/>
                <w:iCs/>
                <w:color w:val="000000"/>
                <w:lang w:val="ro-RO"/>
              </w:rPr>
              <w:t>Bistriţa</w:t>
            </w:r>
            <w:r>
              <w:rPr>
                <w:i/>
                <w:iCs/>
                <w:color w:val="000000"/>
                <w:lang w:val="pt-BR"/>
              </w:rPr>
              <w:t xml:space="preserve"> Năsăud</w:t>
            </w:r>
          </w:p>
        </w:tc>
        <w:tc>
          <w:tcPr>
            <w:tcW w:w="5528" w:type="dxa"/>
            <w:tcBorders>
              <w:top w:val="single" w:color="000000" w:sz="4" w:space="0"/>
              <w:left w:val="single" w:color="000000" w:sz="4" w:space="0"/>
              <w:bottom w:val="single" w:color="000000" w:sz="4" w:space="0"/>
            </w:tcBorders>
            <w:vAlign w:val="top"/>
          </w:tcPr>
          <w:p>
            <w:pPr>
              <w:rPr>
                <w:i/>
                <w:iCs/>
                <w:color w:val="000000"/>
                <w:lang w:val="pt-BR"/>
              </w:rPr>
            </w:pPr>
            <w:r>
              <w:rPr>
                <w:i/>
                <w:iCs/>
                <w:color w:val="000000"/>
                <w:lang w:val="pt-BR"/>
              </w:rPr>
              <w:t xml:space="preserve">Administraţia Judeţeană a </w:t>
            </w:r>
            <w:r>
              <w:rPr>
                <w:i/>
                <w:iCs/>
                <w:color w:val="000000"/>
                <w:lang w:val="ro-RO"/>
              </w:rPr>
              <w:t>Finanţelor</w:t>
            </w:r>
            <w:r>
              <w:rPr>
                <w:i/>
                <w:iCs/>
                <w:color w:val="000000"/>
                <w:lang w:val="pt-BR"/>
              </w:rPr>
              <w:t xml:space="preserve"> Publice Bistriţa Năsăud, Bistriţa, str. 1 Decembrie, nr. 6-8, etaj 1 cam 11, sala de </w:t>
            </w:r>
            <w:r>
              <w:rPr>
                <w:i/>
                <w:iCs/>
                <w:color w:val="000000"/>
                <w:lang w:val="ro-RO"/>
              </w:rPr>
              <w:t>şedinţe</w:t>
            </w:r>
            <w:r>
              <w:rPr>
                <w:i/>
                <w:iCs/>
                <w:color w:val="000000"/>
                <w:lang w:val="pt-BR"/>
              </w:rPr>
              <w:t xml:space="preserve"> </w:t>
            </w:r>
          </w:p>
        </w:tc>
        <w:tc>
          <w:tcPr>
            <w:tcW w:w="1701" w:type="dxa"/>
            <w:tcBorders>
              <w:top w:val="single" w:color="000000" w:sz="4" w:space="0"/>
              <w:left w:val="single" w:color="000000" w:sz="4" w:space="0"/>
              <w:bottom w:val="single" w:color="000000" w:sz="4" w:space="0"/>
            </w:tcBorders>
            <w:vAlign w:val="top"/>
          </w:tcPr>
          <w:p>
            <w:pPr>
              <w:rPr>
                <w:i/>
                <w:iCs/>
                <w:color w:val="000000"/>
                <w:lang w:val="pt-BR"/>
              </w:rPr>
            </w:pPr>
            <w:r>
              <w:rPr>
                <w:i/>
                <w:iCs/>
                <w:color w:val="000000"/>
                <w:lang w:val="en-US"/>
              </w:rPr>
              <w:t>18</w:t>
            </w:r>
            <w:r>
              <w:rPr>
                <w:i/>
                <w:iCs/>
                <w:color w:val="000000"/>
                <w:lang w:val="pt-BR"/>
              </w:rPr>
              <w:t>.</w:t>
            </w:r>
            <w:r>
              <w:rPr>
                <w:i/>
                <w:iCs/>
                <w:color w:val="000000"/>
                <w:lang w:val="en-US"/>
              </w:rPr>
              <w:t>09</w:t>
            </w:r>
            <w:r>
              <w:rPr>
                <w:i/>
                <w:iCs/>
                <w:color w:val="000000"/>
                <w:lang w:val="pt-BR"/>
              </w:rPr>
              <w:t>.2019</w:t>
            </w:r>
          </w:p>
          <w:p>
            <w:pPr>
              <w:rPr>
                <w:i/>
                <w:iCs/>
                <w:color w:val="000000"/>
                <w:lang w:val="it-IT"/>
              </w:rPr>
            </w:pPr>
            <w:r>
              <w:rPr>
                <w:i/>
                <w:iCs/>
                <w:color w:val="000000"/>
                <w:lang w:val="en-US"/>
              </w:rPr>
              <w:t>24</w:t>
            </w:r>
            <w:r>
              <w:rPr>
                <w:i/>
                <w:iCs/>
                <w:color w:val="000000"/>
                <w:lang w:val="pt-BR"/>
              </w:rPr>
              <w:t>.</w:t>
            </w:r>
            <w:r>
              <w:rPr>
                <w:i/>
                <w:iCs/>
                <w:color w:val="000000"/>
                <w:lang w:val="en-US"/>
              </w:rPr>
              <w:t>09</w:t>
            </w:r>
            <w:r>
              <w:rPr>
                <w:i/>
                <w:iCs/>
                <w:color w:val="000000"/>
                <w:lang w:val="pt-BR"/>
              </w:rPr>
              <w:t>.2019</w:t>
            </w:r>
          </w:p>
        </w:tc>
        <w:tc>
          <w:tcPr>
            <w:tcW w:w="853" w:type="dxa"/>
            <w:tcBorders>
              <w:top w:val="single" w:color="000000" w:sz="4" w:space="0"/>
              <w:left w:val="single" w:color="000000" w:sz="4" w:space="0"/>
              <w:bottom w:val="single" w:color="000000" w:sz="4" w:space="0"/>
              <w:right w:val="single" w:color="000000" w:sz="4" w:space="0"/>
            </w:tcBorders>
            <w:vAlign w:val="top"/>
          </w:tcPr>
          <w:p>
            <w:pPr>
              <w:rPr>
                <w:i/>
                <w:iCs/>
                <w:color w:val="000000"/>
                <w:lang w:val="it-IT"/>
              </w:rPr>
            </w:pPr>
            <w:r>
              <w:rPr>
                <w:i/>
                <w:iCs/>
                <w:color w:val="000000"/>
                <w:lang w:val="en-US"/>
              </w:rPr>
              <w:t>13</w:t>
            </w:r>
            <w:r>
              <w:rPr>
                <w:i/>
                <w:iCs/>
                <w:color w:val="000000"/>
                <w:lang w:val="it-IT"/>
              </w:rPr>
              <w:t>:00</w:t>
            </w:r>
          </w:p>
          <w:p>
            <w:pPr>
              <w:rPr>
                <w:i/>
                <w:iCs/>
                <w:color w:val="000000"/>
                <w:lang w:val="it-IT"/>
              </w:rPr>
            </w:pPr>
            <w:r>
              <w:rPr>
                <w:i/>
                <w:iCs/>
                <w:color w:val="000000"/>
                <w:lang w:val="en-US"/>
              </w:rPr>
              <w:t>10</w:t>
            </w:r>
            <w:r>
              <w:rPr>
                <w:i/>
                <w:iCs/>
                <w:color w:val="000000"/>
                <w:lang w:val="it-IT"/>
              </w:rPr>
              <w:t>:00</w:t>
            </w:r>
          </w:p>
          <w:p>
            <w:pPr>
              <w:rPr>
                <w:i/>
                <w:iCs/>
                <w:color w:val="000000"/>
                <w:lang w:val="it-IT"/>
              </w:rPr>
            </w:pPr>
          </w:p>
        </w:tc>
      </w:tr>
      <w:tr>
        <w:tblPrEx>
          <w:tblLayout w:type="fixed"/>
          <w:tblCellMar>
            <w:top w:w="0" w:type="dxa"/>
            <w:left w:w="108" w:type="dxa"/>
            <w:bottom w:w="0" w:type="dxa"/>
            <w:right w:w="108" w:type="dxa"/>
          </w:tblCellMar>
        </w:tblPrEx>
        <w:tc>
          <w:tcPr>
            <w:tcW w:w="1560" w:type="dxa"/>
            <w:vMerge w:val="restart"/>
            <w:tcBorders>
              <w:top w:val="single" w:color="000000" w:sz="4" w:space="0"/>
              <w:left w:val="single" w:color="000000" w:sz="4" w:space="0"/>
            </w:tcBorders>
            <w:vAlign w:val="top"/>
          </w:tcPr>
          <w:p>
            <w:pPr>
              <w:rPr>
                <w:i/>
                <w:iCs/>
              </w:rPr>
            </w:pPr>
            <w:r>
              <w:rPr>
                <w:i/>
                <w:iCs/>
              </w:rPr>
              <w:t>Cluj</w:t>
            </w:r>
          </w:p>
        </w:tc>
        <w:tc>
          <w:tcPr>
            <w:tcW w:w="5528" w:type="dxa"/>
            <w:tcBorders>
              <w:top w:val="single" w:color="000000" w:sz="4" w:space="0"/>
              <w:left w:val="single" w:color="000000" w:sz="4" w:space="0"/>
              <w:bottom w:val="single" w:color="000000" w:sz="4" w:space="0"/>
            </w:tcBorders>
            <w:vAlign w:val="top"/>
          </w:tcPr>
          <w:p>
            <w:pPr>
              <w:rPr>
                <w:i/>
                <w:iCs/>
              </w:rPr>
            </w:pPr>
            <w:r>
              <w:rPr>
                <w:i/>
                <w:iCs/>
              </w:rPr>
              <w:t>Direcţia Generală  Regională a Finanţelor Publice Cluj Napoca, Cluj Napoca Piaţa Av. Iancu nr 19, etaj 2, Sala de sedinţe</w:t>
            </w:r>
          </w:p>
        </w:tc>
        <w:tc>
          <w:tcPr>
            <w:tcW w:w="1701" w:type="dxa"/>
            <w:tcBorders>
              <w:top w:val="single" w:color="000000" w:sz="4" w:space="0"/>
              <w:left w:val="single" w:color="000000" w:sz="4" w:space="0"/>
              <w:bottom w:val="single" w:color="000000" w:sz="4" w:space="0"/>
            </w:tcBorders>
            <w:vAlign w:val="top"/>
          </w:tcPr>
          <w:p>
            <w:pPr>
              <w:rPr>
                <w:i/>
                <w:iCs/>
              </w:rPr>
            </w:pPr>
            <w:r>
              <w:rPr>
                <w:i/>
                <w:iCs/>
                <w:lang w:val="en-US"/>
              </w:rPr>
              <w:t>18</w:t>
            </w:r>
            <w:r>
              <w:rPr>
                <w:i/>
                <w:iCs/>
              </w:rPr>
              <w:t>.</w:t>
            </w:r>
            <w:r>
              <w:rPr>
                <w:i/>
                <w:iCs/>
                <w:lang w:val="en-US"/>
              </w:rPr>
              <w:t>09</w:t>
            </w:r>
            <w:r>
              <w:rPr>
                <w:i/>
                <w:iCs/>
              </w:rPr>
              <w:t>.2019</w:t>
            </w:r>
          </w:p>
        </w:tc>
        <w:tc>
          <w:tcPr>
            <w:tcW w:w="853" w:type="dxa"/>
            <w:tcBorders>
              <w:top w:val="single" w:color="000000" w:sz="4" w:space="0"/>
              <w:left w:val="single" w:color="000000" w:sz="4" w:space="0"/>
              <w:bottom w:val="single" w:color="000000" w:sz="4" w:space="0"/>
              <w:right w:val="single" w:color="000000" w:sz="4" w:space="0"/>
            </w:tcBorders>
            <w:vAlign w:val="top"/>
          </w:tcPr>
          <w:p>
            <w:pPr>
              <w:rPr>
                <w:i/>
                <w:iCs/>
              </w:rPr>
            </w:pPr>
            <w:r>
              <w:rPr>
                <w:i/>
                <w:iCs/>
              </w:rPr>
              <w:t>10:00</w:t>
            </w:r>
          </w:p>
        </w:tc>
      </w:tr>
      <w:tr>
        <w:tblPrEx>
          <w:tblLayout w:type="fixed"/>
          <w:tblCellMar>
            <w:top w:w="0" w:type="dxa"/>
            <w:left w:w="108" w:type="dxa"/>
            <w:bottom w:w="0" w:type="dxa"/>
            <w:right w:w="108" w:type="dxa"/>
          </w:tblCellMar>
        </w:tblPrEx>
        <w:tc>
          <w:tcPr>
            <w:tcW w:w="1560" w:type="dxa"/>
            <w:vMerge w:val="continue"/>
            <w:tcBorders>
              <w:left w:val="single" w:color="000000" w:sz="4" w:space="0"/>
              <w:bottom w:val="single" w:color="000000" w:sz="4" w:space="0"/>
            </w:tcBorders>
            <w:vAlign w:val="top"/>
          </w:tcPr>
          <w:p>
            <w:pPr>
              <w:rPr>
                <w:i/>
                <w:iCs/>
              </w:rPr>
            </w:pPr>
          </w:p>
        </w:tc>
        <w:tc>
          <w:tcPr>
            <w:tcW w:w="5528" w:type="dxa"/>
            <w:tcBorders>
              <w:top w:val="single" w:color="000000" w:sz="4" w:space="0"/>
              <w:left w:val="single" w:color="000000" w:sz="4" w:space="0"/>
              <w:bottom w:val="single" w:color="000000" w:sz="4" w:space="0"/>
            </w:tcBorders>
            <w:vAlign w:val="top"/>
          </w:tcPr>
          <w:p>
            <w:pPr>
              <w:rPr>
                <w:i/>
                <w:iCs/>
              </w:rPr>
            </w:pPr>
            <w:r>
              <w:rPr>
                <w:i/>
                <w:iCs/>
              </w:rPr>
              <w:t>Direcţia Generală  Regională a Finanţelor Publice Cluj Napoca, sediul Biroului Vamal Cluj Napoca, Cluj Napoca str Traian Vuia nr 149, sala E05</w:t>
            </w:r>
          </w:p>
        </w:tc>
        <w:tc>
          <w:tcPr>
            <w:tcW w:w="1701" w:type="dxa"/>
            <w:tcBorders>
              <w:top w:val="single" w:color="000000" w:sz="4" w:space="0"/>
              <w:left w:val="single" w:color="000000" w:sz="4" w:space="0"/>
              <w:bottom w:val="single" w:color="000000" w:sz="4" w:space="0"/>
            </w:tcBorders>
            <w:vAlign w:val="top"/>
          </w:tcPr>
          <w:p>
            <w:pPr>
              <w:rPr>
                <w:i/>
                <w:iCs/>
              </w:rPr>
            </w:pPr>
            <w:r>
              <w:rPr>
                <w:i/>
                <w:iCs/>
                <w:lang w:val="en-US"/>
              </w:rPr>
              <w:t>25</w:t>
            </w:r>
            <w:r>
              <w:rPr>
                <w:i/>
                <w:iCs/>
              </w:rPr>
              <w:t>.</w:t>
            </w:r>
            <w:r>
              <w:rPr>
                <w:i/>
                <w:iCs/>
                <w:lang w:val="en-US"/>
              </w:rPr>
              <w:t>09</w:t>
            </w:r>
            <w:r>
              <w:rPr>
                <w:i/>
                <w:iCs/>
              </w:rPr>
              <w:t>.2019</w:t>
            </w:r>
          </w:p>
          <w:p>
            <w:pPr>
              <w:rPr>
                <w:i/>
                <w:iCs/>
              </w:rPr>
            </w:pPr>
          </w:p>
        </w:tc>
        <w:tc>
          <w:tcPr>
            <w:tcW w:w="853" w:type="dxa"/>
            <w:tcBorders>
              <w:top w:val="single" w:color="000000" w:sz="4" w:space="0"/>
              <w:left w:val="single" w:color="000000" w:sz="4" w:space="0"/>
              <w:bottom w:val="single" w:color="000000" w:sz="4" w:space="0"/>
              <w:right w:val="single" w:color="000000" w:sz="4" w:space="0"/>
            </w:tcBorders>
            <w:vAlign w:val="top"/>
          </w:tcPr>
          <w:p>
            <w:pPr>
              <w:rPr>
                <w:i/>
                <w:iCs/>
              </w:rPr>
            </w:pPr>
            <w:r>
              <w:rPr>
                <w:i/>
                <w:iCs/>
              </w:rPr>
              <w:t>11:00</w:t>
            </w:r>
          </w:p>
          <w:p/>
        </w:tc>
      </w:tr>
      <w:tr>
        <w:tblPrEx>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tcBorders>
            <w:vAlign w:val="top"/>
          </w:tcPr>
          <w:p>
            <w:pPr>
              <w:rPr>
                <w:i/>
                <w:iCs/>
                <w:lang w:val="pt-BR"/>
              </w:rPr>
            </w:pPr>
            <w:r>
              <w:rPr>
                <w:i/>
                <w:iCs/>
              </w:rPr>
              <w:t>Maramureş</w:t>
            </w:r>
          </w:p>
        </w:tc>
        <w:tc>
          <w:tcPr>
            <w:tcW w:w="5528" w:type="dxa"/>
            <w:tcBorders>
              <w:top w:val="single" w:color="000000" w:sz="4" w:space="0"/>
              <w:left w:val="single" w:color="000000" w:sz="4" w:space="0"/>
              <w:bottom w:val="single" w:color="auto" w:sz="4" w:space="0"/>
            </w:tcBorders>
            <w:vAlign w:val="top"/>
          </w:tcPr>
          <w:p>
            <w:pPr>
              <w:rPr>
                <w:i/>
                <w:iCs/>
              </w:rPr>
            </w:pPr>
            <w:r>
              <w:rPr>
                <w:i/>
                <w:iCs/>
                <w:lang w:val="pt-BR"/>
              </w:rPr>
              <w:t xml:space="preserve">Administraţia Judeţeană a </w:t>
            </w:r>
            <w:r>
              <w:rPr>
                <w:i/>
                <w:iCs/>
                <w:lang w:val="ro-RO"/>
              </w:rPr>
              <w:t>Finanţelor</w:t>
            </w:r>
            <w:r>
              <w:rPr>
                <w:i/>
                <w:iCs/>
                <w:lang w:val="pt-BR"/>
              </w:rPr>
              <w:t xml:space="preserve"> Publice Maramure</w:t>
            </w:r>
            <w:r>
              <w:rPr>
                <w:i/>
                <w:iCs/>
                <w:lang w:val="ro-RO"/>
              </w:rPr>
              <w:t>ş</w:t>
            </w:r>
            <w:r>
              <w:rPr>
                <w:i/>
                <w:iCs/>
                <w:lang w:val="pt-BR"/>
              </w:rPr>
              <w:t>, Baia Mare, str. Aleea Serelor, nr. 2A, Sala de sedinte et. 1</w:t>
            </w:r>
          </w:p>
        </w:tc>
        <w:tc>
          <w:tcPr>
            <w:tcW w:w="1701" w:type="dxa"/>
            <w:tcBorders>
              <w:top w:val="single" w:color="000000" w:sz="4" w:space="0"/>
              <w:left w:val="single" w:color="000000" w:sz="4" w:space="0"/>
              <w:bottom w:val="single" w:color="auto" w:sz="4" w:space="0"/>
            </w:tcBorders>
            <w:vAlign w:val="top"/>
          </w:tcPr>
          <w:p>
            <w:pPr>
              <w:rPr>
                <w:i/>
                <w:iCs/>
              </w:rPr>
            </w:pPr>
            <w:r>
              <w:rPr>
                <w:i/>
                <w:iCs/>
                <w:lang w:val="en-US"/>
              </w:rPr>
              <w:t>12.09</w:t>
            </w:r>
            <w:r>
              <w:rPr>
                <w:i/>
                <w:iCs/>
              </w:rPr>
              <w:t>.2019</w:t>
            </w:r>
          </w:p>
          <w:p>
            <w:pPr>
              <w:rPr>
                <w:i/>
                <w:iCs/>
              </w:rPr>
            </w:pPr>
            <w:r>
              <w:rPr>
                <w:i/>
                <w:iCs/>
                <w:lang w:val="en-US"/>
              </w:rPr>
              <w:t>26</w:t>
            </w:r>
            <w:r>
              <w:rPr>
                <w:i/>
                <w:iCs/>
              </w:rPr>
              <w:t>.</w:t>
            </w:r>
            <w:r>
              <w:rPr>
                <w:i/>
                <w:iCs/>
                <w:lang w:val="en-US"/>
              </w:rPr>
              <w:t>09</w:t>
            </w:r>
            <w:r>
              <w:rPr>
                <w:i/>
                <w:iCs/>
              </w:rPr>
              <w:t>.2019</w:t>
            </w:r>
          </w:p>
        </w:tc>
        <w:tc>
          <w:tcPr>
            <w:tcW w:w="853" w:type="dxa"/>
            <w:tcBorders>
              <w:top w:val="single" w:color="000000" w:sz="4" w:space="0"/>
              <w:left w:val="single" w:color="000000" w:sz="4" w:space="0"/>
              <w:bottom w:val="single" w:color="auto" w:sz="4" w:space="0"/>
              <w:right w:val="single" w:color="000000" w:sz="4" w:space="0"/>
            </w:tcBorders>
            <w:vAlign w:val="top"/>
          </w:tcPr>
          <w:p>
            <w:pPr>
              <w:rPr>
                <w:i/>
                <w:iCs/>
              </w:rPr>
            </w:pPr>
            <w:r>
              <w:rPr>
                <w:i/>
                <w:iCs/>
              </w:rPr>
              <w:t>11:00</w:t>
            </w:r>
          </w:p>
          <w:p>
            <w:r>
              <w:rPr>
                <w:i/>
                <w:iCs/>
              </w:rPr>
              <w:t>11:00</w:t>
            </w:r>
          </w:p>
        </w:tc>
      </w:tr>
      <w:tr>
        <w:tblPrEx>
          <w:tblLayout w:type="fixed"/>
          <w:tblCellMar>
            <w:top w:w="0" w:type="dxa"/>
            <w:left w:w="108" w:type="dxa"/>
            <w:bottom w:w="0" w:type="dxa"/>
            <w:right w:w="108" w:type="dxa"/>
          </w:tblCellMar>
        </w:tblPrEx>
        <w:tc>
          <w:tcPr>
            <w:tcW w:w="1560" w:type="dxa"/>
            <w:tcBorders>
              <w:top w:val="single" w:color="000000" w:sz="4" w:space="0"/>
              <w:left w:val="single" w:color="000000" w:sz="4" w:space="0"/>
              <w:bottom w:val="single" w:color="000000" w:sz="4" w:space="0"/>
            </w:tcBorders>
            <w:vAlign w:val="top"/>
          </w:tcPr>
          <w:p>
            <w:pPr>
              <w:rPr>
                <w:i/>
                <w:iCs/>
                <w:color w:val="000000"/>
              </w:rPr>
            </w:pPr>
            <w:r>
              <w:rPr>
                <w:i/>
                <w:iCs/>
                <w:color w:val="000000"/>
              </w:rPr>
              <w:t>Satu Mare</w:t>
            </w:r>
          </w:p>
        </w:tc>
        <w:tc>
          <w:tcPr>
            <w:tcW w:w="5528" w:type="dxa"/>
            <w:tcBorders>
              <w:top w:val="single" w:color="000000" w:sz="4" w:space="0"/>
              <w:left w:val="single" w:color="000000" w:sz="4" w:space="0"/>
              <w:bottom w:val="single" w:color="auto" w:sz="4" w:space="0"/>
            </w:tcBorders>
            <w:vAlign w:val="top"/>
          </w:tcPr>
          <w:p>
            <w:pPr>
              <w:rPr>
                <w:i/>
                <w:iCs/>
                <w:color w:val="000000"/>
              </w:rPr>
            </w:pPr>
            <w:r>
              <w:rPr>
                <w:i/>
                <w:iCs/>
                <w:color w:val="000000"/>
                <w:lang w:val="fr-FR"/>
              </w:rPr>
              <w:t xml:space="preserve">Administraţia Judeţeană a Finanţelor Publice Satu Mare, Satu Mare, Piaţa Romană, nr. 3-5, </w:t>
            </w:r>
            <w:r>
              <w:rPr>
                <w:i/>
                <w:iCs/>
                <w:color w:val="000000"/>
                <w:lang w:val="pt-BR"/>
              </w:rPr>
              <w:t xml:space="preserve">sala </w:t>
            </w:r>
            <w:r>
              <w:rPr>
                <w:i/>
                <w:iCs/>
                <w:color w:val="000000"/>
                <w:lang w:val="en-US"/>
              </w:rPr>
              <w:t>305</w:t>
            </w:r>
          </w:p>
        </w:tc>
        <w:tc>
          <w:tcPr>
            <w:tcW w:w="1701" w:type="dxa"/>
            <w:tcBorders>
              <w:top w:val="single" w:color="000000" w:sz="4" w:space="0"/>
              <w:left w:val="single" w:color="000000" w:sz="4" w:space="0"/>
              <w:bottom w:val="single" w:color="auto" w:sz="4" w:space="0"/>
            </w:tcBorders>
            <w:vAlign w:val="top"/>
          </w:tcPr>
          <w:p>
            <w:pPr>
              <w:rPr>
                <w:i/>
                <w:iCs/>
                <w:color w:val="000000"/>
              </w:rPr>
            </w:pPr>
            <w:r>
              <w:rPr>
                <w:i/>
                <w:iCs/>
                <w:color w:val="000000"/>
                <w:lang w:val="en-US"/>
              </w:rPr>
              <w:t>19.09</w:t>
            </w:r>
            <w:r>
              <w:rPr>
                <w:i/>
                <w:iCs/>
                <w:color w:val="000000"/>
              </w:rPr>
              <w:t>.2019</w:t>
            </w:r>
          </w:p>
          <w:p>
            <w:pPr>
              <w:rPr>
                <w:i/>
                <w:iCs/>
                <w:color w:val="000000"/>
              </w:rPr>
            </w:pPr>
            <w:r>
              <w:rPr>
                <w:i/>
                <w:iCs/>
                <w:color w:val="000000"/>
                <w:lang w:val="en-US"/>
              </w:rPr>
              <w:t>30</w:t>
            </w:r>
            <w:r>
              <w:rPr>
                <w:i/>
                <w:iCs/>
                <w:color w:val="000000"/>
              </w:rPr>
              <w:t>.</w:t>
            </w:r>
            <w:r>
              <w:rPr>
                <w:i/>
                <w:iCs/>
                <w:color w:val="000000"/>
                <w:lang w:val="en-US"/>
              </w:rPr>
              <w:t>09</w:t>
            </w:r>
            <w:r>
              <w:rPr>
                <w:i/>
                <w:iCs/>
                <w:color w:val="000000"/>
              </w:rPr>
              <w:t>.2019</w:t>
            </w:r>
          </w:p>
        </w:tc>
        <w:tc>
          <w:tcPr>
            <w:tcW w:w="853" w:type="dxa"/>
            <w:tcBorders>
              <w:top w:val="single" w:color="000000" w:sz="4" w:space="0"/>
              <w:left w:val="single" w:color="000000" w:sz="4" w:space="0"/>
              <w:bottom w:val="single" w:color="auto" w:sz="4" w:space="0"/>
              <w:right w:val="single" w:color="000000" w:sz="4" w:space="0"/>
            </w:tcBorders>
            <w:vAlign w:val="top"/>
          </w:tcPr>
          <w:p>
            <w:pPr>
              <w:rPr>
                <w:i/>
                <w:iCs/>
                <w:color w:val="000000"/>
              </w:rPr>
            </w:pPr>
            <w:r>
              <w:rPr>
                <w:i/>
                <w:iCs/>
                <w:color w:val="000000"/>
              </w:rPr>
              <w:t>1</w:t>
            </w:r>
            <w:r>
              <w:rPr>
                <w:i/>
                <w:iCs/>
                <w:color w:val="000000"/>
                <w:lang w:val="en-US"/>
              </w:rPr>
              <w:t>0</w:t>
            </w:r>
            <w:r>
              <w:rPr>
                <w:i/>
                <w:iCs/>
                <w:color w:val="000000"/>
              </w:rPr>
              <w:t>:00</w:t>
            </w:r>
          </w:p>
          <w:p>
            <w:pPr>
              <w:rPr>
                <w:b/>
                <w:color w:val="FF6600"/>
              </w:rPr>
            </w:pPr>
            <w:r>
              <w:rPr>
                <w:i/>
                <w:iCs/>
                <w:color w:val="000000"/>
              </w:rPr>
              <w:t>1</w:t>
            </w:r>
            <w:r>
              <w:rPr>
                <w:i/>
                <w:iCs/>
                <w:color w:val="000000"/>
                <w:lang w:val="en-US"/>
              </w:rPr>
              <w:t>0</w:t>
            </w:r>
            <w:r>
              <w:rPr>
                <w:i/>
                <w:iCs/>
                <w:color w:val="000000"/>
              </w:rPr>
              <w:t>:00</w:t>
            </w:r>
          </w:p>
        </w:tc>
      </w:tr>
      <w:tr>
        <w:tblPrEx>
          <w:tblLayout w:type="fixed"/>
          <w:tblCellMar>
            <w:top w:w="0" w:type="dxa"/>
            <w:left w:w="108" w:type="dxa"/>
            <w:bottom w:w="0" w:type="dxa"/>
            <w:right w:w="108" w:type="dxa"/>
          </w:tblCellMar>
        </w:tblPrEx>
        <w:trPr>
          <w:trHeight w:val="550" w:hRule="atLeast"/>
        </w:trPr>
        <w:tc>
          <w:tcPr>
            <w:tcW w:w="1560" w:type="dxa"/>
            <w:vMerge w:val="restart"/>
            <w:tcBorders>
              <w:top w:val="single" w:color="000000" w:sz="4" w:space="0"/>
              <w:left w:val="single" w:color="000000" w:sz="4" w:space="0"/>
              <w:bottom w:val="single" w:color="000000" w:sz="4" w:space="0"/>
              <w:right w:val="single" w:color="auto" w:sz="4" w:space="0"/>
            </w:tcBorders>
            <w:vAlign w:val="top"/>
          </w:tcPr>
          <w:p>
            <w:pPr>
              <w:rPr>
                <w:i/>
                <w:iCs/>
                <w:color w:val="000000"/>
              </w:rPr>
            </w:pPr>
            <w:r>
              <w:rPr>
                <w:i/>
                <w:iCs/>
                <w:color w:val="000000"/>
                <w:lang w:val="pt-BR"/>
              </w:rPr>
              <w:t>Sălaj</w:t>
            </w:r>
          </w:p>
        </w:tc>
        <w:tc>
          <w:tcPr>
            <w:tcW w:w="5528" w:type="dxa"/>
            <w:tcBorders>
              <w:top w:val="single" w:color="auto" w:sz="4" w:space="0"/>
              <w:left w:val="single" w:color="auto" w:sz="4" w:space="0"/>
              <w:bottom w:val="single" w:color="auto" w:sz="4" w:space="0"/>
              <w:right w:val="single" w:color="auto" w:sz="4" w:space="0"/>
            </w:tcBorders>
            <w:vAlign w:val="top"/>
          </w:tcPr>
          <w:p>
            <w:pPr>
              <w:rPr>
                <w:i/>
                <w:iCs/>
                <w:color w:val="000000"/>
              </w:rPr>
            </w:pPr>
            <w:r>
              <w:rPr>
                <w:i/>
                <w:iCs/>
                <w:color w:val="000000"/>
                <w:lang w:val="fr-FR"/>
              </w:rPr>
              <w:t xml:space="preserve">Camera de Comerţ şi Industrie Sălaj, Zalău, str. </w:t>
            </w:r>
            <w:r>
              <w:rPr>
                <w:i/>
                <w:iCs/>
                <w:color w:val="000000"/>
              </w:rPr>
              <w:t xml:space="preserve">Corneliu Coposu nr.3 </w:t>
            </w:r>
          </w:p>
        </w:tc>
        <w:tc>
          <w:tcPr>
            <w:tcW w:w="1701" w:type="dxa"/>
            <w:tcBorders>
              <w:top w:val="single" w:color="auto" w:sz="4" w:space="0"/>
              <w:left w:val="single" w:color="auto" w:sz="4" w:space="0"/>
              <w:bottom w:val="single" w:color="auto" w:sz="4" w:space="0"/>
              <w:right w:val="single" w:color="auto" w:sz="4" w:space="0"/>
            </w:tcBorders>
            <w:vAlign w:val="top"/>
          </w:tcPr>
          <w:p>
            <w:pPr>
              <w:rPr>
                <w:i/>
                <w:iCs/>
                <w:color w:val="000000"/>
              </w:rPr>
            </w:pPr>
            <w:r>
              <w:rPr>
                <w:i/>
                <w:iCs/>
                <w:color w:val="000000"/>
                <w:lang w:val="en-US"/>
              </w:rPr>
              <w:t>19</w:t>
            </w:r>
            <w:r>
              <w:rPr>
                <w:i/>
                <w:iCs/>
                <w:color w:val="000000"/>
              </w:rPr>
              <w:t>.</w:t>
            </w:r>
            <w:r>
              <w:rPr>
                <w:i/>
                <w:iCs/>
                <w:color w:val="000000"/>
                <w:lang w:val="en-US"/>
              </w:rPr>
              <w:t>09</w:t>
            </w:r>
            <w:r>
              <w:rPr>
                <w:i/>
                <w:iCs/>
                <w:color w:val="000000"/>
              </w:rPr>
              <w:t>.2019</w:t>
            </w:r>
          </w:p>
        </w:tc>
        <w:tc>
          <w:tcPr>
            <w:tcW w:w="853" w:type="dxa"/>
            <w:tcBorders>
              <w:top w:val="single" w:color="auto" w:sz="4" w:space="0"/>
              <w:left w:val="single" w:color="auto" w:sz="4" w:space="0"/>
              <w:bottom w:val="single" w:color="auto" w:sz="4" w:space="0"/>
              <w:right w:val="single" w:color="auto" w:sz="4" w:space="0"/>
            </w:tcBorders>
            <w:vAlign w:val="top"/>
          </w:tcPr>
          <w:p>
            <w:pPr>
              <w:rPr>
                <w:color w:val="000000"/>
              </w:rPr>
            </w:pPr>
            <w:r>
              <w:rPr>
                <w:i/>
                <w:iCs/>
                <w:color w:val="000000"/>
              </w:rPr>
              <w:t>10:00</w:t>
            </w:r>
          </w:p>
        </w:tc>
      </w:tr>
      <w:tr>
        <w:tblPrEx>
          <w:tblLayout w:type="fixed"/>
          <w:tblCellMar>
            <w:top w:w="0" w:type="dxa"/>
            <w:left w:w="108" w:type="dxa"/>
            <w:bottom w:w="0" w:type="dxa"/>
            <w:right w:w="108" w:type="dxa"/>
          </w:tblCellMar>
        </w:tblPrEx>
        <w:tc>
          <w:tcPr>
            <w:tcW w:w="1560" w:type="dxa"/>
            <w:vMerge w:val="continue"/>
            <w:tcBorders>
              <w:top w:val="single" w:color="000000" w:sz="4" w:space="0"/>
              <w:left w:val="single" w:color="000000" w:sz="4" w:space="0"/>
              <w:bottom w:val="single" w:color="000000" w:sz="4" w:space="0"/>
              <w:right w:val="single" w:color="auto" w:sz="4" w:space="0"/>
            </w:tcBorders>
            <w:vAlign w:val="top"/>
          </w:tcPr>
          <w:p>
            <w:pPr>
              <w:snapToGrid w:val="0"/>
              <w:rPr>
                <w:i/>
                <w:iCs/>
                <w:color w:val="000000"/>
                <w:lang w:val="pt-BR"/>
              </w:rPr>
            </w:pPr>
          </w:p>
        </w:tc>
        <w:tc>
          <w:tcPr>
            <w:tcW w:w="5528" w:type="dxa"/>
            <w:tcBorders>
              <w:top w:val="single" w:color="auto" w:sz="4" w:space="0"/>
              <w:left w:val="single" w:color="auto" w:sz="4" w:space="0"/>
              <w:bottom w:val="single" w:color="auto" w:sz="4" w:space="0"/>
              <w:right w:val="single" w:color="auto" w:sz="4" w:space="0"/>
            </w:tcBorders>
            <w:vAlign w:val="top"/>
          </w:tcPr>
          <w:p>
            <w:pPr>
              <w:rPr>
                <w:i/>
                <w:iCs/>
                <w:color w:val="000000"/>
              </w:rPr>
            </w:pPr>
            <w:r>
              <w:rPr>
                <w:rFonts w:hint="default"/>
              </w:rPr>
              <w:t>CECCAR Sălaj, Zalău, str. Maxim Gorki nr.31/A</w:t>
            </w:r>
          </w:p>
        </w:tc>
        <w:tc>
          <w:tcPr>
            <w:tcW w:w="1701" w:type="dxa"/>
            <w:tcBorders>
              <w:top w:val="single" w:color="auto" w:sz="4" w:space="0"/>
              <w:left w:val="single" w:color="auto" w:sz="4" w:space="0"/>
              <w:bottom w:val="single" w:color="auto" w:sz="4" w:space="0"/>
              <w:right w:val="single" w:color="auto" w:sz="4" w:space="0"/>
            </w:tcBorders>
            <w:vAlign w:val="top"/>
          </w:tcPr>
          <w:p>
            <w:pPr>
              <w:rPr>
                <w:i/>
                <w:iCs/>
                <w:color w:val="000000"/>
              </w:rPr>
            </w:pPr>
            <w:r>
              <w:rPr>
                <w:i/>
                <w:iCs/>
                <w:color w:val="000000"/>
                <w:lang w:val="en-US"/>
              </w:rPr>
              <w:t>26</w:t>
            </w:r>
            <w:r>
              <w:rPr>
                <w:i/>
                <w:iCs/>
                <w:color w:val="000000"/>
              </w:rPr>
              <w:t>.</w:t>
            </w:r>
            <w:r>
              <w:rPr>
                <w:i/>
                <w:iCs/>
                <w:color w:val="000000"/>
                <w:lang w:val="en-US"/>
              </w:rPr>
              <w:t>09</w:t>
            </w:r>
            <w:r>
              <w:rPr>
                <w:i/>
                <w:iCs/>
                <w:color w:val="000000"/>
              </w:rPr>
              <w:t>.2019</w:t>
            </w:r>
          </w:p>
        </w:tc>
        <w:tc>
          <w:tcPr>
            <w:tcW w:w="853" w:type="dxa"/>
            <w:tcBorders>
              <w:top w:val="single" w:color="auto" w:sz="4" w:space="0"/>
              <w:left w:val="single" w:color="auto" w:sz="4" w:space="0"/>
              <w:bottom w:val="single" w:color="auto" w:sz="4" w:space="0"/>
              <w:right w:val="single" w:color="auto" w:sz="4" w:space="0"/>
            </w:tcBorders>
            <w:vAlign w:val="top"/>
          </w:tcPr>
          <w:p>
            <w:pPr>
              <w:rPr>
                <w:color w:val="000000"/>
              </w:rPr>
            </w:pPr>
            <w:r>
              <w:rPr>
                <w:i/>
                <w:iCs/>
                <w:color w:val="000000"/>
              </w:rPr>
              <w:t>14:00</w:t>
            </w:r>
          </w:p>
        </w:tc>
      </w:tr>
    </w:tbl>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Franklin Gothic Demi">
    <w:altName w:val="Yu Gothic UI Semibold"/>
    <w:panose1 w:val="020B0703020102020204"/>
    <w:charset w:val="00"/>
    <w:family w:val="swiss"/>
    <w:pitch w:val="default"/>
    <w:sig w:usb0="00000000" w:usb1="00000000" w:usb2="00000000" w:usb3="00000000" w:csb0="0000009F" w:csb1="00000000"/>
  </w:font>
  <w:font w:name="Franklin Gothic Medium">
    <w:panose1 w:val="020B0603020102020204"/>
    <w:charset w:val="00"/>
    <w:family w:val="swiss"/>
    <w:pitch w:val="default"/>
    <w:sig w:usb0="00000287" w:usb1="00000000" w:usb2="00000000" w:usb3="00000000" w:csb0="2000009F" w:csb1="DFD70000"/>
  </w:font>
  <w:font w:name="Yu Gothic UI Semibold">
    <w:panose1 w:val="020B0700000000000000"/>
    <w:charset w:val="80"/>
    <w:family w:val="auto"/>
    <w:pitch w:val="default"/>
    <w:sig w:usb0="E00002FF" w:usb1="2AC7FDFF" w:usb2="00000016" w:usb3="00000000" w:csb0="2002009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Franklin Gothic Medium">
    <w:panose1 w:val="020B0603020102020204"/>
    <w:charset w:val="EE"/>
    <w:family w:val="swiss"/>
    <w:pitch w:val="default"/>
    <w:sig w:usb0="00000287" w:usb1="00000000" w:usb2="00000000" w:usb3="00000000" w:csb0="2000009F" w:csb1="DFD70000"/>
  </w:font>
  <w:font w:name="Franklin Gothic Demi">
    <w:altName w:val="Franklin Gothic Medium"/>
    <w:panose1 w:val="020B0703020102020204"/>
    <w:charset w:val="EE"/>
    <w:family w:val="swiss"/>
    <w:pitch w:val="default"/>
    <w:sig w:usb0="00000000" w:usb1="00000000" w:usb2="00000000" w:usb3="00000000" w:csb0="0000009F" w:csb1="00000000"/>
  </w:font>
  <w:font w:name="Lucida Sans Unicode">
    <w:panose1 w:val="020B0602030504020204"/>
    <w:charset w:val="EE"/>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F7721"/>
    <w:rsid w:val="0E3F3207"/>
    <w:rsid w:val="325A7EBF"/>
    <w:rsid w:val="70BF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GB" w:eastAsia="en-US" w:bidi="ar-SA"/>
    </w:rPr>
  </w:style>
  <w:style w:type="character" w:default="1" w:styleId="3">
    <w:name w:val="Default Paragraph Font"/>
    <w:link w:val="4"/>
    <w:semiHidden/>
    <w:uiPriority w:val="0"/>
    <w:rPr>
      <w:kern w:val="0"/>
      <w:lang w:val="pl-PL" w:eastAsia="pl-PL"/>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pPr>
    <w:rPr>
      <w:color w:val="000000"/>
      <w:lang w:val="en-US"/>
    </w:rPr>
  </w:style>
  <w:style w:type="paragraph" w:customStyle="1" w:styleId="4">
    <w:name w:val=" Caracter Caracter1 Char Char Caracter Caracter Char Char1"/>
    <w:basedOn w:val="1"/>
    <w:link w:val="3"/>
    <w:uiPriority w:val="0"/>
    <w:pPr>
      <w:suppressAutoHyphens w:val="0"/>
    </w:pPr>
    <w:rPr>
      <w:kern w:val="0"/>
      <w:lang w:val="pl-PL" w:eastAsia="pl-PL"/>
    </w:rPr>
  </w:style>
  <w:style w:type="character" w:styleId="5">
    <w:name w:val="Emphasis"/>
    <w:qFormat/>
    <w:uiPriority w:val="0"/>
    <w:rPr>
      <w:i/>
      <w:iCs/>
    </w:rPr>
  </w:style>
  <w:style w:type="character" w:styleId="6">
    <w:name w:val="Hyperlink"/>
    <w:basedOn w:val="3"/>
    <w:uiPriority w:val="0"/>
    <w:rPr>
      <w:color w:val="0000FF"/>
      <w:u w:val="single"/>
    </w:rPr>
  </w:style>
  <w:style w:type="character" w:styleId="7">
    <w:name w:val="Strong"/>
    <w:basedOn w:val="3"/>
    <w:qFormat/>
    <w:uiPriority w:val="0"/>
    <w:rPr>
      <w:b/>
      <w:bCs/>
    </w:rPr>
  </w:style>
  <w:style w:type="character" w:customStyle="1" w:styleId="9">
    <w:name w:val="WW-Default Paragraph Fon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2019-09-11T12:01:00Z</dcterms:created>
  <dc:creator>81041234</dc:creator>
  <cp:lastModifiedBy>81041234</cp:lastModifiedBy>
  <dcterms:modified xsi:type="dcterms:W3CDTF">2019-09-11T12:15:18Z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