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1BDC" w14:textId="77777777" w:rsidR="005F054D" w:rsidRDefault="005F054D">
      <w:pPr>
        <w:spacing w:before="3600"/>
      </w:pPr>
    </w:p>
    <w:p w14:paraId="6E77B8BC" w14:textId="77777777" w:rsidR="005F054D" w:rsidRDefault="00C97EE5">
      <w:pPr>
        <w:spacing w:after="200"/>
        <w:jc w:val="center"/>
      </w:pPr>
      <w:r>
        <w:rPr>
          <w:rFonts w:ascii="Nunito" w:eastAsia="Nunito" w:hAnsi="Nunito" w:cs="Nunito"/>
          <w:b/>
          <w:bCs/>
          <w:color w:val="15428B"/>
          <w:sz w:val="40"/>
          <w:szCs w:val="40"/>
        </w:rPr>
        <w:t>REZUMAT WEBINAR ICC</w:t>
      </w:r>
    </w:p>
    <w:p w14:paraId="0FD989F2" w14:textId="77777777" w:rsidR="006F2BA8" w:rsidRPr="006F2BA8" w:rsidRDefault="006F2BA8" w:rsidP="006F2BA8">
      <w:pPr>
        <w:spacing w:after="100"/>
        <w:jc w:val="center"/>
        <w:rPr>
          <w:color w:val="666666"/>
        </w:rPr>
      </w:pPr>
    </w:p>
    <w:p w14:paraId="278DC6E2" w14:textId="77777777" w:rsidR="006F2BA8" w:rsidRPr="006F2BA8" w:rsidRDefault="006F2BA8" w:rsidP="006F2BA8">
      <w:pPr>
        <w:spacing w:after="100"/>
        <w:jc w:val="center"/>
        <w:rPr>
          <w:b/>
          <w:bCs/>
          <w:color w:val="666666"/>
          <w:sz w:val="36"/>
          <w:szCs w:val="36"/>
          <w:lang w:val="ro-RO"/>
        </w:rPr>
      </w:pPr>
      <w:r w:rsidRPr="006F2BA8">
        <w:rPr>
          <w:b/>
          <w:bCs/>
          <w:color w:val="666666"/>
          <w:sz w:val="36"/>
          <w:szCs w:val="36"/>
          <w:lang w:val="ro-RO"/>
        </w:rPr>
        <w:t>„Comerț rapid, sigur și eficient: Avantajele oferite de  programul Operator Economic Autorizat (AEO/OEA) pentru IMM</w:t>
      </w:r>
      <w:r w:rsidRPr="006F2BA8">
        <w:rPr>
          <w:b/>
          <w:bCs/>
          <w:color w:val="666666"/>
          <w:sz w:val="36"/>
          <w:szCs w:val="36"/>
          <w:lang w:val="ro-RO"/>
        </w:rPr>
        <w:noBreakHyphen/>
        <w:t>urile care realizează operațiuni de comerț internațional”</w:t>
      </w:r>
    </w:p>
    <w:p w14:paraId="051387E6" w14:textId="77777777" w:rsidR="006F2BA8" w:rsidRPr="006F2BA8" w:rsidRDefault="006F2BA8" w:rsidP="006F2BA8">
      <w:pPr>
        <w:spacing w:after="100"/>
        <w:jc w:val="center"/>
        <w:rPr>
          <w:color w:val="666666"/>
          <w:lang w:val="ro-RO"/>
        </w:rPr>
      </w:pPr>
    </w:p>
    <w:p w14:paraId="59513415" w14:textId="77777777" w:rsidR="006F2BA8" w:rsidRPr="006F2BA8" w:rsidRDefault="006F2BA8" w:rsidP="006F2BA8">
      <w:pPr>
        <w:spacing w:after="100"/>
        <w:jc w:val="center"/>
        <w:rPr>
          <w:color w:val="666666"/>
        </w:rPr>
      </w:pPr>
      <w:r w:rsidRPr="006F2BA8">
        <w:rPr>
          <w:color w:val="666666"/>
        </w:rPr>
        <w:t xml:space="preserve">22 </w:t>
      </w:r>
      <w:proofErr w:type="spellStart"/>
      <w:r w:rsidRPr="006F2BA8">
        <w:rPr>
          <w:color w:val="666666"/>
        </w:rPr>
        <w:t>aprilie</w:t>
      </w:r>
      <w:proofErr w:type="spellEnd"/>
      <w:r w:rsidRPr="006F2BA8">
        <w:rPr>
          <w:color w:val="666666"/>
        </w:rPr>
        <w:t xml:space="preserve"> 2026</w:t>
      </w:r>
    </w:p>
    <w:p w14:paraId="592723D5" w14:textId="0FB178F5" w:rsidR="005F054D" w:rsidRDefault="005F054D" w:rsidP="006F2BA8">
      <w:pPr>
        <w:spacing w:after="100"/>
      </w:pPr>
    </w:p>
    <w:p w14:paraId="4D96982A" w14:textId="77777777" w:rsidR="005F054D" w:rsidRDefault="005F054D">
      <w:pPr>
        <w:spacing w:before="2400"/>
      </w:pPr>
    </w:p>
    <w:p w14:paraId="3B824454" w14:textId="77777777" w:rsidR="005F054D" w:rsidRDefault="005F054D">
      <w:pPr>
        <w:sectPr w:rsidR="005F054D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0F840D0E" w14:textId="77777777" w:rsidR="005F054D" w:rsidRDefault="00C97EE5">
      <w:pPr>
        <w:pStyle w:val="Heading1"/>
      </w:pPr>
      <w:r>
        <w:lastRenderedPageBreak/>
        <w:t xml:space="preserve">1. Context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webinarului</w:t>
      </w:r>
      <w:proofErr w:type="spellEnd"/>
    </w:p>
    <w:p w14:paraId="57F590F3" w14:textId="77777777" w:rsidR="005F054D" w:rsidRDefault="00C97EE5" w:rsidP="00801FAF">
      <w:pPr>
        <w:spacing w:after="120"/>
        <w:jc w:val="both"/>
      </w:pPr>
      <w:r>
        <w:t xml:space="preserve">Camera de </w:t>
      </w:r>
      <w:proofErr w:type="spellStart"/>
      <w:r>
        <w:t>Comerț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(ICC) a </w:t>
      </w:r>
      <w:proofErr w:type="spellStart"/>
      <w:r>
        <w:t>organizat</w:t>
      </w:r>
      <w:proofErr w:type="spellEnd"/>
      <w:r>
        <w:t xml:space="preserve"> pe 22 </w:t>
      </w:r>
      <w:proofErr w:type="spellStart"/>
      <w:r>
        <w:t>aprilie</w:t>
      </w:r>
      <w:proofErr w:type="spellEnd"/>
      <w:r>
        <w:t xml:space="preserve"> 2026 un webinar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de </w:t>
      </w:r>
      <w:r>
        <w:rPr>
          <w:b/>
          <w:bCs/>
        </w:rPr>
        <w:t xml:space="preserve">Operator Economic </w:t>
      </w:r>
      <w:proofErr w:type="spellStart"/>
      <w:r>
        <w:rPr>
          <w:b/>
          <w:bCs/>
        </w:rPr>
        <w:t>Autorizat</w:t>
      </w:r>
      <w:proofErr w:type="spellEnd"/>
      <w:r>
        <w:rPr>
          <w:b/>
          <w:bCs/>
        </w:rPr>
        <w:t xml:space="preserve"> (AEO/OEA)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rolului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</w:t>
      </w:r>
      <w:proofErr w:type="spellStart"/>
      <w:r>
        <w:t>internațional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întreprinderile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mijlocii</w:t>
      </w:r>
      <w:proofErr w:type="spellEnd"/>
      <w:r>
        <w:t xml:space="preserve"> (IMM-</w:t>
      </w:r>
      <w:proofErr w:type="spellStart"/>
      <w:r>
        <w:t>uri</w:t>
      </w:r>
      <w:proofErr w:type="spellEnd"/>
      <w:r>
        <w:t xml:space="preserve">/MSME). </w:t>
      </w:r>
      <w:proofErr w:type="spellStart"/>
      <w:r>
        <w:t>Prezentarea</w:t>
      </w:r>
      <w:proofErr w:type="spellEnd"/>
      <w:r>
        <w:t xml:space="preserve"> a </w:t>
      </w:r>
      <w:proofErr w:type="spellStart"/>
      <w:r>
        <w:t>reunit</w:t>
      </w:r>
      <w:proofErr w:type="spellEnd"/>
      <w:r>
        <w:t xml:space="preserve"> </w:t>
      </w:r>
      <w:proofErr w:type="spellStart"/>
      <w:r>
        <w:t>reprezentanți</w:t>
      </w:r>
      <w:proofErr w:type="spellEnd"/>
      <w:r>
        <w:t xml:space="preserve"> ai </w:t>
      </w:r>
      <w:proofErr w:type="spellStart"/>
      <w:r>
        <w:t>Organizației</w:t>
      </w:r>
      <w:proofErr w:type="spellEnd"/>
      <w:r>
        <w:t xml:space="preserve"> Mondiale a </w:t>
      </w:r>
      <w:proofErr w:type="spellStart"/>
      <w:r>
        <w:t>Vămilor</w:t>
      </w:r>
      <w:proofErr w:type="spellEnd"/>
      <w:r>
        <w:t xml:space="preserve"> (WCO/OMD), </w:t>
      </w:r>
      <w:proofErr w:type="spellStart"/>
      <w:r>
        <w:t>Organizației</w:t>
      </w:r>
      <w:proofErr w:type="spellEnd"/>
      <w:r>
        <w:t xml:space="preserve"> Mondiale a </w:t>
      </w:r>
      <w:proofErr w:type="spellStart"/>
      <w:r>
        <w:t>Comerțului</w:t>
      </w:r>
      <w:proofErr w:type="spellEnd"/>
      <w:r>
        <w:t xml:space="preserve"> (OMC/WTO), ICC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Fiscal din Africa de Sud (SARS).</w:t>
      </w:r>
    </w:p>
    <w:p w14:paraId="02C6A355" w14:textId="77777777" w:rsidR="005F054D" w:rsidRDefault="00C97EE5" w:rsidP="00801FAF">
      <w:pPr>
        <w:spacing w:after="120"/>
        <w:jc w:val="both"/>
      </w:pPr>
      <w:proofErr w:type="spellStart"/>
      <w:r>
        <w:t>Temele</w:t>
      </w:r>
      <w:proofErr w:type="spellEnd"/>
      <w:r>
        <w:t xml:space="preserve"> </w:t>
      </w:r>
      <w:proofErr w:type="spellStart"/>
      <w:r>
        <w:t>abordate</w:t>
      </w:r>
      <w:proofErr w:type="spellEnd"/>
      <w:r>
        <w:t xml:space="preserve"> au </w:t>
      </w:r>
      <w:proofErr w:type="spellStart"/>
      <w:r>
        <w:t>inclus</w:t>
      </w:r>
      <w:proofErr w:type="spellEnd"/>
      <w:r>
        <w:t xml:space="preserve">: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export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provocările</w:t>
      </w:r>
      <w:proofErr w:type="spellEnd"/>
      <w:r>
        <w:t xml:space="preserve"> de </w:t>
      </w:r>
      <w:proofErr w:type="spellStart"/>
      <w:r>
        <w:t>conformitate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, </w:t>
      </w:r>
      <w:proofErr w:type="spellStart"/>
      <w:r>
        <w:t>integrarea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AEO, </w:t>
      </w:r>
      <w:proofErr w:type="spellStart"/>
      <w:r>
        <w:t>beneficiile</w:t>
      </w:r>
      <w:proofErr w:type="spellEnd"/>
      <w:r>
        <w:t xml:space="preserve"> concrete ale </w:t>
      </w:r>
      <w:proofErr w:type="spellStart"/>
      <w:r>
        <w:t>statutului</w:t>
      </w:r>
      <w:proofErr w:type="spellEnd"/>
      <w:r>
        <w:t xml:space="preserve"> AEO,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din Africa de Sud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Franța</w:t>
      </w:r>
      <w:proofErr w:type="spellEnd"/>
      <w:r>
        <w:t>.</w:t>
      </w:r>
    </w:p>
    <w:p w14:paraId="19749A52" w14:textId="77777777" w:rsidR="005F054D" w:rsidRDefault="00C97EE5" w:rsidP="00801FAF">
      <w:pPr>
        <w:spacing w:after="200"/>
        <w:jc w:val="both"/>
      </w:pPr>
      <w:proofErr w:type="spellStart"/>
      <w:r>
        <w:rPr>
          <w:b/>
          <w:bCs/>
        </w:rPr>
        <w:t>Relevanță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afaceri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românesc</w:t>
      </w:r>
      <w:proofErr w:type="spellEnd"/>
      <w:r>
        <w:rPr>
          <w:b/>
          <w:bCs/>
        </w:rPr>
        <w:t xml:space="preserve">: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AEO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(</w:t>
      </w:r>
      <w:proofErr w:type="spellStart"/>
      <w:r>
        <w:t>administrat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Vamală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). </w:t>
      </w:r>
      <w:proofErr w:type="spellStart"/>
      <w:r>
        <w:t>Informațiile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sunt </w:t>
      </w:r>
      <w:proofErr w:type="spellStart"/>
      <w:r>
        <w:t>extrase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de a fi </w:t>
      </w:r>
      <w:proofErr w:type="spellStart"/>
      <w:r>
        <w:t>diseminate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camerele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exportatoare</w:t>
      </w:r>
      <w:proofErr w:type="spellEnd"/>
      <w:r>
        <w:t>.</w:t>
      </w:r>
    </w:p>
    <w:p w14:paraId="2950F63D" w14:textId="77777777" w:rsidR="005F054D" w:rsidRDefault="00C97EE5">
      <w:pPr>
        <w:pStyle w:val="Heading1"/>
      </w:pPr>
      <w:r>
        <w:t xml:space="preserve">2. Ce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AEO?</w:t>
      </w:r>
    </w:p>
    <w:p w14:paraId="2203405A" w14:textId="77777777" w:rsidR="005F054D" w:rsidRDefault="00C97EE5" w:rsidP="00801FAF">
      <w:pPr>
        <w:spacing w:after="120"/>
        <w:jc w:val="both"/>
      </w:pPr>
      <w:proofErr w:type="spellStart"/>
      <w:r>
        <w:t>Programul</w:t>
      </w:r>
      <w:proofErr w:type="spellEnd"/>
      <w:r>
        <w:t xml:space="preserve"> AEO (Authorized Economic Operator / Operator Economic </w:t>
      </w:r>
      <w:proofErr w:type="spellStart"/>
      <w:r>
        <w:t>Autorizat</w:t>
      </w:r>
      <w:proofErr w:type="spellEnd"/>
      <w:r>
        <w:t xml:space="preserve">)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internațional</w:t>
      </w:r>
      <w:proofErr w:type="spellEnd"/>
      <w:r>
        <w:t xml:space="preserve"> de </w:t>
      </w:r>
      <w:proofErr w:type="spellStart"/>
      <w:r>
        <w:t>certificare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rPr>
          <w:b/>
          <w:bCs/>
        </w:rPr>
        <w:t>Cadrului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Standarde</w:t>
      </w:r>
      <w:proofErr w:type="spellEnd"/>
      <w:r>
        <w:rPr>
          <w:b/>
          <w:bCs/>
        </w:rPr>
        <w:t xml:space="preserve"> SAFE</w:t>
      </w:r>
      <w:r>
        <w:t xml:space="preserve"> al WCO, </w:t>
      </w:r>
      <w:proofErr w:type="spellStart"/>
      <w:r>
        <w:t>adoptat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2005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global. </w:t>
      </w:r>
      <w:proofErr w:type="spellStart"/>
      <w:r>
        <w:t>Programul</w:t>
      </w:r>
      <w:proofErr w:type="spellEnd"/>
      <w:r>
        <w:t xml:space="preserve"> AEO </w:t>
      </w:r>
      <w:proofErr w:type="spellStart"/>
      <w:r>
        <w:t>propriu-zis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introdus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2007 (</w:t>
      </w:r>
      <w:proofErr w:type="spellStart"/>
      <w:r>
        <w:t>Pilonul</w:t>
      </w:r>
      <w:proofErr w:type="spellEnd"/>
      <w:r>
        <w:t xml:space="preserve"> II al SAFE).</w:t>
      </w:r>
    </w:p>
    <w:p w14:paraId="71C88D64" w14:textId="77777777" w:rsidR="005F054D" w:rsidRDefault="00C97EE5" w:rsidP="00801FAF">
      <w:pPr>
        <w:spacing w:after="80"/>
        <w:jc w:val="both"/>
      </w:pPr>
      <w:proofErr w:type="spellStart"/>
      <w:r>
        <w:rPr>
          <w:b/>
          <w:bCs/>
        </w:rPr>
        <w:t>Obiectivele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programului</w:t>
      </w:r>
      <w:proofErr w:type="spellEnd"/>
      <w:r>
        <w:rPr>
          <w:b/>
          <w:bCs/>
        </w:rPr>
        <w:t>:</w:t>
      </w:r>
    </w:p>
    <w:p w14:paraId="35E52738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Consolidarea</w:t>
      </w:r>
      <w:proofErr w:type="spellEnd"/>
      <w:r>
        <w:t xml:space="preserve">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lanțul</w:t>
      </w:r>
      <w:proofErr w:type="spellEnd"/>
      <w:r>
        <w:t xml:space="preserve"> de </w:t>
      </w:r>
      <w:proofErr w:type="spellStart"/>
      <w:r>
        <w:t>aprovizionare</w:t>
      </w:r>
      <w:proofErr w:type="spellEnd"/>
    </w:p>
    <w:p w14:paraId="331E6CC8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Recompensarea</w:t>
      </w:r>
      <w:proofErr w:type="spellEnd"/>
      <w:r>
        <w:t xml:space="preserve"> </w:t>
      </w:r>
      <w:proofErr w:type="spellStart"/>
      <w:r>
        <w:t>firmelor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comerțului</w:t>
      </w:r>
      <w:proofErr w:type="spellEnd"/>
    </w:p>
    <w:p w14:paraId="313FFB8A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Construirea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vamale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IMM-</w:t>
      </w:r>
      <w:proofErr w:type="spellStart"/>
      <w:r>
        <w:t>uri</w:t>
      </w:r>
      <w:proofErr w:type="spellEnd"/>
    </w:p>
    <w:p w14:paraId="7EA1B086" w14:textId="77777777" w:rsidR="005F054D" w:rsidRDefault="00C97EE5" w:rsidP="00801FAF">
      <w:pPr>
        <w:spacing w:before="120" w:after="200"/>
        <w:jc w:val="both"/>
      </w:pPr>
      <w:r>
        <w:t xml:space="preserve">Pe </w:t>
      </w:r>
      <w:proofErr w:type="spellStart"/>
      <w:r>
        <w:t>scurt</w:t>
      </w:r>
      <w:proofErr w:type="spellEnd"/>
      <w:r>
        <w:t xml:space="preserve">, </w:t>
      </w:r>
      <w:proofErr w:type="spellStart"/>
      <w:r>
        <w:t>certificarea</w:t>
      </w:r>
      <w:proofErr w:type="spellEnd"/>
      <w:r>
        <w:t xml:space="preserve"> AEO </w:t>
      </w:r>
      <w:proofErr w:type="spellStart"/>
      <w:r>
        <w:t>identifică</w:t>
      </w:r>
      <w:proofErr w:type="spellEnd"/>
      <w:r>
        <w:t xml:space="preserve"> o </w:t>
      </w:r>
      <w:proofErr w:type="spellStart"/>
      <w:r>
        <w:t>firmă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un </w:t>
      </w:r>
      <w:proofErr w:type="spellStart"/>
      <w:r>
        <w:rPr>
          <w:b/>
          <w:bCs/>
        </w:rPr>
        <w:t>partener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comercial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încredere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risc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scăzut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conferă</w:t>
      </w:r>
      <w:proofErr w:type="spellEnd"/>
      <w:r>
        <w:t xml:space="preserve"> </w:t>
      </w:r>
      <w:proofErr w:type="spellStart"/>
      <w:r>
        <w:t>avantaje</w:t>
      </w:r>
      <w:proofErr w:type="spellEnd"/>
      <w:r>
        <w:t xml:space="preserve"> competitive </w:t>
      </w:r>
      <w:proofErr w:type="spellStart"/>
      <w:r>
        <w:t>semnificative</w:t>
      </w:r>
      <w:proofErr w:type="spellEnd"/>
      <w:r>
        <w:t>.</w:t>
      </w:r>
    </w:p>
    <w:p w14:paraId="1BFE0B41" w14:textId="77777777" w:rsidR="005F054D" w:rsidRDefault="00C97EE5">
      <w:pPr>
        <w:pStyle w:val="Heading1"/>
      </w:pPr>
      <w:r>
        <w:t xml:space="preserve">3.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contează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IMM-</w:t>
      </w:r>
      <w:proofErr w:type="spellStart"/>
      <w:r>
        <w:t>uri</w:t>
      </w:r>
      <w:proofErr w:type="spellEnd"/>
    </w:p>
    <w:p w14:paraId="7C0278C7" w14:textId="77777777" w:rsidR="005F054D" w:rsidRDefault="00C97EE5" w:rsidP="00801FAF">
      <w:pPr>
        <w:spacing w:after="120"/>
        <w:jc w:val="both"/>
      </w:pPr>
      <w:proofErr w:type="spellStart"/>
      <w:r>
        <w:t>Istoric</w:t>
      </w:r>
      <w:proofErr w:type="spellEnd"/>
      <w:r>
        <w:t xml:space="preserve">, </w:t>
      </w:r>
      <w:proofErr w:type="spellStart"/>
      <w:r>
        <w:t>certificarea</w:t>
      </w:r>
      <w:proofErr w:type="spellEnd"/>
      <w:r>
        <w:t xml:space="preserve"> AEO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percepută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accesibilă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companiilor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.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SAFE 2025 </w:t>
      </w:r>
      <w:proofErr w:type="spellStart"/>
      <w:r>
        <w:t>aduce</w:t>
      </w:r>
      <w:proofErr w:type="spellEnd"/>
      <w:r>
        <w:t xml:space="preserve"> IMM-urile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global </w:t>
      </w:r>
      <w:proofErr w:type="spellStart"/>
      <w:r>
        <w:t>sigur</w:t>
      </w:r>
      <w:proofErr w:type="spellEnd"/>
      <w:r>
        <w:t xml:space="preserve">, modern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competitiv</w:t>
      </w:r>
      <w:proofErr w:type="spellEnd"/>
      <w:r>
        <w:t xml:space="preserve">. </w:t>
      </w:r>
      <w:proofErr w:type="spellStart"/>
      <w:r>
        <w:t>Argumentele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webinar:</w:t>
      </w:r>
    </w:p>
    <w:p w14:paraId="05E06508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t xml:space="preserve">IMM-urile </w:t>
      </w:r>
      <w:proofErr w:type="spellStart"/>
      <w:r>
        <w:t>suportă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administrative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 xml:space="preserve"> </w:t>
      </w:r>
      <w:proofErr w:type="spellStart"/>
      <w:r>
        <w:t>proporțional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firmele</w:t>
      </w:r>
      <w:proofErr w:type="spellEnd"/>
      <w:r>
        <w:t xml:space="preserve"> </w:t>
      </w:r>
      <w:proofErr w:type="spellStart"/>
      <w:r>
        <w:t>mari</w:t>
      </w:r>
      <w:proofErr w:type="spellEnd"/>
    </w:p>
    <w:p w14:paraId="0C908567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Întârzierile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inspecțiile</w:t>
      </w:r>
      <w:proofErr w:type="spellEnd"/>
      <w:r>
        <w:t xml:space="preserve"> </w:t>
      </w:r>
      <w:proofErr w:type="spellStart"/>
      <w:r>
        <w:t>repetate</w:t>
      </w:r>
      <w:proofErr w:type="spellEnd"/>
      <w:r>
        <w:t xml:space="preserve"> pot </w:t>
      </w:r>
      <w:proofErr w:type="spellStart"/>
      <w:r>
        <w:t>destabiliza</w:t>
      </w:r>
      <w:proofErr w:type="spellEnd"/>
      <w:r>
        <w:t xml:space="preserve"> </w:t>
      </w:r>
      <w:proofErr w:type="spellStart"/>
      <w:r>
        <w:t>lanțurile</w:t>
      </w:r>
      <w:proofErr w:type="spellEnd"/>
      <w:r>
        <w:t xml:space="preserve"> de </w:t>
      </w:r>
      <w:proofErr w:type="spellStart"/>
      <w:r>
        <w:t>aprovizionare</w:t>
      </w:r>
      <w:proofErr w:type="spellEnd"/>
      <w:r>
        <w:t xml:space="preserve"> ale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mici</w:t>
      </w:r>
      <w:proofErr w:type="spellEnd"/>
    </w:p>
    <w:p w14:paraId="1F5A7B50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Recunoașterea</w:t>
      </w:r>
      <w:proofErr w:type="spellEnd"/>
      <w:r>
        <w:t xml:space="preserve"> ca operator de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 xml:space="preserve"> un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competitiv</w:t>
      </w:r>
      <w:proofErr w:type="spellEnd"/>
      <w:r>
        <w:t xml:space="preserve"> care anterior era </w:t>
      </w:r>
      <w:proofErr w:type="spellStart"/>
      <w:r>
        <w:t>rezervat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companiilor</w:t>
      </w:r>
      <w:proofErr w:type="spellEnd"/>
      <w:r>
        <w:t xml:space="preserve"> </w:t>
      </w:r>
      <w:proofErr w:type="spellStart"/>
      <w:r>
        <w:t>mari</w:t>
      </w:r>
      <w:proofErr w:type="spellEnd"/>
    </w:p>
    <w:p w14:paraId="6D397D0F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Statutul</w:t>
      </w:r>
      <w:proofErr w:type="spellEnd"/>
      <w:r>
        <w:t xml:space="preserve"> AEO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program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marilor</w:t>
      </w:r>
      <w:proofErr w:type="spellEnd"/>
      <w:r>
        <w:t xml:space="preserve"> </w:t>
      </w:r>
      <w:proofErr w:type="spellStart"/>
      <w:r>
        <w:t>companii</w:t>
      </w:r>
      <w:proofErr w:type="spellEnd"/>
      <w:r>
        <w:t xml:space="preserve"> – IMM-urile sunt </w:t>
      </w:r>
      <w:proofErr w:type="spellStart"/>
      <w:r>
        <w:t>invitate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devină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 xml:space="preserve">, ci </w:t>
      </w:r>
      <w:proofErr w:type="spellStart"/>
      <w:r>
        <w:t>lideri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comerțul</w:t>
      </w:r>
      <w:proofErr w:type="spellEnd"/>
      <w:r>
        <w:t xml:space="preserve"> </w:t>
      </w:r>
      <w:proofErr w:type="spellStart"/>
      <w:r>
        <w:t>vamal</w:t>
      </w:r>
      <w:proofErr w:type="spellEnd"/>
      <w:r>
        <w:t xml:space="preserve"> </w:t>
      </w:r>
      <w:proofErr w:type="spellStart"/>
      <w:r>
        <w:t>internațional</w:t>
      </w:r>
      <w:proofErr w:type="spellEnd"/>
    </w:p>
    <w:p w14:paraId="517F8FD9" w14:textId="77777777" w:rsidR="005F054D" w:rsidRDefault="00C97EE5">
      <w:pPr>
        <w:pStyle w:val="Heading1"/>
      </w:pPr>
      <w:r>
        <w:t xml:space="preserve">4. </w:t>
      </w:r>
      <w:proofErr w:type="spellStart"/>
      <w:r>
        <w:t>Beneficiile</w:t>
      </w:r>
      <w:proofErr w:type="spellEnd"/>
      <w:r>
        <w:t xml:space="preserve"> concrete ale </w:t>
      </w:r>
      <w:proofErr w:type="spellStart"/>
      <w:r>
        <w:t>statutului</w:t>
      </w:r>
      <w:proofErr w:type="spellEnd"/>
      <w:r>
        <w:t xml:space="preserve"> AEO</w:t>
      </w:r>
    </w:p>
    <w:p w14:paraId="25BE6B26" w14:textId="77777777" w:rsidR="005F054D" w:rsidRDefault="00C97EE5">
      <w:pPr>
        <w:pStyle w:val="Heading2"/>
      </w:pPr>
      <w:r>
        <w:t xml:space="preserve">4.1 Facilitarea </w:t>
      </w:r>
      <w:proofErr w:type="spellStart"/>
      <w:r>
        <w:t>comerțului</w:t>
      </w:r>
      <w:proofErr w:type="spellEnd"/>
    </w:p>
    <w:p w14:paraId="15215930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lastRenderedPageBreak/>
        <w:t>Reducerea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inspecții</w:t>
      </w:r>
      <w:proofErr w:type="spellEnd"/>
      <w:r>
        <w:t xml:space="preserve"> </w:t>
      </w:r>
      <w:proofErr w:type="spellStart"/>
      <w:r>
        <w:t>vamale</w:t>
      </w:r>
      <w:proofErr w:type="spellEnd"/>
    </w:p>
    <w:p w14:paraId="3B674BBF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Vămuire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a </w:t>
      </w:r>
      <w:proofErr w:type="spellStart"/>
      <w:r>
        <w:t>mărfurilor</w:t>
      </w:r>
      <w:proofErr w:type="spellEnd"/>
    </w:p>
    <w:p w14:paraId="04D1B8E7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Eliberare</w:t>
      </w:r>
      <w:proofErr w:type="spellEnd"/>
      <w:r>
        <w:t xml:space="preserve"> </w:t>
      </w:r>
      <w:proofErr w:type="spellStart"/>
      <w:r>
        <w:t>prioritară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crescută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urgențe</w:t>
      </w:r>
      <w:proofErr w:type="spellEnd"/>
    </w:p>
    <w:p w14:paraId="7CAF3993" w14:textId="77777777" w:rsidR="005F054D" w:rsidRDefault="00C97EE5" w:rsidP="00801FAF">
      <w:pPr>
        <w:pStyle w:val="Heading2"/>
        <w:jc w:val="both"/>
      </w:pPr>
      <w:r>
        <w:t xml:space="preserve">4.2 </w:t>
      </w:r>
      <w:proofErr w:type="spellStart"/>
      <w:r>
        <w:t>Competitivitate</w:t>
      </w:r>
      <w:proofErr w:type="spellEnd"/>
      <w:r>
        <w:t xml:space="preserve"> pe </w:t>
      </w:r>
      <w:proofErr w:type="spellStart"/>
      <w:r>
        <w:t>piață</w:t>
      </w:r>
      <w:proofErr w:type="spellEnd"/>
    </w:p>
    <w:p w14:paraId="6940BD6D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Reputație</w:t>
      </w:r>
      <w:proofErr w:type="spellEnd"/>
      <w:r>
        <w:t xml:space="preserve"> </w:t>
      </w:r>
      <w:proofErr w:type="spellStart"/>
      <w:r>
        <w:t>consolidată</w:t>
      </w:r>
      <w:proofErr w:type="spellEnd"/>
      <w:r>
        <w:t xml:space="preserve"> ca </w:t>
      </w:r>
      <w:proofErr w:type="spellStart"/>
      <w:r>
        <w:t>partener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sigur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încredere</w:t>
      </w:r>
      <w:proofErr w:type="spellEnd"/>
    </w:p>
    <w:p w14:paraId="73AFF6B4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Tratament</w:t>
      </w:r>
      <w:proofErr w:type="spellEnd"/>
      <w:r>
        <w:t xml:space="preserve"> </w:t>
      </w:r>
      <w:proofErr w:type="spellStart"/>
      <w:r>
        <w:t>prioritar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administrațiilor</w:t>
      </w:r>
      <w:proofErr w:type="spellEnd"/>
      <w:r>
        <w:t xml:space="preserve"> </w:t>
      </w:r>
      <w:proofErr w:type="spellStart"/>
      <w:r>
        <w:t>vamale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Acorduri</w:t>
      </w:r>
      <w:proofErr w:type="spellEnd"/>
      <w:r>
        <w:t xml:space="preserve"> de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Mutuală</w:t>
      </w:r>
      <w:proofErr w:type="spellEnd"/>
      <w:r>
        <w:t xml:space="preserve"> (MRA/ARM)</w:t>
      </w:r>
    </w:p>
    <w:p w14:paraId="40985E1D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Acces</w:t>
      </w:r>
      <w:proofErr w:type="spellEnd"/>
      <w:r>
        <w:t xml:space="preserve"> </w:t>
      </w:r>
      <w:proofErr w:type="spellStart"/>
      <w:r>
        <w:t>îmbunătățit</w:t>
      </w:r>
      <w:proofErr w:type="spellEnd"/>
      <w:r>
        <w:t xml:space="preserve"> la </w:t>
      </w:r>
      <w:proofErr w:type="spellStart"/>
      <w:r>
        <w:t>lanțuri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 de </w:t>
      </w:r>
      <w:proofErr w:type="spellStart"/>
      <w:r>
        <w:t>aprovizionare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des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certificați</w:t>
      </w:r>
      <w:proofErr w:type="spellEnd"/>
      <w:r>
        <w:t xml:space="preserve"> AEO</w:t>
      </w:r>
    </w:p>
    <w:p w14:paraId="305F48CA" w14:textId="77777777" w:rsidR="005F054D" w:rsidRDefault="00C97EE5" w:rsidP="00801FAF">
      <w:pPr>
        <w:pStyle w:val="Heading2"/>
        <w:jc w:val="both"/>
      </w:pPr>
      <w:r>
        <w:t xml:space="preserve">4.3 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(din </w:t>
      </w:r>
      <w:proofErr w:type="spellStart"/>
      <w:r>
        <w:t>experiența</w:t>
      </w:r>
      <w:proofErr w:type="spellEnd"/>
      <w:r>
        <w:t xml:space="preserve"> SARS, Africa de Sud)</w:t>
      </w:r>
    </w:p>
    <w:p w14:paraId="52784772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Reducerea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garanțiilor</w:t>
      </w:r>
      <w:proofErr w:type="spellEnd"/>
      <w:r>
        <w:t xml:space="preserve"> </w:t>
      </w:r>
      <w:proofErr w:type="spellStart"/>
      <w:r>
        <w:t>vamale</w:t>
      </w:r>
      <w:proofErr w:type="spellEnd"/>
      <w:r>
        <w:t xml:space="preserve">, </w:t>
      </w:r>
      <w:proofErr w:type="spellStart"/>
      <w:r>
        <w:t>eliberând</w:t>
      </w:r>
      <w:proofErr w:type="spellEnd"/>
      <w:r>
        <w:t xml:space="preserve"> capital de </w:t>
      </w:r>
      <w:proofErr w:type="spellStart"/>
      <w:r>
        <w:t>lucru</w:t>
      </w:r>
      <w:proofErr w:type="spellEnd"/>
    </w:p>
    <w:p w14:paraId="6B59C6FD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Rambursări</w:t>
      </w:r>
      <w:proofErr w:type="spellEnd"/>
      <w:r>
        <w:t xml:space="preserve"> </w:t>
      </w:r>
      <w:proofErr w:type="spellStart"/>
      <w:r>
        <w:t>prioritare</w:t>
      </w:r>
      <w:proofErr w:type="spellEnd"/>
      <w:r>
        <w:t xml:space="preserve"> de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vamale</w:t>
      </w:r>
      <w:proofErr w:type="spellEnd"/>
    </w:p>
    <w:p w14:paraId="6E33CB4C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Eliminarea</w:t>
      </w:r>
      <w:proofErr w:type="spellEnd"/>
      <w:r>
        <w:t xml:space="preserve"> </w:t>
      </w:r>
      <w:proofErr w:type="spellStart"/>
      <w:r>
        <w:t>blocajelor</w:t>
      </w:r>
      <w:proofErr w:type="spellEnd"/>
      <w:r>
        <w:t xml:space="preserve"> de </w:t>
      </w:r>
      <w:proofErr w:type="spellStart"/>
      <w:r>
        <w:t>containere</w:t>
      </w:r>
      <w:proofErr w:type="spellEnd"/>
      <w:r>
        <w:t xml:space="preserve"> (</w:t>
      </w:r>
      <w:proofErr w:type="spellStart"/>
      <w:r>
        <w:t>reducere</w:t>
      </w:r>
      <w:proofErr w:type="spellEnd"/>
      <w:r>
        <w:t xml:space="preserve"> de ~80%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exporturilor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Africa, conform </w:t>
      </w:r>
      <w:proofErr w:type="spellStart"/>
      <w:r>
        <w:t>exemplului</w:t>
      </w:r>
      <w:proofErr w:type="spellEnd"/>
      <w:r>
        <w:t xml:space="preserve"> GYS din </w:t>
      </w:r>
      <w:proofErr w:type="spellStart"/>
      <w:r>
        <w:t>Franța</w:t>
      </w:r>
      <w:proofErr w:type="spellEnd"/>
      <w:r>
        <w:t>)</w:t>
      </w:r>
    </w:p>
    <w:p w14:paraId="540B1852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Predictibilitate</w:t>
      </w:r>
      <w:proofErr w:type="spellEnd"/>
      <w:r>
        <w:t xml:space="preserve"> </w:t>
      </w:r>
      <w:proofErr w:type="spellStart"/>
      <w:r>
        <w:t>îmbunătățită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acorduri</w:t>
      </w:r>
      <w:proofErr w:type="spellEnd"/>
      <w:r>
        <w:t xml:space="preserve"> de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mutuală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partenerii</w:t>
      </w:r>
      <w:proofErr w:type="spellEnd"/>
      <w:r>
        <w:t xml:space="preserve"> </w:t>
      </w:r>
      <w:proofErr w:type="spellStart"/>
      <w:r>
        <w:t>comerciali</w:t>
      </w:r>
      <w:proofErr w:type="spellEnd"/>
    </w:p>
    <w:p w14:paraId="48B0E96A" w14:textId="77777777" w:rsidR="005F054D" w:rsidRDefault="00C97EE5" w:rsidP="00801FAF">
      <w:pPr>
        <w:pStyle w:val="Heading1"/>
        <w:jc w:val="both"/>
      </w:pPr>
      <w:r>
        <w:t xml:space="preserve">5.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statutului</w:t>
      </w:r>
      <w:proofErr w:type="spellEnd"/>
      <w:r>
        <w:t xml:space="preserve"> AEO</w:t>
      </w:r>
    </w:p>
    <w:p w14:paraId="45F7695D" w14:textId="77777777" w:rsidR="005F054D" w:rsidRDefault="00C97EE5" w:rsidP="00801FAF">
      <w:pPr>
        <w:spacing w:after="120"/>
        <w:jc w:val="both"/>
      </w:pPr>
      <w:proofErr w:type="spellStart"/>
      <w:r>
        <w:t>Administrațiile</w:t>
      </w:r>
      <w:proofErr w:type="spellEnd"/>
      <w:r>
        <w:t xml:space="preserve"> </w:t>
      </w:r>
      <w:proofErr w:type="spellStart"/>
      <w:r>
        <w:t>vamale</w:t>
      </w:r>
      <w:proofErr w:type="spellEnd"/>
      <w:r>
        <w:t xml:space="preserve"> </w:t>
      </w:r>
      <w:proofErr w:type="spellStart"/>
      <w:r>
        <w:t>evaluează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 pe </w:t>
      </w:r>
      <w:proofErr w:type="spellStart"/>
      <w:r>
        <w:t>trei</w:t>
      </w:r>
      <w:proofErr w:type="spellEnd"/>
      <w:r>
        <w:t xml:space="preserve"> axe </w:t>
      </w:r>
      <w:proofErr w:type="spellStart"/>
      <w:r>
        <w:t>principale</w:t>
      </w:r>
      <w:proofErr w:type="spellEnd"/>
      <w:r>
        <w:t>: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5F054D" w14:paraId="4150300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428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1F72B" w14:textId="77777777" w:rsidR="005F054D" w:rsidRDefault="00C97EE5" w:rsidP="00801FAF">
            <w:pPr>
              <w:jc w:val="both"/>
            </w:pP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</w:rPr>
              <w:t>Criteriu</w:t>
            </w:r>
            <w:proofErr w:type="spellEnd"/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428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3F30D" w14:textId="77777777" w:rsidR="005F054D" w:rsidRDefault="00C97EE5" w:rsidP="00801FAF">
            <w:pPr>
              <w:jc w:val="both"/>
            </w:pP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</w:rPr>
              <w:t>Descriere</w:t>
            </w:r>
            <w:proofErr w:type="spellEnd"/>
          </w:p>
        </w:tc>
      </w:tr>
      <w:tr w:rsidR="005F054D" w14:paraId="70FD2A7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F9BD7" w14:textId="77777777" w:rsidR="005F054D" w:rsidRDefault="00C97EE5" w:rsidP="00801FAF">
            <w:pPr>
              <w:jc w:val="both"/>
            </w:pPr>
            <w:proofErr w:type="spellStart"/>
            <w:r>
              <w:rPr>
                <w:b/>
                <w:bCs/>
              </w:rPr>
              <w:t>Conformitate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vamală</w:t>
            </w:r>
            <w:proofErr w:type="spellEnd"/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A6763" w14:textId="77777777" w:rsidR="005F054D" w:rsidRDefault="00C97EE5" w:rsidP="00801FAF">
            <w:pPr>
              <w:jc w:val="both"/>
            </w:pPr>
            <w:proofErr w:type="spellStart"/>
            <w:r>
              <w:t>Istoric</w:t>
            </w:r>
            <w:proofErr w:type="spellEnd"/>
            <w:r>
              <w:t xml:space="preserve"> bun de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legislația</w:t>
            </w:r>
            <w:proofErr w:type="spellEnd"/>
            <w:r>
              <w:t xml:space="preserve"> </w:t>
            </w:r>
            <w:proofErr w:type="spellStart"/>
            <w:r>
              <w:t>vamală</w:t>
            </w:r>
            <w:proofErr w:type="spellEnd"/>
            <w:r>
              <w:t xml:space="preserve">,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încălcări</w:t>
            </w:r>
            <w:proofErr w:type="spellEnd"/>
            <w:r>
              <w:t xml:space="preserve"> grave </w:t>
            </w:r>
            <w:proofErr w:type="spellStart"/>
            <w:r>
              <w:t>anterioare</w:t>
            </w:r>
            <w:proofErr w:type="spellEnd"/>
          </w:p>
        </w:tc>
      </w:tr>
      <w:tr w:rsidR="005F054D" w14:paraId="392A0BE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2E77B" w14:textId="77777777" w:rsidR="005F054D" w:rsidRDefault="00C97EE5" w:rsidP="00801FAF">
            <w:pPr>
              <w:jc w:val="both"/>
            </w:pPr>
            <w:proofErr w:type="spellStart"/>
            <w:r>
              <w:rPr>
                <w:b/>
                <w:bCs/>
              </w:rPr>
              <w:t>Evidențe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viabilitate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financiară</w:t>
            </w:r>
            <w:proofErr w:type="spellEnd"/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721D6" w14:textId="77777777" w:rsidR="005F054D" w:rsidRDefault="00C97EE5" w:rsidP="00801FAF">
            <w:pPr>
              <w:jc w:val="both"/>
            </w:pPr>
            <w:proofErr w:type="spellStart"/>
            <w:r>
              <w:t>Capacitatea</w:t>
            </w:r>
            <w:proofErr w:type="spellEnd"/>
            <w:r>
              <w:t xml:space="preserve"> de a </w:t>
            </w:r>
            <w:proofErr w:type="spellStart"/>
            <w:r>
              <w:t>menține</w:t>
            </w:r>
            <w:proofErr w:type="spellEnd"/>
            <w:r>
              <w:t xml:space="preserve"> </w:t>
            </w:r>
            <w:proofErr w:type="spellStart"/>
            <w:r>
              <w:t>evidențe</w:t>
            </w:r>
            <w:proofErr w:type="spellEnd"/>
            <w:r>
              <w:t xml:space="preserve"> </w:t>
            </w:r>
            <w:proofErr w:type="spellStart"/>
            <w:r>
              <w:t>comerciale</w:t>
            </w:r>
            <w:proofErr w:type="spellEnd"/>
            <w:r>
              <w:t xml:space="preserve"> </w:t>
            </w:r>
            <w:proofErr w:type="spellStart"/>
            <w:r>
              <w:t>exacte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verificabile</w:t>
            </w:r>
            <w:proofErr w:type="spellEnd"/>
            <w:r>
              <w:t xml:space="preserve">; </w:t>
            </w:r>
            <w:proofErr w:type="spellStart"/>
            <w:r>
              <w:t>stabilitate</w:t>
            </w:r>
            <w:proofErr w:type="spellEnd"/>
            <w:r>
              <w:t xml:space="preserve"> </w:t>
            </w:r>
            <w:proofErr w:type="spellStart"/>
            <w:r>
              <w:t>financiară</w:t>
            </w:r>
            <w:proofErr w:type="spellEnd"/>
            <w:r>
              <w:t xml:space="preserve"> </w:t>
            </w:r>
            <w:proofErr w:type="spellStart"/>
            <w:r>
              <w:t>proporțională</w:t>
            </w:r>
            <w:proofErr w:type="spellEnd"/>
            <w:r>
              <w:t xml:space="preserve"> cu </w:t>
            </w:r>
            <w:proofErr w:type="spellStart"/>
            <w:r>
              <w:t>dimensiunea</w:t>
            </w:r>
            <w:proofErr w:type="spellEnd"/>
            <w:r>
              <w:t xml:space="preserve"> </w:t>
            </w:r>
            <w:proofErr w:type="spellStart"/>
            <w:r>
              <w:t>firmei</w:t>
            </w:r>
            <w:proofErr w:type="spellEnd"/>
          </w:p>
        </w:tc>
      </w:tr>
      <w:tr w:rsidR="005F054D" w14:paraId="4E7691C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6510A" w14:textId="77777777" w:rsidR="005F054D" w:rsidRDefault="00C97EE5" w:rsidP="00801FAF">
            <w:pPr>
              <w:jc w:val="both"/>
            </w:pPr>
            <w:proofErr w:type="spellStart"/>
            <w:r>
              <w:rPr>
                <w:b/>
                <w:bCs/>
              </w:rPr>
              <w:t>Cerințe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securitate</w:t>
            </w:r>
            <w:proofErr w:type="spellEnd"/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FBD1A" w14:textId="77777777" w:rsidR="005F054D" w:rsidRDefault="00C97EE5" w:rsidP="00801FAF">
            <w:pPr>
              <w:jc w:val="both"/>
            </w:pP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rezonabile</w:t>
            </w:r>
            <w:proofErr w:type="spellEnd"/>
            <w:r>
              <w:t xml:space="preserve"> de </w:t>
            </w:r>
            <w:proofErr w:type="spellStart"/>
            <w:r>
              <w:t>protecție</w:t>
            </w:r>
            <w:proofErr w:type="spellEnd"/>
            <w:r>
              <w:t xml:space="preserve"> a </w:t>
            </w:r>
            <w:proofErr w:type="spellStart"/>
            <w:r>
              <w:t>sediului</w:t>
            </w:r>
            <w:proofErr w:type="spellEnd"/>
            <w:r>
              <w:t xml:space="preserve">, </w:t>
            </w:r>
            <w:proofErr w:type="spellStart"/>
            <w:r>
              <w:t>integrității</w:t>
            </w:r>
            <w:proofErr w:type="spellEnd"/>
            <w:r>
              <w:t xml:space="preserve"> </w:t>
            </w:r>
            <w:proofErr w:type="spellStart"/>
            <w:r>
              <w:t>mărfurilor</w:t>
            </w:r>
            <w:proofErr w:type="spellEnd"/>
            <w:r>
              <w:t xml:space="preserve">,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informațiilor</w:t>
            </w:r>
            <w:proofErr w:type="spellEnd"/>
          </w:p>
        </w:tc>
      </w:tr>
    </w:tbl>
    <w:p w14:paraId="35C4029F" w14:textId="77777777" w:rsidR="005F054D" w:rsidRDefault="005F054D" w:rsidP="00801FAF">
      <w:pPr>
        <w:spacing w:after="80"/>
        <w:jc w:val="both"/>
      </w:pPr>
    </w:p>
    <w:p w14:paraId="3BA55A7D" w14:textId="77777777" w:rsidR="005F054D" w:rsidRDefault="00C97EE5" w:rsidP="00801FAF">
      <w:pPr>
        <w:spacing w:after="200"/>
        <w:jc w:val="both"/>
      </w:pPr>
      <w:r>
        <w:rPr>
          <w:b/>
          <w:bCs/>
          <w:color w:val="2E75B6"/>
        </w:rPr>
        <w:t xml:space="preserve">Important: </w:t>
      </w:r>
      <w:proofErr w:type="spellStart"/>
      <w:r>
        <w:t>Îmbunătățirile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costisitoare</w:t>
      </w:r>
      <w:proofErr w:type="spellEnd"/>
      <w:r>
        <w:t xml:space="preserve">. </w:t>
      </w:r>
      <w:proofErr w:type="spellStart"/>
      <w:r>
        <w:t>Administrațiile</w:t>
      </w:r>
      <w:proofErr w:type="spellEnd"/>
      <w:r>
        <w:t xml:space="preserve"> </w:t>
      </w:r>
      <w:proofErr w:type="spellStart"/>
      <w:r>
        <w:t>vamale</w:t>
      </w:r>
      <w:proofErr w:type="spellEnd"/>
      <w:r>
        <w:t xml:space="preserve"> sunt </w:t>
      </w:r>
      <w:proofErr w:type="spellStart"/>
      <w:r>
        <w:t>deschise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dezvolte</w:t>
      </w:r>
      <w:proofErr w:type="spellEnd"/>
      <w:r>
        <w:t xml:space="preserve"> </w:t>
      </w:r>
      <w:proofErr w:type="spellStart"/>
      <w:r>
        <w:t>parteneriate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cu </w:t>
      </w:r>
      <w:proofErr w:type="spellStart"/>
      <w:r>
        <w:t>firmele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>.</w:t>
      </w:r>
    </w:p>
    <w:p w14:paraId="518D4740" w14:textId="77777777" w:rsidR="005F054D" w:rsidRDefault="00C97EE5" w:rsidP="00801FAF">
      <w:pPr>
        <w:pStyle w:val="Heading1"/>
        <w:jc w:val="both"/>
      </w:pPr>
      <w:r>
        <w:t xml:space="preserve">6. Cum se pot </w:t>
      </w:r>
      <w:proofErr w:type="spellStart"/>
      <w:r>
        <w:t>pregăti</w:t>
      </w:r>
      <w:proofErr w:type="spellEnd"/>
      <w:r>
        <w:t xml:space="preserve"> IMM-urile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certificare</w:t>
      </w:r>
      <w:proofErr w:type="spellEnd"/>
    </w:p>
    <w:p w14:paraId="33F333EC" w14:textId="77777777" w:rsidR="005F054D" w:rsidRDefault="00C97EE5" w:rsidP="00801FAF">
      <w:pPr>
        <w:spacing w:after="100"/>
        <w:jc w:val="both"/>
      </w:pPr>
      <w:r>
        <w:t xml:space="preserve">WCO </w:t>
      </w:r>
      <w:proofErr w:type="spellStart"/>
      <w:r>
        <w:t>recomandă</w:t>
      </w:r>
      <w:proofErr w:type="spellEnd"/>
      <w:r>
        <w:t xml:space="preserve"> </w:t>
      </w:r>
      <w:proofErr w:type="spellStart"/>
      <w:r>
        <w:t>următorii</w:t>
      </w:r>
      <w:proofErr w:type="spellEnd"/>
      <w:r>
        <w:t xml:space="preserve"> </w:t>
      </w:r>
      <w:proofErr w:type="spellStart"/>
      <w:r>
        <w:t>pași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>:</w:t>
      </w:r>
    </w:p>
    <w:p w14:paraId="141BBE20" w14:textId="77777777" w:rsidR="005F054D" w:rsidRDefault="00C97EE5" w:rsidP="00801FAF">
      <w:pPr>
        <w:pStyle w:val="ListParagraph"/>
        <w:numPr>
          <w:ilvl w:val="0"/>
          <w:numId w:val="3"/>
        </w:numPr>
        <w:spacing w:after="80"/>
        <w:jc w:val="both"/>
      </w:pPr>
      <w:proofErr w:type="spellStart"/>
      <w:r>
        <w:rPr>
          <w:b/>
          <w:bCs/>
        </w:rPr>
        <w:t>Evaluarea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operațiunilor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curente</w:t>
      </w:r>
      <w:proofErr w:type="spellEnd"/>
      <w:r>
        <w:rPr>
          <w:b/>
          <w:bCs/>
        </w:rPr>
        <w:t xml:space="preserve">: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 auto-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simplificată</w:t>
      </w:r>
      <w:proofErr w:type="spellEnd"/>
      <w:r>
        <w:t xml:space="preserve">, </w:t>
      </w:r>
      <w:proofErr w:type="spellStart"/>
      <w:r>
        <w:t>bazată</w:t>
      </w:r>
      <w:proofErr w:type="spellEnd"/>
      <w:r>
        <w:t xml:space="preserve"> pe: </w:t>
      </w:r>
      <w:proofErr w:type="spellStart"/>
      <w:r>
        <w:t>manipularea</w:t>
      </w:r>
      <w:proofErr w:type="spellEnd"/>
      <w:r>
        <w:t xml:space="preserve"> </w:t>
      </w:r>
      <w:proofErr w:type="spellStart"/>
      <w:r>
        <w:t>mărfurilor</w:t>
      </w:r>
      <w:proofErr w:type="spellEnd"/>
      <w:r>
        <w:t xml:space="preserve">,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, </w:t>
      </w:r>
      <w:proofErr w:type="spellStart"/>
      <w:r>
        <w:t>practici</w:t>
      </w:r>
      <w:proofErr w:type="spellEnd"/>
      <w:r>
        <w:t xml:space="preserve"> HR, management IT/date, </w:t>
      </w:r>
      <w:proofErr w:type="spellStart"/>
      <w:r>
        <w:t>evidențe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, </w:t>
      </w:r>
      <w:proofErr w:type="spellStart"/>
      <w:r>
        <w:t>istoric</w:t>
      </w:r>
      <w:proofErr w:type="spellEnd"/>
      <w:r>
        <w:t xml:space="preserve"> de </w:t>
      </w:r>
      <w:proofErr w:type="spellStart"/>
      <w:r>
        <w:t>conformitate</w:t>
      </w:r>
      <w:proofErr w:type="spellEnd"/>
      <w:r>
        <w:t>.</w:t>
      </w:r>
    </w:p>
    <w:p w14:paraId="07599FDB" w14:textId="77777777" w:rsidR="005F054D" w:rsidRDefault="00C97EE5" w:rsidP="00801FAF">
      <w:pPr>
        <w:pStyle w:val="ListParagraph"/>
        <w:numPr>
          <w:ilvl w:val="0"/>
          <w:numId w:val="3"/>
        </w:numPr>
        <w:spacing w:after="80"/>
        <w:jc w:val="both"/>
      </w:pPr>
      <w:proofErr w:type="spellStart"/>
      <w:r>
        <w:rPr>
          <w:b/>
          <w:bCs/>
        </w:rPr>
        <w:t>Identificarea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lacunelor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implementarea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îmbunătățirilor</w:t>
      </w:r>
      <w:proofErr w:type="spellEnd"/>
      <w:r>
        <w:rPr>
          <w:b/>
          <w:bCs/>
        </w:rPr>
        <w:t xml:space="preserve">: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modeste</w:t>
      </w:r>
      <w:proofErr w:type="spellEnd"/>
      <w:r>
        <w:t xml:space="preserve"> pot </w:t>
      </w:r>
      <w:proofErr w:type="spellStart"/>
      <w:r>
        <w:t>îmbunătăți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>.</w:t>
      </w:r>
    </w:p>
    <w:p w14:paraId="145639F3" w14:textId="77777777" w:rsidR="005F054D" w:rsidRDefault="00C97EE5" w:rsidP="00801FAF">
      <w:pPr>
        <w:pStyle w:val="ListParagraph"/>
        <w:numPr>
          <w:ilvl w:val="0"/>
          <w:numId w:val="3"/>
        </w:numPr>
        <w:spacing w:after="80"/>
        <w:jc w:val="both"/>
      </w:pPr>
      <w:proofErr w:type="spellStart"/>
      <w:r>
        <w:rPr>
          <w:b/>
          <w:bCs/>
        </w:rPr>
        <w:lastRenderedPageBreak/>
        <w:t>Instruirea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personalului</w:t>
      </w:r>
      <w:proofErr w:type="spellEnd"/>
      <w:r>
        <w:rPr>
          <w:b/>
          <w:bCs/>
        </w:rPr>
        <w:t xml:space="preserve">: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mărfurilor</w:t>
      </w:r>
      <w:proofErr w:type="spellEnd"/>
      <w:r>
        <w:t xml:space="preserve"> </w:t>
      </w:r>
      <w:proofErr w:type="spellStart"/>
      <w:r>
        <w:t>suspecte</w:t>
      </w:r>
      <w:proofErr w:type="spellEnd"/>
      <w:r>
        <w:t xml:space="preserve">,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integrității</w:t>
      </w:r>
      <w:proofErr w:type="spellEnd"/>
      <w:r>
        <w:t xml:space="preserve"> </w:t>
      </w:r>
      <w:proofErr w:type="spellStart"/>
      <w:r>
        <w:t>containerelor</w:t>
      </w:r>
      <w:proofErr w:type="spellEnd"/>
      <w:r>
        <w:t xml:space="preserve">, </w:t>
      </w:r>
      <w:proofErr w:type="spellStart"/>
      <w:r>
        <w:t>cerințele</w:t>
      </w:r>
      <w:proofErr w:type="spellEnd"/>
      <w:r>
        <w:t xml:space="preserve"> de </w:t>
      </w:r>
      <w:proofErr w:type="spellStart"/>
      <w:r>
        <w:t>acuratețe</w:t>
      </w:r>
      <w:proofErr w:type="spellEnd"/>
      <w:r>
        <w:t xml:space="preserve"> a </w:t>
      </w:r>
      <w:proofErr w:type="spellStart"/>
      <w:r>
        <w:t>documentației</w:t>
      </w:r>
      <w:proofErr w:type="spellEnd"/>
      <w:r>
        <w:t>.</w:t>
      </w:r>
    </w:p>
    <w:p w14:paraId="4AF9EB41" w14:textId="77777777" w:rsidR="005F054D" w:rsidRDefault="00C97EE5" w:rsidP="00801FAF">
      <w:pPr>
        <w:pStyle w:val="ListParagraph"/>
        <w:numPr>
          <w:ilvl w:val="0"/>
          <w:numId w:val="3"/>
        </w:numPr>
        <w:spacing w:after="80"/>
        <w:jc w:val="both"/>
      </w:pPr>
      <w:proofErr w:type="spellStart"/>
      <w:r>
        <w:rPr>
          <w:b/>
          <w:bCs/>
        </w:rPr>
        <w:t>Elaborarea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unui</w:t>
      </w:r>
      <w:proofErr w:type="spellEnd"/>
      <w:r>
        <w:rPr>
          <w:b/>
          <w:bCs/>
        </w:rPr>
        <w:t xml:space="preserve"> plan </w:t>
      </w:r>
      <w:proofErr w:type="spellStart"/>
      <w:r>
        <w:rPr>
          <w:b/>
          <w:bCs/>
        </w:rPr>
        <w:t>simplu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securitate</w:t>
      </w:r>
      <w:proofErr w:type="spellEnd"/>
      <w:r>
        <w:rPr>
          <w:b/>
          <w:bCs/>
        </w:rPr>
        <w:t xml:space="preserve">: </w:t>
      </w:r>
      <w:proofErr w:type="spellStart"/>
      <w:r>
        <w:t>Roluri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,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>.</w:t>
      </w:r>
    </w:p>
    <w:p w14:paraId="70C2FD7E" w14:textId="77777777" w:rsidR="005F054D" w:rsidRDefault="00C97EE5" w:rsidP="00801FAF">
      <w:pPr>
        <w:pStyle w:val="ListParagraph"/>
        <w:numPr>
          <w:ilvl w:val="0"/>
          <w:numId w:val="3"/>
        </w:numPr>
        <w:spacing w:after="80"/>
        <w:jc w:val="both"/>
      </w:pPr>
      <w:proofErr w:type="spellStart"/>
      <w:r>
        <w:rPr>
          <w:b/>
          <w:bCs/>
        </w:rPr>
        <w:t>Interacțiunea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autoritățile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vamale</w:t>
      </w:r>
      <w:proofErr w:type="spellEnd"/>
      <w:r>
        <w:rPr>
          <w:b/>
          <w:bCs/>
        </w:rPr>
        <w:t xml:space="preserve">: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conștientizare</w:t>
      </w:r>
      <w:proofErr w:type="spellEnd"/>
      <w:r>
        <w:t xml:space="preserve"> AEO,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pre-</w:t>
      </w:r>
      <w:proofErr w:type="spellStart"/>
      <w:r>
        <w:t>aplicare</w:t>
      </w:r>
      <w:proofErr w:type="spellEnd"/>
      <w:r>
        <w:t xml:space="preserve">,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suportului</w:t>
      </w:r>
      <w:proofErr w:type="spellEnd"/>
      <w:r>
        <w:t xml:space="preserve"> </w:t>
      </w:r>
      <w:proofErr w:type="spellStart"/>
      <w:r>
        <w:t>adaptat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>.</w:t>
      </w:r>
    </w:p>
    <w:p w14:paraId="0383C5A9" w14:textId="77777777" w:rsidR="005F054D" w:rsidRDefault="00C97EE5" w:rsidP="00801FAF">
      <w:pPr>
        <w:spacing w:before="120" w:after="200"/>
        <w:jc w:val="both"/>
      </w:pPr>
      <w:r>
        <w:rPr>
          <w:b/>
          <w:bCs/>
          <w:color w:val="2E75B6"/>
        </w:rPr>
        <w:t xml:space="preserve">Instrument util: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rPr>
          <w:b/>
          <w:bCs/>
        </w:rPr>
        <w:t>iPASS</w:t>
      </w:r>
      <w:proofErr w:type="spellEnd"/>
      <w:r>
        <w:t xml:space="preserve"> (WCO) – un </w:t>
      </w:r>
      <w:proofErr w:type="spellStart"/>
      <w:r>
        <w:t>chestionar</w:t>
      </w:r>
      <w:proofErr w:type="spellEnd"/>
      <w:r>
        <w:t xml:space="preserve"> online cu </w:t>
      </w:r>
      <w:proofErr w:type="spellStart"/>
      <w:r>
        <w:t>întrebări</w:t>
      </w:r>
      <w:proofErr w:type="spellEnd"/>
      <w:r>
        <w:t xml:space="preserve"> da/nu care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firmelor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auto-</w:t>
      </w:r>
      <w:proofErr w:type="spellStart"/>
      <w:r>
        <w:t>evalueze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AEO.</w:t>
      </w:r>
    </w:p>
    <w:p w14:paraId="714293AC" w14:textId="77777777" w:rsidR="005F054D" w:rsidRDefault="00C97EE5">
      <w:pPr>
        <w:pStyle w:val="Heading1"/>
      </w:pPr>
      <w:r>
        <w:t xml:space="preserve">7. 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de </w:t>
      </w:r>
      <w:proofErr w:type="spellStart"/>
      <w:r>
        <w:t>interes</w:t>
      </w:r>
      <w:proofErr w:type="spellEnd"/>
    </w:p>
    <w:p w14:paraId="22281EEE" w14:textId="77777777" w:rsidR="005F054D" w:rsidRDefault="00C97EE5">
      <w:pPr>
        <w:pStyle w:val="Heading2"/>
      </w:pPr>
      <w:r>
        <w:t>7.1 Studiul WCO-WTO-ICC</w:t>
      </w:r>
    </w:p>
    <w:p w14:paraId="7837443C" w14:textId="77777777" w:rsidR="005F054D" w:rsidRDefault="00C97EE5" w:rsidP="00801FAF">
      <w:pPr>
        <w:spacing w:after="120"/>
        <w:jc w:val="both"/>
      </w:pPr>
      <w:proofErr w:type="spellStart"/>
      <w:r>
        <w:t>Raportul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</w:t>
      </w:r>
      <w:r>
        <w:rPr>
          <w:i/>
          <w:iCs/>
        </w:rPr>
        <w:t xml:space="preserve">WCO-WTO-ICC </w:t>
      </w:r>
      <w:proofErr w:type="spellStart"/>
      <w:r>
        <w:rPr>
          <w:i/>
          <w:iCs/>
        </w:rPr>
        <w:t>privind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integrarea</w:t>
      </w:r>
      <w:proofErr w:type="spellEnd"/>
      <w:r>
        <w:rPr>
          <w:i/>
          <w:iCs/>
        </w:rPr>
        <w:t xml:space="preserve"> IMM-</w:t>
      </w:r>
      <w:proofErr w:type="spellStart"/>
      <w:r>
        <w:rPr>
          <w:i/>
          <w:iCs/>
        </w:rPr>
        <w:t>urilor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în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programele</w:t>
      </w:r>
      <w:proofErr w:type="spellEnd"/>
      <w:r>
        <w:rPr>
          <w:i/>
          <w:iCs/>
        </w:rPr>
        <w:t xml:space="preserve"> AEO</w:t>
      </w:r>
      <w:r>
        <w:t xml:space="preserve">, </w:t>
      </w:r>
      <w:proofErr w:type="spellStart"/>
      <w:r>
        <w:t>lansat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noiembrie</w:t>
      </w:r>
      <w:proofErr w:type="spellEnd"/>
      <w:r>
        <w:t xml:space="preserve"> 2025 la </w:t>
      </w:r>
      <w:proofErr w:type="spellStart"/>
      <w:r>
        <w:t>sediul</w:t>
      </w:r>
      <w:proofErr w:type="spellEnd"/>
      <w:r>
        <w:t xml:space="preserve"> WCO, </w:t>
      </w:r>
      <w:proofErr w:type="spellStart"/>
      <w:r>
        <w:t>subliniază</w:t>
      </w:r>
      <w:proofErr w:type="spellEnd"/>
      <w:r>
        <w:t>:</w:t>
      </w:r>
    </w:p>
    <w:p w14:paraId="7B419F57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Dificultățile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comerțul</w:t>
      </w:r>
      <w:proofErr w:type="spellEnd"/>
      <w:r>
        <w:t xml:space="preserve"> global: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limitat</w:t>
      </w:r>
      <w:proofErr w:type="spellEnd"/>
      <w:r>
        <w:t xml:space="preserve"> la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complexitate</w:t>
      </w:r>
      <w:proofErr w:type="spellEnd"/>
      <w:r>
        <w:t xml:space="preserve"> </w:t>
      </w:r>
      <w:proofErr w:type="spellStart"/>
      <w:r>
        <w:t>reglementară</w:t>
      </w:r>
      <w:proofErr w:type="spellEnd"/>
      <w:r>
        <w:t xml:space="preserve">, </w:t>
      </w:r>
      <w:proofErr w:type="spellStart"/>
      <w:r>
        <w:t>dezavantaje</w:t>
      </w:r>
      <w:proofErr w:type="spellEnd"/>
      <w:r>
        <w:t xml:space="preserve"> competitive, </w:t>
      </w:r>
      <w:proofErr w:type="spellStart"/>
      <w:r>
        <w:t>vulnerabilitate</w:t>
      </w:r>
      <w:proofErr w:type="spellEnd"/>
      <w:r>
        <w:t xml:space="preserve"> la </w:t>
      </w:r>
      <w:proofErr w:type="spellStart"/>
      <w:r>
        <w:t>șocuri</w:t>
      </w:r>
      <w:proofErr w:type="spellEnd"/>
    </w:p>
    <w:p w14:paraId="1F8ABC07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Provocările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accesarea</w:t>
      </w:r>
      <w:proofErr w:type="spellEnd"/>
      <w:r>
        <w:t xml:space="preserve"> AEO: </w:t>
      </w:r>
      <w:proofErr w:type="spellStart"/>
      <w:r>
        <w:t>lipsă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dificultăți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navigarea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, </w:t>
      </w:r>
      <w:proofErr w:type="spellStart"/>
      <w:r>
        <w:t>constrângeri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capacitate, </w:t>
      </w:r>
      <w:proofErr w:type="spellStart"/>
      <w:r>
        <w:t>percepția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dezechilibru</w:t>
      </w:r>
      <w:proofErr w:type="spellEnd"/>
      <w:r>
        <w:t xml:space="preserve"> cost-</w:t>
      </w:r>
      <w:proofErr w:type="spellStart"/>
      <w:r>
        <w:t>beneficiu</w:t>
      </w:r>
      <w:proofErr w:type="spellEnd"/>
    </w:p>
    <w:p w14:paraId="285C0FEB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t xml:space="preserve">10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 din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administrații</w:t>
      </w:r>
      <w:proofErr w:type="spellEnd"/>
      <w:r>
        <w:t xml:space="preserve"> </w:t>
      </w:r>
      <w:proofErr w:type="spellStart"/>
      <w:r>
        <w:t>vamale</w:t>
      </w:r>
      <w:proofErr w:type="spellEnd"/>
      <w:r>
        <w:t xml:space="preserve"> cu </w:t>
      </w:r>
      <w:proofErr w:type="spellStart"/>
      <w:r>
        <w:t>soluții</w:t>
      </w:r>
      <w:proofErr w:type="spellEnd"/>
      <w:r>
        <w:t xml:space="preserve"> </w:t>
      </w:r>
      <w:proofErr w:type="spellStart"/>
      <w:r>
        <w:t>inovatoare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încurajarea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IMM-</w:t>
      </w:r>
      <w:proofErr w:type="spellStart"/>
      <w:r>
        <w:t>urilor</w:t>
      </w:r>
      <w:proofErr w:type="spellEnd"/>
    </w:p>
    <w:p w14:paraId="6EDB66C3" w14:textId="77777777" w:rsidR="005F054D" w:rsidRDefault="00C97EE5">
      <w:pPr>
        <w:pStyle w:val="Heading2"/>
      </w:pPr>
      <w:r>
        <w:t xml:space="preserve">7.2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SARS (Africa de Sud) –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caz</w:t>
      </w:r>
      <w:proofErr w:type="spellEnd"/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F054D" w14:paraId="701EC0E9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428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2301D" w14:textId="77777777" w:rsidR="005F054D" w:rsidRDefault="00C97EE5">
            <w:r>
              <w:rPr>
                <w:rFonts w:ascii="Nunito" w:eastAsia="Nunito" w:hAnsi="Nunito" w:cs="Nunito"/>
                <w:b/>
                <w:bCs/>
                <w:color w:val="FFFFFF"/>
              </w:rPr>
              <w:t>Indicator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428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CAA51" w14:textId="77777777" w:rsidR="005F054D" w:rsidRDefault="00C97EE5"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</w:rPr>
              <w:t>Valoare</w:t>
            </w:r>
            <w:proofErr w:type="spellEnd"/>
          </w:p>
        </w:tc>
      </w:tr>
      <w:tr w:rsidR="005F054D" w14:paraId="29CEFC6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BA287" w14:textId="77777777" w:rsidR="005F054D" w:rsidRDefault="00C97EE5">
            <w:proofErr w:type="spellStart"/>
            <w:r>
              <w:t>Ponderea</w:t>
            </w:r>
            <w:proofErr w:type="spellEnd"/>
            <w:r>
              <w:t xml:space="preserve"> IMM-</w:t>
            </w:r>
            <w:proofErr w:type="spellStart"/>
            <w:r>
              <w:t>urilor</w:t>
            </w:r>
            <w:proofErr w:type="spellEnd"/>
            <w:r>
              <w:t xml:space="preserve"> din </w:t>
            </w:r>
            <w:proofErr w:type="spellStart"/>
            <w:r>
              <w:t>totalul</w:t>
            </w:r>
            <w:proofErr w:type="spellEnd"/>
            <w:r>
              <w:t xml:space="preserve"> AEO-</w:t>
            </w:r>
            <w:proofErr w:type="spellStart"/>
            <w:r>
              <w:t>urilor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706DD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66%</w:t>
            </w:r>
          </w:p>
        </w:tc>
      </w:tr>
      <w:tr w:rsidR="005F054D" w14:paraId="3C577949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55356" w14:textId="77777777" w:rsidR="005F054D" w:rsidRDefault="00C97EE5">
            <w:proofErr w:type="spellStart"/>
            <w:r>
              <w:t>Număr</w:t>
            </w:r>
            <w:proofErr w:type="spellEnd"/>
            <w:r>
              <w:t xml:space="preserve"> IMM-</w:t>
            </w:r>
            <w:proofErr w:type="spellStart"/>
            <w:r>
              <w:t>uri</w:t>
            </w:r>
            <w:proofErr w:type="spellEnd"/>
            <w:r>
              <w:t xml:space="preserve"> certificate AEO (la 31 </w:t>
            </w:r>
            <w:proofErr w:type="spellStart"/>
            <w:r>
              <w:t>martie</w:t>
            </w:r>
            <w:proofErr w:type="spellEnd"/>
            <w:r>
              <w:t xml:space="preserve"> 2026)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AB6E6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687</w:t>
            </w:r>
          </w:p>
        </w:tc>
      </w:tr>
      <w:tr w:rsidR="005F054D" w14:paraId="1281AB58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4B64C" w14:textId="77777777" w:rsidR="005F054D" w:rsidRDefault="00C97EE5">
            <w:proofErr w:type="spellStart"/>
            <w:r>
              <w:t>Creștere</w:t>
            </w:r>
            <w:proofErr w:type="spellEnd"/>
            <w:r>
              <w:t xml:space="preserve"> a </w:t>
            </w:r>
            <w:proofErr w:type="spellStart"/>
            <w:r>
              <w:t>numărului</w:t>
            </w:r>
            <w:proofErr w:type="spellEnd"/>
            <w:r>
              <w:t xml:space="preserve"> de IMM-</w:t>
            </w:r>
            <w:proofErr w:type="spellStart"/>
            <w:r>
              <w:t>uri</w:t>
            </w:r>
            <w:proofErr w:type="spellEnd"/>
            <w:r>
              <w:t xml:space="preserve"> certificate (</w:t>
            </w:r>
            <w:proofErr w:type="spellStart"/>
            <w:r>
              <w:t>în</w:t>
            </w:r>
            <w:proofErr w:type="spellEnd"/>
            <w:r>
              <w:t xml:space="preserve"> 2 ani)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22DBE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450%+</w:t>
            </w:r>
          </w:p>
        </w:tc>
      </w:tr>
      <w:tr w:rsidR="005F054D" w14:paraId="2B7C09E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706DE" w14:textId="77777777" w:rsidR="005F054D" w:rsidRDefault="00C97EE5">
            <w:r>
              <w:t xml:space="preserve">Timp de </w:t>
            </w:r>
            <w:proofErr w:type="spellStart"/>
            <w:r>
              <w:t>aprobare</w:t>
            </w:r>
            <w:proofErr w:type="spellEnd"/>
            <w:r>
              <w:t xml:space="preserve"> fast-track </w:t>
            </w:r>
            <w:proofErr w:type="spellStart"/>
            <w:r>
              <w:t>pentru</w:t>
            </w:r>
            <w:proofErr w:type="spellEnd"/>
            <w:r>
              <w:t xml:space="preserve"> IMM-</w:t>
            </w:r>
            <w:proofErr w:type="spellStart"/>
            <w:r>
              <w:t>uri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F3975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 xml:space="preserve">~5 </w:t>
            </w:r>
            <w:proofErr w:type="spellStart"/>
            <w:r>
              <w:rPr>
                <w:b/>
                <w:bCs/>
                <w:color w:val="15428B"/>
              </w:rPr>
              <w:t>zile</w:t>
            </w:r>
            <w:proofErr w:type="spellEnd"/>
          </w:p>
        </w:tc>
      </w:tr>
      <w:tr w:rsidR="005F054D" w14:paraId="31025C0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5D3CA" w14:textId="77777777" w:rsidR="005F054D" w:rsidRDefault="00C97EE5">
            <w:r>
              <w:t>AEO-</w:t>
            </w:r>
            <w:proofErr w:type="spellStart"/>
            <w:r>
              <w:t>uri</w:t>
            </w:r>
            <w:proofErr w:type="spellEnd"/>
            <w:r>
              <w:t xml:space="preserve"> cu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puține</w:t>
            </w:r>
            <w:proofErr w:type="spellEnd"/>
            <w:r>
              <w:t xml:space="preserve"> </w:t>
            </w:r>
            <w:proofErr w:type="spellStart"/>
            <w:r>
              <w:t>inspecții</w:t>
            </w:r>
            <w:proofErr w:type="spellEnd"/>
            <w:r>
              <w:t xml:space="preserve"> (SAFE 2024)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ACE8B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79%</w:t>
            </w:r>
          </w:p>
        </w:tc>
      </w:tr>
      <w:tr w:rsidR="005F054D" w14:paraId="6F1E743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12E7E" w14:textId="77777777" w:rsidR="005F054D" w:rsidRDefault="00C97EE5">
            <w:r>
              <w:t>AEO-</w:t>
            </w:r>
            <w:proofErr w:type="spellStart"/>
            <w:r>
              <w:t>uri</w:t>
            </w:r>
            <w:proofErr w:type="spellEnd"/>
            <w:r>
              <w:t xml:space="preserve"> cu </w:t>
            </w:r>
            <w:proofErr w:type="spellStart"/>
            <w:r>
              <w:t>vămuire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rapidă</w:t>
            </w:r>
            <w:proofErr w:type="spellEnd"/>
            <w:r>
              <w:t xml:space="preserve"> (SAFE 2024)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16938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65%</w:t>
            </w:r>
          </w:p>
        </w:tc>
      </w:tr>
      <w:tr w:rsidR="005F054D" w14:paraId="1FACE17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C5663" w14:textId="77777777" w:rsidR="005F054D" w:rsidRDefault="00C97EE5">
            <w:r>
              <w:t>AEO-</w:t>
            </w:r>
            <w:proofErr w:type="spellStart"/>
            <w:r>
              <w:t>uri</w:t>
            </w:r>
            <w:proofErr w:type="spellEnd"/>
            <w:r>
              <w:t xml:space="preserve"> cu </w:t>
            </w:r>
            <w:proofErr w:type="spellStart"/>
            <w:r>
              <w:t>costuri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mici</w:t>
            </w:r>
            <w:proofErr w:type="spellEnd"/>
            <w:r>
              <w:t xml:space="preserve"> (SAFE 2024)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B0508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52%</w:t>
            </w:r>
          </w:p>
        </w:tc>
      </w:tr>
      <w:tr w:rsidR="005F054D" w14:paraId="5F1F7278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7398" w14:textId="77777777" w:rsidR="005F054D" w:rsidRDefault="00C97EE5">
            <w:r>
              <w:t>AEO-</w:t>
            </w:r>
            <w:proofErr w:type="spellStart"/>
            <w:r>
              <w:t>uri</w:t>
            </w:r>
            <w:proofErr w:type="spellEnd"/>
            <w:r>
              <w:t xml:space="preserve"> cu control intern </w:t>
            </w:r>
            <w:proofErr w:type="spellStart"/>
            <w:r>
              <w:t>îmbunătățit</w:t>
            </w:r>
            <w:proofErr w:type="spellEnd"/>
            <w:r>
              <w:t xml:space="preserve"> (SAFE 2024)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65960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82%</w:t>
            </w:r>
          </w:p>
        </w:tc>
      </w:tr>
      <w:tr w:rsidR="005F054D" w14:paraId="2A28679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74115" w14:textId="77777777" w:rsidR="005F054D" w:rsidRDefault="00C97EE5">
            <w:r>
              <w:t>AEO-</w:t>
            </w:r>
            <w:proofErr w:type="spellStart"/>
            <w:r>
              <w:t>uri</w:t>
            </w:r>
            <w:proofErr w:type="spellEnd"/>
            <w:r>
              <w:t xml:space="preserve"> cu contact direct la SARS (SAFE 2024)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89426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96%</w:t>
            </w:r>
          </w:p>
        </w:tc>
      </w:tr>
      <w:tr w:rsidR="005F054D" w14:paraId="15D95CC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C154D" w14:textId="77777777" w:rsidR="005F054D" w:rsidRDefault="00C97EE5">
            <w:r>
              <w:t>IMM-</w:t>
            </w:r>
            <w:proofErr w:type="spellStart"/>
            <w:r>
              <w:t>uri</w:t>
            </w:r>
            <w:proofErr w:type="spellEnd"/>
            <w:r>
              <w:t xml:space="preserve"> cu </w:t>
            </w:r>
            <w:proofErr w:type="spellStart"/>
            <w:r>
              <w:t>scor</w:t>
            </w:r>
            <w:proofErr w:type="spellEnd"/>
            <w:r>
              <w:t xml:space="preserve"> audit </w:t>
            </w:r>
            <w:proofErr w:type="spellStart"/>
            <w:r>
              <w:t>peste</w:t>
            </w:r>
            <w:proofErr w:type="spellEnd"/>
            <w:r>
              <w:t xml:space="preserve"> 80%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A234F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40%+</w:t>
            </w:r>
          </w:p>
        </w:tc>
      </w:tr>
      <w:tr w:rsidR="005F054D" w14:paraId="1020F41A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7FD6D" w14:textId="77777777" w:rsidR="005F054D" w:rsidRDefault="00C97EE5">
            <w:r>
              <w:t>IMM-</w:t>
            </w:r>
            <w:proofErr w:type="spellStart"/>
            <w:r>
              <w:t>uri</w:t>
            </w:r>
            <w:proofErr w:type="spellEnd"/>
            <w:r>
              <w:t xml:space="preserve"> </w:t>
            </w:r>
            <w:proofErr w:type="spellStart"/>
            <w:r>
              <w:t>trecute</w:t>
            </w:r>
            <w:proofErr w:type="spellEnd"/>
            <w:r>
              <w:t xml:space="preserve"> la </w:t>
            </w:r>
            <w:proofErr w:type="spellStart"/>
            <w:r>
              <w:t>certificare</w:t>
            </w:r>
            <w:proofErr w:type="spellEnd"/>
            <w:r>
              <w:t xml:space="preserve"> Nivel 2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229F8" w14:textId="77777777" w:rsidR="005F054D" w:rsidRDefault="00C97EE5">
            <w:pPr>
              <w:jc w:val="center"/>
            </w:pPr>
            <w:r>
              <w:rPr>
                <w:b/>
                <w:bCs/>
                <w:color w:val="15428B"/>
              </w:rPr>
              <w:t>130+</w:t>
            </w:r>
          </w:p>
        </w:tc>
      </w:tr>
    </w:tbl>
    <w:p w14:paraId="5B41373A" w14:textId="77777777" w:rsidR="005F054D" w:rsidRDefault="005F054D">
      <w:pPr>
        <w:spacing w:after="80"/>
      </w:pPr>
    </w:p>
    <w:p w14:paraId="6FF0853B" w14:textId="77777777" w:rsidR="005F054D" w:rsidRDefault="00C97EE5" w:rsidP="00801FAF">
      <w:pPr>
        <w:spacing w:after="200"/>
        <w:jc w:val="both"/>
      </w:pPr>
      <w:proofErr w:type="spellStart"/>
      <w:r>
        <w:rPr>
          <w:b/>
          <w:bCs/>
        </w:rPr>
        <w:lastRenderedPageBreak/>
        <w:t>Concluzia</w:t>
      </w:r>
      <w:proofErr w:type="spellEnd"/>
      <w:r>
        <w:rPr>
          <w:b/>
          <w:bCs/>
        </w:rPr>
        <w:t xml:space="preserve"> SARS: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IMM-</w:t>
      </w:r>
      <w:proofErr w:type="spellStart"/>
      <w:r>
        <w:t>uri</w:t>
      </w:r>
      <w:proofErr w:type="spellEnd"/>
      <w:r>
        <w:t xml:space="preserve"> certificate nu a </w:t>
      </w:r>
      <w:proofErr w:type="spellStart"/>
      <w:r>
        <w:t>compromis</w:t>
      </w:r>
      <w:proofErr w:type="spellEnd"/>
      <w:r>
        <w:t xml:space="preserve"> </w:t>
      </w:r>
      <w:proofErr w:type="spellStart"/>
      <w:r>
        <w:t>standardele</w:t>
      </w:r>
      <w:proofErr w:type="spellEnd"/>
      <w:r>
        <w:t xml:space="preserve"> de </w:t>
      </w:r>
      <w:proofErr w:type="spellStart"/>
      <w:r>
        <w:t>conformitate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, IMM-urile au </w:t>
      </w:r>
      <w:proofErr w:type="spellStart"/>
      <w:r>
        <w:t>performat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companiile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.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echitabil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riscurile</w:t>
      </w:r>
      <w:proofErr w:type="spellEnd"/>
      <w:r>
        <w:t xml:space="preserve"> sunt mitigate, IMM-urile </w:t>
      </w:r>
      <w:proofErr w:type="spellStart"/>
      <w:r>
        <w:t>performează</w:t>
      </w:r>
      <w:proofErr w:type="spellEnd"/>
      <w:r>
        <w:t>.</w:t>
      </w:r>
    </w:p>
    <w:p w14:paraId="79342E7A" w14:textId="77777777" w:rsidR="005F054D" w:rsidRDefault="00C97EE5" w:rsidP="00801FAF">
      <w:pPr>
        <w:pStyle w:val="Heading2"/>
        <w:jc w:val="both"/>
      </w:pPr>
      <w:r>
        <w:t xml:space="preserve">7.3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caz</w:t>
      </w:r>
      <w:proofErr w:type="spellEnd"/>
      <w:r>
        <w:t>: GYS (</w:t>
      </w:r>
      <w:proofErr w:type="spellStart"/>
      <w:r>
        <w:t>Franța</w:t>
      </w:r>
      <w:proofErr w:type="spellEnd"/>
      <w:r>
        <w:t xml:space="preserve">) – </w:t>
      </w:r>
      <w:proofErr w:type="spellStart"/>
      <w:r>
        <w:t>companie</w:t>
      </w:r>
      <w:proofErr w:type="spellEnd"/>
      <w:r>
        <w:t xml:space="preserve"> </w:t>
      </w:r>
      <w:proofErr w:type="spellStart"/>
      <w:r>
        <w:t>exportatoare</w:t>
      </w:r>
      <w:proofErr w:type="spellEnd"/>
    </w:p>
    <w:p w14:paraId="61E7FCDF" w14:textId="77777777" w:rsidR="005F054D" w:rsidRDefault="00C97EE5" w:rsidP="00801FAF">
      <w:pPr>
        <w:spacing w:after="120"/>
        <w:jc w:val="both"/>
      </w:pPr>
      <w:r>
        <w:t xml:space="preserve">Bruno Bouygues,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companiei</w:t>
      </w:r>
      <w:proofErr w:type="spellEnd"/>
      <w:r>
        <w:t xml:space="preserve"> GYS, a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concretă</w:t>
      </w:r>
      <w:proofErr w:type="spellEnd"/>
      <w:r>
        <w:t xml:space="preserve"> a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certificării</w:t>
      </w:r>
      <w:proofErr w:type="spellEnd"/>
      <w:r>
        <w:t xml:space="preserve"> AEO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an:</w:t>
      </w:r>
    </w:p>
    <w:p w14:paraId="1BDCEF46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Proces</w:t>
      </w:r>
      <w:proofErr w:type="spellEnd"/>
      <w:r>
        <w:t xml:space="preserve"> </w:t>
      </w:r>
      <w:proofErr w:type="spellStart"/>
      <w:r>
        <w:t>inițiat</w:t>
      </w:r>
      <w:proofErr w:type="spellEnd"/>
      <w:r>
        <w:t xml:space="preserve"> cu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franceză</w:t>
      </w:r>
      <w:proofErr w:type="spellEnd"/>
      <w:r>
        <w:t xml:space="preserve"> cu </w:t>
      </w:r>
      <w:proofErr w:type="spellStart"/>
      <w:r>
        <w:t>aproximativ</w:t>
      </w:r>
      <w:proofErr w:type="spellEnd"/>
      <w:r>
        <w:t xml:space="preserve"> 10 ani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</w:t>
      </w:r>
      <w:proofErr w:type="spellEnd"/>
      <w:r>
        <w:t xml:space="preserve">, </w:t>
      </w:r>
      <w:proofErr w:type="spellStart"/>
      <w:r>
        <w:t>implementat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abia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trecut</w:t>
      </w:r>
      <w:proofErr w:type="spellEnd"/>
      <w:r>
        <w:t xml:space="preserve"> (</w:t>
      </w:r>
      <w:proofErr w:type="spellStart"/>
      <w:r>
        <w:t>întârzieri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pandemie</w:t>
      </w:r>
      <w:proofErr w:type="spellEnd"/>
      <w:r>
        <w:t>)</w:t>
      </w:r>
    </w:p>
    <w:p w14:paraId="05D4185D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t xml:space="preserve">Anterior </w:t>
      </w:r>
      <w:proofErr w:type="spellStart"/>
      <w:r>
        <w:t>certificării</w:t>
      </w:r>
      <w:proofErr w:type="spellEnd"/>
      <w:r>
        <w:t xml:space="preserve">: </w:t>
      </w:r>
      <w:proofErr w:type="spellStart"/>
      <w:r>
        <w:t>containere</w:t>
      </w:r>
      <w:proofErr w:type="spellEnd"/>
      <w:r>
        <w:t xml:space="preserve"> </w:t>
      </w:r>
      <w:proofErr w:type="spellStart"/>
      <w:r>
        <w:t>blocate</w:t>
      </w:r>
      <w:proofErr w:type="spellEnd"/>
      <w:r>
        <w:t xml:space="preserve"> </w:t>
      </w:r>
      <w:proofErr w:type="spellStart"/>
      <w:r>
        <w:t>săptămânal</w:t>
      </w:r>
      <w:proofErr w:type="spellEnd"/>
      <w:r>
        <w:t xml:space="preserve">, capital </w:t>
      </w:r>
      <w:proofErr w:type="spellStart"/>
      <w:r>
        <w:t>imobilizat</w:t>
      </w:r>
      <w:proofErr w:type="spellEnd"/>
      <w:r>
        <w:t xml:space="preserve">,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tensionate</w:t>
      </w:r>
      <w:proofErr w:type="spellEnd"/>
      <w:r>
        <w:t xml:space="preserve"> cu </w:t>
      </w:r>
      <w:proofErr w:type="spellStart"/>
      <w:r>
        <w:t>vama</w:t>
      </w:r>
      <w:proofErr w:type="spellEnd"/>
    </w:p>
    <w:p w14:paraId="34B769A6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După</w:t>
      </w:r>
      <w:proofErr w:type="spellEnd"/>
      <w:r>
        <w:t xml:space="preserve"> </w:t>
      </w:r>
      <w:proofErr w:type="spellStart"/>
      <w:r>
        <w:t>certificare</w:t>
      </w:r>
      <w:proofErr w:type="spellEnd"/>
      <w:r>
        <w:t xml:space="preserve">: zero </w:t>
      </w:r>
      <w:proofErr w:type="spellStart"/>
      <w:r>
        <w:t>containere</w:t>
      </w:r>
      <w:proofErr w:type="spellEnd"/>
      <w:r>
        <w:t xml:space="preserve"> </w:t>
      </w:r>
      <w:proofErr w:type="spellStart"/>
      <w:r>
        <w:t>blocate</w:t>
      </w:r>
      <w:proofErr w:type="spellEnd"/>
      <w:r>
        <w:t xml:space="preserve">; </w:t>
      </w:r>
      <w:proofErr w:type="spellStart"/>
      <w:r>
        <w:t>relație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fluidă</w:t>
      </w:r>
      <w:proofErr w:type="spellEnd"/>
      <w:r>
        <w:t xml:space="preserve"> cu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vamale</w:t>
      </w:r>
      <w:proofErr w:type="spellEnd"/>
    </w:p>
    <w:p w14:paraId="7B5CD22E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t>Exporturi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Africa: </w:t>
      </w:r>
      <w:proofErr w:type="spellStart"/>
      <w:r>
        <w:t>scădere</w:t>
      </w:r>
      <w:proofErr w:type="spellEnd"/>
      <w:r>
        <w:t xml:space="preserve"> de la 8 din 13 </w:t>
      </w:r>
      <w:proofErr w:type="spellStart"/>
      <w:r>
        <w:t>containere</w:t>
      </w:r>
      <w:proofErr w:type="spellEnd"/>
      <w:r>
        <w:t xml:space="preserve"> </w:t>
      </w:r>
      <w:proofErr w:type="spellStart"/>
      <w:r>
        <w:t>blocate</w:t>
      </w:r>
      <w:proofErr w:type="spellEnd"/>
      <w:r>
        <w:t xml:space="preserve"> la </w:t>
      </w:r>
      <w:proofErr w:type="spellStart"/>
      <w:r>
        <w:t>doar</w:t>
      </w:r>
      <w:proofErr w:type="spellEnd"/>
      <w:r>
        <w:t xml:space="preserve"> 1 din 12 – </w:t>
      </w:r>
      <w:proofErr w:type="spellStart"/>
      <w:r>
        <w:t>reducere</w:t>
      </w:r>
      <w:proofErr w:type="spellEnd"/>
      <w:r>
        <w:t xml:space="preserve"> de </w:t>
      </w:r>
      <w:proofErr w:type="spellStart"/>
      <w:r>
        <w:t>aproximativ</w:t>
      </w:r>
      <w:proofErr w:type="spellEnd"/>
      <w:r>
        <w:t xml:space="preserve"> 80%</w:t>
      </w:r>
    </w:p>
    <w:p w14:paraId="32F8167D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t xml:space="preserve">Beneficii: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capital </w:t>
      </w:r>
      <w:proofErr w:type="spellStart"/>
      <w:r>
        <w:t>blocat</w:t>
      </w:r>
      <w:proofErr w:type="spellEnd"/>
      <w:r>
        <w:t xml:space="preserve">,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responsabilizate</w:t>
      </w:r>
      <w:proofErr w:type="spellEnd"/>
      <w:r>
        <w:t xml:space="preserve"> intern, </w:t>
      </w:r>
      <w:proofErr w:type="spellStart"/>
      <w:r>
        <w:t>relații</w:t>
      </w:r>
      <w:proofErr w:type="spellEnd"/>
      <w:r>
        <w:t xml:space="preserve"> consolidate cu </w:t>
      </w:r>
      <w:proofErr w:type="spellStart"/>
      <w:r>
        <w:t>clienții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business cu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capital </w:t>
      </w:r>
      <w:proofErr w:type="spellStart"/>
      <w:r>
        <w:t>imobilizat</w:t>
      </w:r>
      <w:proofErr w:type="spellEnd"/>
    </w:p>
    <w:p w14:paraId="728382E9" w14:textId="77777777" w:rsidR="005F054D" w:rsidRDefault="00C97EE5" w:rsidP="00801FAF">
      <w:pPr>
        <w:pStyle w:val="Heading1"/>
        <w:jc w:val="both"/>
      </w:pPr>
      <w:r>
        <w:t xml:space="preserve">8. </w:t>
      </w:r>
      <w:proofErr w:type="spellStart"/>
      <w:r>
        <w:t>Cadrul</w:t>
      </w:r>
      <w:proofErr w:type="spellEnd"/>
      <w:r>
        <w:t xml:space="preserve"> juridic </w:t>
      </w:r>
      <w:proofErr w:type="spellStart"/>
      <w:r>
        <w:t>internațional</w:t>
      </w:r>
      <w:proofErr w:type="spellEnd"/>
    </w:p>
    <w:p w14:paraId="3A422C1E" w14:textId="77777777" w:rsidR="005F054D" w:rsidRDefault="00C97EE5" w:rsidP="00801FAF">
      <w:pPr>
        <w:spacing w:after="120"/>
        <w:jc w:val="both"/>
      </w:pPr>
      <w:proofErr w:type="spellStart"/>
      <w:r>
        <w:t>Acordul</w:t>
      </w:r>
      <w:proofErr w:type="spellEnd"/>
      <w:r>
        <w:t xml:space="preserve"> de </w:t>
      </w:r>
      <w:proofErr w:type="spellStart"/>
      <w:r>
        <w:t>Facilitare</w:t>
      </w:r>
      <w:proofErr w:type="spellEnd"/>
      <w:r>
        <w:t xml:space="preserve"> a </w:t>
      </w:r>
      <w:proofErr w:type="spellStart"/>
      <w:r>
        <w:t>Comerțului</w:t>
      </w:r>
      <w:proofErr w:type="spellEnd"/>
      <w:r>
        <w:t xml:space="preserve"> al OMC (TFA), </w:t>
      </w:r>
      <w:proofErr w:type="spellStart"/>
      <w:r>
        <w:t>intrat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2017,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referințe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la IMM-</w:t>
      </w:r>
      <w:proofErr w:type="spellStart"/>
      <w:r>
        <w:t>uri</w:t>
      </w:r>
      <w:proofErr w:type="spellEnd"/>
      <w:r>
        <w:t xml:space="preserve">. </w:t>
      </w:r>
      <w:proofErr w:type="spellStart"/>
      <w:r>
        <w:t>Articolul</w:t>
      </w:r>
      <w:proofErr w:type="spellEnd"/>
      <w:r>
        <w:t xml:space="preserve"> 7.2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ca operator </w:t>
      </w:r>
      <w:proofErr w:type="spellStart"/>
      <w:r>
        <w:t>autorizat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restricționeze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mijlocii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statelor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de a </w:t>
      </w:r>
      <w:proofErr w:type="spellStart"/>
      <w:r>
        <w:t>adapta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excludă</w:t>
      </w:r>
      <w:proofErr w:type="spellEnd"/>
      <w:r>
        <w:t xml:space="preserve"> IMM-urile.</w:t>
      </w:r>
    </w:p>
    <w:p w14:paraId="17A33DF6" w14:textId="77777777" w:rsidR="005F054D" w:rsidRDefault="00C97EE5" w:rsidP="00801FAF">
      <w:pPr>
        <w:spacing w:after="120"/>
        <w:jc w:val="both"/>
      </w:pPr>
      <w:proofErr w:type="spellStart"/>
      <w:r>
        <w:t>Compendiul</w:t>
      </w:r>
      <w:proofErr w:type="spellEnd"/>
      <w:r>
        <w:t xml:space="preserve"> </w:t>
      </w:r>
      <w:proofErr w:type="spellStart"/>
      <w:r>
        <w:t>Grupului</w:t>
      </w:r>
      <w:proofErr w:type="spellEnd"/>
      <w:r>
        <w:t xml:space="preserve"> MSME al OMC (INF/MSME/W/47/Rev.5) include </w:t>
      </w:r>
      <w:proofErr w:type="spellStart"/>
      <w:r>
        <w:t>peste</w:t>
      </w:r>
      <w:proofErr w:type="spellEnd"/>
      <w:r>
        <w:t xml:space="preserve"> 30 de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inițiative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cu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IMM-</w:t>
      </w:r>
      <w:proofErr w:type="spellStart"/>
      <w:r>
        <w:t>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AEO. </w:t>
      </w:r>
      <w:proofErr w:type="spellStart"/>
      <w:r>
        <w:t>Temele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: </w:t>
      </w:r>
      <w:proofErr w:type="spellStart"/>
      <w:r>
        <w:t>flexibilitate</w:t>
      </w:r>
      <w:proofErr w:type="spellEnd"/>
      <w:r>
        <w:t xml:space="preserve">,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ierarhizate</w:t>
      </w:r>
      <w:proofErr w:type="spellEnd"/>
      <w:r>
        <w:t xml:space="preserve"> (tiered systems)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digitalizare</w:t>
      </w:r>
      <w:proofErr w:type="spellEnd"/>
      <w:r>
        <w:t xml:space="preserve"> a </w:t>
      </w:r>
      <w:proofErr w:type="spellStart"/>
      <w:r>
        <w:t>proceselor</w:t>
      </w:r>
      <w:proofErr w:type="spellEnd"/>
      <w:r>
        <w:t>.</w:t>
      </w:r>
    </w:p>
    <w:p w14:paraId="6C8CCFA5" w14:textId="77777777" w:rsidR="005F054D" w:rsidRDefault="00C97EE5" w:rsidP="00801FAF">
      <w:pPr>
        <w:pStyle w:val="Heading1"/>
        <w:jc w:val="both"/>
      </w:pPr>
      <w:r>
        <w:t xml:space="preserve">9.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mutuală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piețe</w:t>
      </w:r>
      <w:proofErr w:type="spellEnd"/>
    </w:p>
    <w:p w14:paraId="7106DF81" w14:textId="77777777" w:rsidR="005F054D" w:rsidRDefault="00C97EE5" w:rsidP="00801FAF">
      <w:pPr>
        <w:spacing w:after="120"/>
        <w:jc w:val="both"/>
      </w:pPr>
      <w:r>
        <w:t xml:space="preserve">Un </w:t>
      </w:r>
      <w:proofErr w:type="spellStart"/>
      <w:r>
        <w:t>avantaj</w:t>
      </w:r>
      <w:proofErr w:type="spellEnd"/>
      <w:r>
        <w:t xml:space="preserve"> major al </w:t>
      </w:r>
      <w:proofErr w:type="spellStart"/>
      <w:r>
        <w:t>certificării</w:t>
      </w:r>
      <w:proofErr w:type="spellEnd"/>
      <w:r>
        <w:t xml:space="preserve"> AEO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rPr>
          <w:b/>
          <w:bCs/>
        </w:rPr>
        <w:t>Acordurilor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Recunoaștere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Mutuală</w:t>
      </w:r>
      <w:proofErr w:type="spellEnd"/>
      <w:r>
        <w:rPr>
          <w:b/>
          <w:bCs/>
        </w:rPr>
        <w:t xml:space="preserve"> (MRA/ARM)</w:t>
      </w:r>
      <w:r>
        <w:t xml:space="preserve">: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firmă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certificată</w:t>
      </w:r>
      <w:proofErr w:type="spellEnd"/>
      <w:r>
        <w:t xml:space="preserve"> AEO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țară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beneficia de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preferențial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jurisdicții</w:t>
      </w:r>
      <w:proofErr w:type="spellEnd"/>
      <w:r>
        <w:t xml:space="preserve"> care au </w:t>
      </w:r>
      <w:proofErr w:type="spellStart"/>
      <w:r>
        <w:t>semnat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acorduri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deosebit</w:t>
      </w:r>
      <w:proofErr w:type="spellEnd"/>
      <w:r>
        <w:t xml:space="preserve"> de relevant </w:t>
      </w:r>
      <w:proofErr w:type="spellStart"/>
      <w:r>
        <w:t>pentru</w:t>
      </w:r>
      <w:proofErr w:type="spellEnd"/>
      <w:r>
        <w:t xml:space="preserve"> IMM-urile </w:t>
      </w:r>
      <w:proofErr w:type="spellStart"/>
      <w:r>
        <w:t>exportatoare</w:t>
      </w:r>
      <w:proofErr w:type="spellEnd"/>
      <w:r>
        <w:t xml:space="preserve"> care </w:t>
      </w:r>
      <w:proofErr w:type="spellStart"/>
      <w:r>
        <w:t>operează</w:t>
      </w:r>
      <w:proofErr w:type="spellEnd"/>
      <w:r>
        <w:t xml:space="preserve"> pe </w:t>
      </w:r>
      <w:proofErr w:type="spellStart"/>
      <w:r>
        <w:t>piețe</w:t>
      </w:r>
      <w:proofErr w:type="spellEnd"/>
      <w:r>
        <w:t xml:space="preserve"> multiple.</w:t>
      </w:r>
    </w:p>
    <w:p w14:paraId="2FB94DBA" w14:textId="77777777" w:rsidR="005F054D" w:rsidRDefault="00C97EE5" w:rsidP="00801FAF">
      <w:pPr>
        <w:spacing w:after="200"/>
        <w:jc w:val="both"/>
      </w:pPr>
      <w:proofErr w:type="spellStart"/>
      <w:r>
        <w:rPr>
          <w:b/>
          <w:bCs/>
          <w:color w:val="2E75B6"/>
        </w:rPr>
        <w:t>Notă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pentru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România</w:t>
      </w:r>
      <w:proofErr w:type="spellEnd"/>
      <w:r>
        <w:rPr>
          <w:b/>
          <w:bCs/>
          <w:color w:val="2E75B6"/>
        </w:rPr>
        <w:t xml:space="preserve">: </w:t>
      </w:r>
      <w:r>
        <w:t xml:space="preserve">Ca stat </w:t>
      </w:r>
      <w:proofErr w:type="spellStart"/>
      <w:r>
        <w:t>membru</w:t>
      </w:r>
      <w:proofErr w:type="spellEnd"/>
      <w:r>
        <w:t xml:space="preserve"> UE,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acordurile</w:t>
      </w:r>
      <w:proofErr w:type="spellEnd"/>
      <w:r>
        <w:t xml:space="preserve"> MRA </w:t>
      </w:r>
      <w:proofErr w:type="spellStart"/>
      <w:r>
        <w:t>semnate</w:t>
      </w:r>
      <w:proofErr w:type="spellEnd"/>
      <w:r>
        <w:t xml:space="preserve"> de UE cu </w:t>
      </w:r>
      <w:proofErr w:type="spellStart"/>
      <w:r>
        <w:t>țări</w:t>
      </w:r>
      <w:proofErr w:type="spellEnd"/>
      <w:r>
        <w:t xml:space="preserve"> </w:t>
      </w:r>
      <w:proofErr w:type="spellStart"/>
      <w:r>
        <w:t>terțe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SUA, </w:t>
      </w:r>
      <w:proofErr w:type="spellStart"/>
      <w:r>
        <w:t>Japonia</w:t>
      </w:r>
      <w:proofErr w:type="spellEnd"/>
      <w:r>
        <w:t xml:space="preserve">, China, </w:t>
      </w:r>
      <w:proofErr w:type="spellStart"/>
      <w:r>
        <w:t>Elveția</w:t>
      </w:r>
      <w:proofErr w:type="spellEnd"/>
      <w:r>
        <w:t xml:space="preserve">, </w:t>
      </w:r>
      <w:proofErr w:type="spellStart"/>
      <w:r>
        <w:t>Norvegia</w:t>
      </w:r>
      <w:proofErr w:type="spellEnd"/>
      <w:r>
        <w:t xml:space="preserve"> etc.).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un IMM </w:t>
      </w:r>
      <w:proofErr w:type="spellStart"/>
      <w:r>
        <w:t>românesc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AEO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automat </w:t>
      </w:r>
      <w:proofErr w:type="spellStart"/>
      <w:r>
        <w:t>recunoscut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jurisdicții</w:t>
      </w:r>
      <w:proofErr w:type="spellEnd"/>
      <w:r>
        <w:t>.</w:t>
      </w:r>
    </w:p>
    <w:p w14:paraId="72E7A7C4" w14:textId="77777777" w:rsidR="005F054D" w:rsidRDefault="00C97EE5" w:rsidP="00801FAF">
      <w:pPr>
        <w:pStyle w:val="Heading1"/>
        <w:jc w:val="both"/>
      </w:pPr>
      <w:r>
        <w:t xml:space="preserve">10. </w:t>
      </w:r>
      <w:proofErr w:type="spellStart"/>
      <w:r>
        <w:t>Recomandări</w:t>
      </w:r>
      <w:proofErr w:type="spellEnd"/>
      <w:r>
        <w:t xml:space="preserve"> practice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pași</w:t>
      </w:r>
      <w:proofErr w:type="spellEnd"/>
      <w:r>
        <w:t xml:space="preserve"> </w:t>
      </w:r>
      <w:proofErr w:type="spellStart"/>
      <w:r>
        <w:t>următori</w:t>
      </w:r>
      <w:proofErr w:type="spellEnd"/>
    </w:p>
    <w:p w14:paraId="3C1C0A2E" w14:textId="77777777" w:rsidR="005F054D" w:rsidRDefault="00C97EE5" w:rsidP="00801FAF">
      <w:pPr>
        <w:spacing w:after="100"/>
        <w:jc w:val="both"/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IMM-urile </w:t>
      </w:r>
      <w:proofErr w:type="spellStart"/>
      <w:r>
        <w:rPr>
          <w:b/>
          <w:bCs/>
        </w:rPr>
        <w:t>membre</w:t>
      </w:r>
      <w:proofErr w:type="spellEnd"/>
      <w:r>
        <w:rPr>
          <w:b/>
          <w:bCs/>
        </w:rPr>
        <w:t xml:space="preserve"> ale </w:t>
      </w:r>
      <w:proofErr w:type="spellStart"/>
      <w:r>
        <w:rPr>
          <w:b/>
          <w:bCs/>
        </w:rPr>
        <w:t>camerelor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județene</w:t>
      </w:r>
      <w:proofErr w:type="spellEnd"/>
      <w:r>
        <w:rPr>
          <w:b/>
          <w:bCs/>
        </w:rPr>
        <w:t>:</w:t>
      </w:r>
    </w:p>
    <w:p w14:paraId="1ABF69D8" w14:textId="77777777" w:rsidR="005F054D" w:rsidRDefault="00C97EE5" w:rsidP="00801FAF">
      <w:pPr>
        <w:pStyle w:val="ListParagraph"/>
        <w:numPr>
          <w:ilvl w:val="0"/>
          <w:numId w:val="4"/>
        </w:numPr>
        <w:spacing w:after="80"/>
        <w:jc w:val="both"/>
      </w:pPr>
      <w:proofErr w:type="spellStart"/>
      <w:r>
        <w:t>Informarea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AEO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beneficiile</w:t>
      </w:r>
      <w:proofErr w:type="spellEnd"/>
      <w:r>
        <w:t xml:space="preserve"> sale concrete (</w:t>
      </w:r>
      <w:proofErr w:type="spellStart"/>
      <w:r>
        <w:t>reduceri</w:t>
      </w:r>
      <w:proofErr w:type="spellEnd"/>
      <w:r>
        <w:t xml:space="preserve"> de </w:t>
      </w:r>
      <w:proofErr w:type="spellStart"/>
      <w:r>
        <w:t>costuri</w:t>
      </w:r>
      <w:proofErr w:type="spellEnd"/>
      <w:r>
        <w:t xml:space="preserve">, </w:t>
      </w:r>
      <w:proofErr w:type="spellStart"/>
      <w:r>
        <w:t>vămuire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,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piețe</w:t>
      </w:r>
      <w:proofErr w:type="spellEnd"/>
      <w:r>
        <w:t xml:space="preserve"> </w:t>
      </w:r>
      <w:proofErr w:type="spellStart"/>
      <w:r>
        <w:t>noi</w:t>
      </w:r>
      <w:proofErr w:type="spellEnd"/>
      <w:r>
        <w:t>)</w:t>
      </w:r>
    </w:p>
    <w:p w14:paraId="3C4C42DC" w14:textId="77777777" w:rsidR="005F054D" w:rsidRDefault="00C97EE5" w:rsidP="00801FAF">
      <w:pPr>
        <w:pStyle w:val="ListParagraph"/>
        <w:numPr>
          <w:ilvl w:val="0"/>
          <w:numId w:val="4"/>
        </w:numPr>
        <w:spacing w:after="80"/>
        <w:jc w:val="both"/>
      </w:pPr>
      <w:proofErr w:type="spellStart"/>
      <w:r>
        <w:t>Contactarea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Vamale </w:t>
      </w:r>
      <w:proofErr w:type="spellStart"/>
      <w:r>
        <w:t>Române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ghiduri</w:t>
      </w:r>
      <w:proofErr w:type="spellEnd"/>
      <w:r>
        <w:t xml:space="preserve"> de pre-</w:t>
      </w:r>
      <w:proofErr w:type="spellStart"/>
      <w:r>
        <w:t>evaluare</w:t>
      </w:r>
      <w:proofErr w:type="spellEnd"/>
    </w:p>
    <w:p w14:paraId="54ADBF06" w14:textId="77777777" w:rsidR="005F054D" w:rsidRDefault="00C97EE5" w:rsidP="00801FAF">
      <w:pPr>
        <w:pStyle w:val="ListParagraph"/>
        <w:numPr>
          <w:ilvl w:val="0"/>
          <w:numId w:val="4"/>
        </w:numPr>
        <w:spacing w:after="80"/>
        <w:jc w:val="both"/>
      </w:pPr>
      <w:proofErr w:type="spellStart"/>
      <w:r>
        <w:t>Utilizarea</w:t>
      </w:r>
      <w:proofErr w:type="spellEnd"/>
      <w:r>
        <w:t xml:space="preserve"> </w:t>
      </w:r>
      <w:proofErr w:type="spellStart"/>
      <w:r>
        <w:t>platformei</w:t>
      </w:r>
      <w:proofErr w:type="spellEnd"/>
      <w:r>
        <w:t xml:space="preserve"> </w:t>
      </w:r>
      <w:proofErr w:type="spellStart"/>
      <w:r>
        <w:t>iPASS</w:t>
      </w:r>
      <w:proofErr w:type="spellEnd"/>
      <w:r>
        <w:t xml:space="preserve"> (WCO) </w:t>
      </w:r>
      <w:proofErr w:type="spellStart"/>
      <w:r>
        <w:t>pentru</w:t>
      </w:r>
      <w:proofErr w:type="spellEnd"/>
      <w:r>
        <w:t xml:space="preserve"> auto-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pregătirii</w:t>
      </w:r>
      <w:proofErr w:type="spellEnd"/>
    </w:p>
    <w:p w14:paraId="28861F80" w14:textId="77777777" w:rsidR="005F054D" w:rsidRDefault="00C97EE5" w:rsidP="00801FAF">
      <w:pPr>
        <w:pStyle w:val="ListParagraph"/>
        <w:numPr>
          <w:ilvl w:val="0"/>
          <w:numId w:val="4"/>
        </w:numPr>
        <w:spacing w:after="80"/>
        <w:jc w:val="both"/>
      </w:pPr>
      <w:proofErr w:type="spellStart"/>
      <w:r>
        <w:lastRenderedPageBreak/>
        <w:t>Contactarea</w:t>
      </w:r>
      <w:proofErr w:type="spellEnd"/>
      <w:r>
        <w:t xml:space="preserve"> </w:t>
      </w:r>
      <w:proofErr w:type="spellStart"/>
      <w:r>
        <w:t>camerei</w:t>
      </w:r>
      <w:proofErr w:type="spellEnd"/>
      <w:r>
        <w:t xml:space="preserve"> de </w:t>
      </w:r>
      <w:proofErr w:type="spellStart"/>
      <w:r>
        <w:t>comerț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a ICC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orientare</w:t>
      </w:r>
      <w:proofErr w:type="spellEnd"/>
    </w:p>
    <w:p w14:paraId="3C732E91" w14:textId="77777777" w:rsidR="005F054D" w:rsidRDefault="00C97EE5" w:rsidP="00801FAF">
      <w:pPr>
        <w:pStyle w:val="ListParagraph"/>
        <w:numPr>
          <w:ilvl w:val="0"/>
          <w:numId w:val="4"/>
        </w:numPr>
        <w:spacing w:after="80"/>
        <w:jc w:val="both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costul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 xml:space="preserve"> al </w:t>
      </w:r>
      <w:proofErr w:type="spellStart"/>
      <w:r>
        <w:t>certificării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justificat</w:t>
      </w:r>
      <w:proofErr w:type="spellEnd"/>
      <w:r>
        <w:t xml:space="preserve"> de </w:t>
      </w:r>
      <w:proofErr w:type="spellStart"/>
      <w:r>
        <w:t>beneficiile</w:t>
      </w:r>
      <w:proofErr w:type="spellEnd"/>
      <w:r>
        <w:t xml:space="preserve"> pe termen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lung – </w:t>
      </w:r>
      <w:proofErr w:type="spellStart"/>
      <w:r>
        <w:t>datele</w:t>
      </w:r>
      <w:proofErr w:type="spellEnd"/>
      <w:r>
        <w:t xml:space="preserve"> din Africa de Sud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Franța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randamente</w:t>
      </w:r>
      <w:proofErr w:type="spellEnd"/>
      <w:r>
        <w:t xml:space="preserve"> </w:t>
      </w:r>
      <w:proofErr w:type="spellStart"/>
      <w:r>
        <w:t>semnificative</w:t>
      </w:r>
      <w:proofErr w:type="spellEnd"/>
    </w:p>
    <w:p w14:paraId="29CE4BF1" w14:textId="77777777" w:rsidR="005F054D" w:rsidRDefault="00C97EE5" w:rsidP="00801FAF">
      <w:pPr>
        <w:pStyle w:val="Heading1"/>
        <w:jc w:val="both"/>
      </w:pPr>
      <w:r>
        <w:t xml:space="preserve">11. </w:t>
      </w:r>
      <w:proofErr w:type="spellStart"/>
      <w:r>
        <w:t>Lecțiile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din webinar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5F054D" w14:paraId="322A3C7A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428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4192A" w14:textId="77777777" w:rsidR="005F054D" w:rsidRDefault="00C97EE5" w:rsidP="00801FAF">
            <w:pPr>
              <w:jc w:val="both"/>
            </w:pPr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 xml:space="preserve">Design </w:t>
            </w: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centrat</w:t>
            </w:r>
            <w:proofErr w:type="spellEnd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utilizator</w:t>
            </w:r>
            <w:proofErr w:type="spellEnd"/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428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65E70" w14:textId="77777777" w:rsidR="005F054D" w:rsidRDefault="00C97EE5" w:rsidP="00801FAF">
            <w:pPr>
              <w:jc w:val="both"/>
            </w:pP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Parteneriat</w:t>
            </w:r>
            <w:proofErr w:type="spellEnd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pentru</w:t>
            </w:r>
            <w:proofErr w:type="spellEnd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succes</w:t>
            </w:r>
            <w:proofErr w:type="spellEnd"/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428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1C408" w14:textId="77777777" w:rsidR="005F054D" w:rsidRDefault="00C97EE5" w:rsidP="00801FAF">
            <w:pPr>
              <w:jc w:val="both"/>
            </w:pP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Standarde</w:t>
            </w:r>
            <w:proofErr w:type="spellEnd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ridicate</w:t>
            </w:r>
            <w:proofErr w:type="spellEnd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bariere</w:t>
            </w:r>
            <w:proofErr w:type="spellEnd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b/>
                <w:bCs/>
                <w:color w:val="FFFFFF"/>
                <w:sz w:val="20"/>
                <w:szCs w:val="20"/>
              </w:rPr>
              <w:t>coborâte</w:t>
            </w:r>
            <w:proofErr w:type="spellEnd"/>
          </w:p>
        </w:tc>
      </w:tr>
      <w:tr w:rsidR="005F054D" w14:paraId="7A700F98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ED86F" w14:textId="77777777" w:rsidR="005F054D" w:rsidRDefault="00C97EE5" w:rsidP="00801FAF">
            <w:pPr>
              <w:jc w:val="both"/>
            </w:pPr>
            <w:proofErr w:type="spellStart"/>
            <w:r>
              <w:rPr>
                <w:sz w:val="20"/>
                <w:szCs w:val="20"/>
              </w:rPr>
              <w:t>Cuantificarea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impactului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demonstrarea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valorii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dovezi</w:t>
            </w:r>
            <w:proofErr w:type="spellEnd"/>
            <w:r>
              <w:rPr>
                <w:sz w:val="20"/>
                <w:szCs w:val="20"/>
              </w:rPr>
              <w:t xml:space="preserve"> concrete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1D212" w14:textId="77777777" w:rsidR="005F054D" w:rsidRDefault="00C97EE5" w:rsidP="00801FAF">
            <w:pPr>
              <w:jc w:val="both"/>
            </w:pPr>
            <w:proofErr w:type="spellStart"/>
            <w:r>
              <w:rPr>
                <w:sz w:val="20"/>
                <w:szCs w:val="20"/>
              </w:rPr>
              <w:t>Încrederea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construiește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implicare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parteneriatul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vama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esențial</w:t>
            </w:r>
            <w:proofErr w:type="spellEnd"/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4DBC5" w14:textId="77777777" w:rsidR="005F054D" w:rsidRDefault="00C97EE5" w:rsidP="00801FAF">
            <w:pPr>
              <w:jc w:val="both"/>
            </w:pPr>
            <w:proofErr w:type="spellStart"/>
            <w:r>
              <w:rPr>
                <w:sz w:val="20"/>
                <w:szCs w:val="20"/>
              </w:rPr>
              <w:t>Accelerarea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digitalizării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automatizării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procese</w:t>
            </w:r>
            <w:proofErr w:type="spellEnd"/>
            <w:r>
              <w:rPr>
                <w:sz w:val="20"/>
                <w:szCs w:val="20"/>
              </w:rPr>
              <w:t xml:space="preserve"> mobile-friendly, screening </w:t>
            </w:r>
            <w:proofErr w:type="spellStart"/>
            <w:r>
              <w:rPr>
                <w:sz w:val="20"/>
                <w:szCs w:val="20"/>
              </w:rPr>
              <w:t>bazat</w:t>
            </w:r>
            <w:proofErr w:type="spellEnd"/>
            <w:r>
              <w:rPr>
                <w:sz w:val="20"/>
                <w:szCs w:val="20"/>
              </w:rPr>
              <w:t xml:space="preserve"> pe date</w:t>
            </w:r>
          </w:p>
        </w:tc>
      </w:tr>
    </w:tbl>
    <w:p w14:paraId="3813442A" w14:textId="77777777" w:rsidR="005F054D" w:rsidRDefault="005F054D" w:rsidP="00801FAF">
      <w:pPr>
        <w:spacing w:after="80"/>
        <w:jc w:val="both"/>
      </w:pPr>
    </w:p>
    <w:p w14:paraId="562AC22B" w14:textId="77777777" w:rsidR="005F054D" w:rsidRDefault="00C97EE5" w:rsidP="00801FAF">
      <w:pPr>
        <w:spacing w:after="200"/>
        <w:jc w:val="both"/>
      </w:pPr>
      <w:proofErr w:type="spellStart"/>
      <w:r>
        <w:rPr>
          <w:b/>
          <w:bCs/>
          <w:color w:val="15428B"/>
        </w:rPr>
        <w:t>Mesajul</w:t>
      </w:r>
      <w:proofErr w:type="spellEnd"/>
      <w:r>
        <w:rPr>
          <w:b/>
          <w:bCs/>
          <w:color w:val="15428B"/>
        </w:rPr>
        <w:t xml:space="preserve"> central: </w:t>
      </w:r>
      <w:r>
        <w:t xml:space="preserve">"Lower barriers – not standards. Trade faster, safer, cheaper – together." </w:t>
      </w:r>
      <w:proofErr w:type="spellStart"/>
      <w:r>
        <w:t>Standardele</w:t>
      </w:r>
      <w:proofErr w:type="spellEnd"/>
      <w:r>
        <w:t xml:space="preserve">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diluate</w:t>
      </w:r>
      <w:proofErr w:type="spellEnd"/>
      <w:r>
        <w:t xml:space="preserve">, ci </w:t>
      </w:r>
      <w:proofErr w:type="spellStart"/>
      <w:r>
        <w:t>modalitățile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lor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fi </w:t>
      </w:r>
      <w:proofErr w:type="spellStart"/>
      <w:r>
        <w:t>accesibile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>.</w:t>
      </w:r>
    </w:p>
    <w:p w14:paraId="4167CD54" w14:textId="77777777" w:rsidR="005F054D" w:rsidRDefault="00C97EE5" w:rsidP="00801FAF">
      <w:pPr>
        <w:pStyle w:val="Heading1"/>
        <w:jc w:val="both"/>
      </w:pPr>
      <w:r>
        <w:t xml:space="preserve">12. Lista </w:t>
      </w:r>
      <w:proofErr w:type="spellStart"/>
      <w:r>
        <w:t>vorbitorilor</w:t>
      </w:r>
      <w:proofErr w:type="spellEnd"/>
    </w:p>
    <w:p w14:paraId="463CE3F6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rPr>
          <w:b/>
          <w:bCs/>
        </w:rPr>
        <w:t>Lazzat Daniyarova</w:t>
      </w:r>
      <w:r>
        <w:t xml:space="preserve"> – WCO/OMD – </w:t>
      </w:r>
      <w:proofErr w:type="spellStart"/>
      <w:r>
        <w:t>Organizația</w:t>
      </w:r>
      <w:proofErr w:type="spellEnd"/>
      <w:r>
        <w:t xml:space="preserve"> </w:t>
      </w:r>
      <w:proofErr w:type="spellStart"/>
      <w:r>
        <w:t>Mondială</w:t>
      </w:r>
      <w:proofErr w:type="spellEnd"/>
      <w:r>
        <w:t xml:space="preserve"> a </w:t>
      </w:r>
      <w:proofErr w:type="spellStart"/>
      <w:r>
        <w:t>Vămilor</w:t>
      </w:r>
      <w:proofErr w:type="spellEnd"/>
    </w:p>
    <w:p w14:paraId="2902230B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rPr>
          <w:b/>
          <w:bCs/>
        </w:rPr>
        <w:t>Onias</w:t>
      </w:r>
      <w:proofErr w:type="spellEnd"/>
      <w:r>
        <w:rPr>
          <w:b/>
          <w:bCs/>
        </w:rPr>
        <w:t xml:space="preserve"> Madikane</w:t>
      </w:r>
      <w:r>
        <w:t xml:space="preserve"> – WCO/OMD –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AEO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comun</w:t>
      </w:r>
      <w:proofErr w:type="spellEnd"/>
    </w:p>
    <w:p w14:paraId="52072C32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proofErr w:type="spellStart"/>
      <w:r>
        <w:rPr>
          <w:b/>
          <w:bCs/>
        </w:rPr>
        <w:t>Reprezentant</w:t>
      </w:r>
      <w:proofErr w:type="spellEnd"/>
      <w:r>
        <w:rPr>
          <w:b/>
          <w:bCs/>
        </w:rPr>
        <w:t xml:space="preserve"> SARS</w:t>
      </w:r>
      <w:r>
        <w:t xml:space="preserve"> – Serviciul Fiscal din Africa de Sud –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 </w:t>
      </w:r>
      <w:proofErr w:type="spellStart"/>
      <w:r>
        <w:t>implementare</w:t>
      </w:r>
      <w:proofErr w:type="spellEnd"/>
      <w:r>
        <w:t xml:space="preserve"> AEO </w:t>
      </w:r>
      <w:proofErr w:type="spellStart"/>
      <w:r>
        <w:t>inclusiv</w:t>
      </w:r>
      <w:proofErr w:type="spellEnd"/>
    </w:p>
    <w:p w14:paraId="783753C6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rPr>
          <w:b/>
          <w:bCs/>
        </w:rPr>
        <w:t>Kathryn Lundquist</w:t>
      </w:r>
      <w:r>
        <w:t xml:space="preserve"> – WTO/OMC –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Facilitare</w:t>
      </w:r>
      <w:proofErr w:type="spellEnd"/>
      <w:r>
        <w:t xml:space="preserve"> a </w:t>
      </w:r>
      <w:proofErr w:type="spellStart"/>
      <w:r>
        <w:t>Comerțului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IMM-</w:t>
      </w:r>
      <w:proofErr w:type="spellStart"/>
      <w:r>
        <w:t>uri</w:t>
      </w:r>
      <w:proofErr w:type="spellEnd"/>
    </w:p>
    <w:p w14:paraId="7D95DC6B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rPr>
          <w:b/>
          <w:bCs/>
        </w:rPr>
        <w:t>Paula Baena</w:t>
      </w:r>
      <w:r>
        <w:t xml:space="preserve"> – ICC Paris – Cum pot IMM-urile </w:t>
      </w:r>
      <w:proofErr w:type="spellStart"/>
      <w:r>
        <w:t>accesa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AEO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european</w:t>
      </w:r>
      <w:proofErr w:type="spellEnd"/>
    </w:p>
    <w:p w14:paraId="7936010F" w14:textId="77777777" w:rsidR="005F054D" w:rsidRDefault="00C97EE5" w:rsidP="00801FAF">
      <w:pPr>
        <w:pStyle w:val="ListParagraph"/>
        <w:numPr>
          <w:ilvl w:val="0"/>
          <w:numId w:val="2"/>
        </w:numPr>
        <w:spacing w:after="60"/>
        <w:jc w:val="both"/>
      </w:pPr>
      <w:r>
        <w:rPr>
          <w:b/>
          <w:bCs/>
        </w:rPr>
        <w:t>Bruno Bouygues</w:t>
      </w:r>
      <w:r>
        <w:t xml:space="preserve"> – GYS (</w:t>
      </w:r>
      <w:proofErr w:type="spellStart"/>
      <w:r>
        <w:t>Franța</w:t>
      </w:r>
      <w:proofErr w:type="spellEnd"/>
      <w:r>
        <w:t xml:space="preserve">) –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exportator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AEO</w:t>
      </w:r>
    </w:p>
    <w:sectPr w:rsidR="005F054D" w:rsidSect="005F054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1E36" w14:textId="77777777" w:rsidR="00A66E30" w:rsidRDefault="00A66E30" w:rsidP="005F054D">
      <w:r>
        <w:separator/>
      </w:r>
    </w:p>
  </w:endnote>
  <w:endnote w:type="continuationSeparator" w:id="0">
    <w:p w14:paraId="4B945A38" w14:textId="77777777" w:rsidR="00A66E30" w:rsidRDefault="00A66E30" w:rsidP="005F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6CF9" w14:textId="77777777" w:rsidR="005F054D" w:rsidRDefault="00C97EE5">
    <w:pPr>
      <w:pBdr>
        <w:top w:val="single" w:sz="1" w:space="4" w:color="CCCCCC"/>
      </w:pBdr>
      <w:jc w:val="center"/>
    </w:pPr>
    <w:proofErr w:type="spellStart"/>
    <w:r>
      <w:rPr>
        <w:color w:val="999999"/>
        <w:sz w:val="16"/>
        <w:szCs w:val="16"/>
      </w:rPr>
      <w:t>Confidențial</w:t>
    </w:r>
    <w:proofErr w:type="spellEnd"/>
    <w:r>
      <w:rPr>
        <w:color w:val="999999"/>
        <w:sz w:val="16"/>
        <w:szCs w:val="16"/>
      </w:rPr>
      <w:t xml:space="preserve"> –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2C4A" w14:textId="77777777" w:rsidR="00A66E30" w:rsidRDefault="00A66E30" w:rsidP="005F054D">
      <w:r>
        <w:separator/>
      </w:r>
    </w:p>
  </w:footnote>
  <w:footnote w:type="continuationSeparator" w:id="0">
    <w:p w14:paraId="2D02133A" w14:textId="77777777" w:rsidR="00A66E30" w:rsidRDefault="00A66E30" w:rsidP="005F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AC32" w14:textId="77777777" w:rsidR="005F054D" w:rsidRDefault="00C97EE5">
    <w:pPr>
      <w:jc w:val="right"/>
    </w:pPr>
    <w:proofErr w:type="spellStart"/>
    <w:r>
      <w:rPr>
        <w:i/>
        <w:iCs/>
        <w:color w:val="999999"/>
        <w:sz w:val="16"/>
        <w:szCs w:val="16"/>
      </w:rPr>
      <w:t>Rezumat</w:t>
    </w:r>
    <w:proofErr w:type="spellEnd"/>
    <w:r>
      <w:rPr>
        <w:i/>
        <w:iCs/>
        <w:color w:val="999999"/>
        <w:sz w:val="16"/>
        <w:szCs w:val="16"/>
      </w:rPr>
      <w:t xml:space="preserve"> Webinar ICC – AEO </w:t>
    </w:r>
    <w:proofErr w:type="spellStart"/>
    <w:r>
      <w:rPr>
        <w:i/>
        <w:iCs/>
        <w:color w:val="999999"/>
        <w:sz w:val="16"/>
        <w:szCs w:val="16"/>
      </w:rPr>
      <w:t>pentru</w:t>
    </w:r>
    <w:proofErr w:type="spellEnd"/>
    <w:r>
      <w:rPr>
        <w:i/>
        <w:iCs/>
        <w:color w:val="999999"/>
        <w:sz w:val="16"/>
        <w:szCs w:val="16"/>
      </w:rPr>
      <w:t xml:space="preserve"> IMM-</w:t>
    </w:r>
    <w:proofErr w:type="spellStart"/>
    <w:r>
      <w:rPr>
        <w:i/>
        <w:iCs/>
        <w:color w:val="999999"/>
        <w:sz w:val="16"/>
        <w:szCs w:val="16"/>
      </w:rPr>
      <w:t>uri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6779"/>
    <w:multiLevelType w:val="hybridMultilevel"/>
    <w:tmpl w:val="5130F222"/>
    <w:lvl w:ilvl="0" w:tplc="BC2A3CF4">
      <w:start w:val="1"/>
      <w:numFmt w:val="bullet"/>
      <w:lvlText w:val="●"/>
      <w:lvlJc w:val="left"/>
      <w:pPr>
        <w:ind w:left="720" w:hanging="360"/>
      </w:pPr>
    </w:lvl>
    <w:lvl w:ilvl="1" w:tplc="BCC2E52A">
      <w:start w:val="1"/>
      <w:numFmt w:val="bullet"/>
      <w:lvlText w:val="○"/>
      <w:lvlJc w:val="left"/>
      <w:pPr>
        <w:ind w:left="1440" w:hanging="360"/>
      </w:pPr>
    </w:lvl>
    <w:lvl w:ilvl="2" w:tplc="2722A70A">
      <w:start w:val="1"/>
      <w:numFmt w:val="bullet"/>
      <w:lvlText w:val="■"/>
      <w:lvlJc w:val="left"/>
      <w:pPr>
        <w:ind w:left="2160" w:hanging="360"/>
      </w:pPr>
    </w:lvl>
    <w:lvl w:ilvl="3" w:tplc="AE3EEB4A">
      <w:start w:val="1"/>
      <w:numFmt w:val="bullet"/>
      <w:lvlText w:val="●"/>
      <w:lvlJc w:val="left"/>
      <w:pPr>
        <w:ind w:left="2880" w:hanging="360"/>
      </w:pPr>
    </w:lvl>
    <w:lvl w:ilvl="4" w:tplc="1B7E2D74">
      <w:start w:val="1"/>
      <w:numFmt w:val="bullet"/>
      <w:lvlText w:val="○"/>
      <w:lvlJc w:val="left"/>
      <w:pPr>
        <w:ind w:left="3600" w:hanging="360"/>
      </w:pPr>
    </w:lvl>
    <w:lvl w:ilvl="5" w:tplc="05E0E5B8">
      <w:start w:val="1"/>
      <w:numFmt w:val="bullet"/>
      <w:lvlText w:val="■"/>
      <w:lvlJc w:val="left"/>
      <w:pPr>
        <w:ind w:left="4320" w:hanging="360"/>
      </w:pPr>
    </w:lvl>
    <w:lvl w:ilvl="6" w:tplc="784206E6">
      <w:start w:val="1"/>
      <w:numFmt w:val="bullet"/>
      <w:lvlText w:val="●"/>
      <w:lvlJc w:val="left"/>
      <w:pPr>
        <w:ind w:left="5040" w:hanging="360"/>
      </w:pPr>
    </w:lvl>
    <w:lvl w:ilvl="7" w:tplc="1750BF3C">
      <w:start w:val="1"/>
      <w:numFmt w:val="bullet"/>
      <w:lvlText w:val="●"/>
      <w:lvlJc w:val="left"/>
      <w:pPr>
        <w:ind w:left="5760" w:hanging="360"/>
      </w:pPr>
    </w:lvl>
    <w:lvl w:ilvl="8" w:tplc="DE8652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F255F0B"/>
    <w:multiLevelType w:val="hybridMultilevel"/>
    <w:tmpl w:val="F3FA6C34"/>
    <w:lvl w:ilvl="0" w:tplc="94449276">
      <w:start w:val="1"/>
      <w:numFmt w:val="bullet"/>
      <w:lvlText w:val="–"/>
      <w:lvlJc w:val="left"/>
      <w:pPr>
        <w:ind w:left="1080" w:hanging="360"/>
      </w:pPr>
    </w:lvl>
    <w:lvl w:ilvl="1" w:tplc="4A0E6594">
      <w:numFmt w:val="decimal"/>
      <w:lvlText w:val=""/>
      <w:lvlJc w:val="left"/>
    </w:lvl>
    <w:lvl w:ilvl="2" w:tplc="529CB330">
      <w:numFmt w:val="decimal"/>
      <w:lvlText w:val=""/>
      <w:lvlJc w:val="left"/>
    </w:lvl>
    <w:lvl w:ilvl="3" w:tplc="A59CD284">
      <w:numFmt w:val="decimal"/>
      <w:lvlText w:val=""/>
      <w:lvlJc w:val="left"/>
    </w:lvl>
    <w:lvl w:ilvl="4" w:tplc="C5E68FF2">
      <w:numFmt w:val="decimal"/>
      <w:lvlText w:val=""/>
      <w:lvlJc w:val="left"/>
    </w:lvl>
    <w:lvl w:ilvl="5" w:tplc="DC5EBE9E">
      <w:numFmt w:val="decimal"/>
      <w:lvlText w:val=""/>
      <w:lvlJc w:val="left"/>
    </w:lvl>
    <w:lvl w:ilvl="6" w:tplc="6E22734E">
      <w:numFmt w:val="decimal"/>
      <w:lvlText w:val=""/>
      <w:lvlJc w:val="left"/>
    </w:lvl>
    <w:lvl w:ilvl="7" w:tplc="ED988970">
      <w:numFmt w:val="decimal"/>
      <w:lvlText w:val=""/>
      <w:lvlJc w:val="left"/>
    </w:lvl>
    <w:lvl w:ilvl="8" w:tplc="2F2ABD1E">
      <w:numFmt w:val="decimal"/>
      <w:lvlText w:val=""/>
      <w:lvlJc w:val="left"/>
    </w:lvl>
  </w:abstractNum>
  <w:abstractNum w:abstractNumId="2" w15:restartNumberingAfterBreak="0">
    <w:nsid w:val="5F837C73"/>
    <w:multiLevelType w:val="hybridMultilevel"/>
    <w:tmpl w:val="565A0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F3166"/>
    <w:multiLevelType w:val="hybridMultilevel"/>
    <w:tmpl w:val="8760F88E"/>
    <w:lvl w:ilvl="0" w:tplc="144E3EB4">
      <w:start w:val="1"/>
      <w:numFmt w:val="decimal"/>
      <w:lvlText w:val="%1."/>
      <w:lvlJc w:val="left"/>
      <w:pPr>
        <w:ind w:left="720" w:hanging="360"/>
      </w:pPr>
    </w:lvl>
    <w:lvl w:ilvl="1" w:tplc="11A2FB20">
      <w:numFmt w:val="decimal"/>
      <w:lvlText w:val=""/>
      <w:lvlJc w:val="left"/>
    </w:lvl>
    <w:lvl w:ilvl="2" w:tplc="B8BED0E6">
      <w:numFmt w:val="decimal"/>
      <w:lvlText w:val=""/>
      <w:lvlJc w:val="left"/>
    </w:lvl>
    <w:lvl w:ilvl="3" w:tplc="B0C05B16">
      <w:numFmt w:val="decimal"/>
      <w:lvlText w:val=""/>
      <w:lvlJc w:val="left"/>
    </w:lvl>
    <w:lvl w:ilvl="4" w:tplc="ADAC2232">
      <w:numFmt w:val="decimal"/>
      <w:lvlText w:val=""/>
      <w:lvlJc w:val="left"/>
    </w:lvl>
    <w:lvl w:ilvl="5" w:tplc="3A44C682">
      <w:numFmt w:val="decimal"/>
      <w:lvlText w:val=""/>
      <w:lvlJc w:val="left"/>
    </w:lvl>
    <w:lvl w:ilvl="6" w:tplc="FA2CF226">
      <w:numFmt w:val="decimal"/>
      <w:lvlText w:val=""/>
      <w:lvlJc w:val="left"/>
    </w:lvl>
    <w:lvl w:ilvl="7" w:tplc="598E08EA">
      <w:numFmt w:val="decimal"/>
      <w:lvlText w:val=""/>
      <w:lvlJc w:val="left"/>
    </w:lvl>
    <w:lvl w:ilvl="8" w:tplc="509A91BC">
      <w:numFmt w:val="decimal"/>
      <w:lvlText w:val=""/>
      <w:lvlJc w:val="left"/>
    </w:lvl>
  </w:abstractNum>
  <w:abstractNum w:abstractNumId="4" w15:restartNumberingAfterBreak="0">
    <w:nsid w:val="718F508C"/>
    <w:multiLevelType w:val="hybridMultilevel"/>
    <w:tmpl w:val="B64041C4"/>
    <w:lvl w:ilvl="0" w:tplc="53A69D92">
      <w:start w:val="1"/>
      <w:numFmt w:val="bullet"/>
      <w:lvlText w:val="•"/>
      <w:lvlJc w:val="left"/>
      <w:pPr>
        <w:ind w:left="720" w:hanging="360"/>
      </w:pPr>
    </w:lvl>
    <w:lvl w:ilvl="1" w:tplc="5220F8C2">
      <w:numFmt w:val="decimal"/>
      <w:lvlText w:val=""/>
      <w:lvlJc w:val="left"/>
    </w:lvl>
    <w:lvl w:ilvl="2" w:tplc="BB3C7454">
      <w:numFmt w:val="decimal"/>
      <w:lvlText w:val=""/>
      <w:lvlJc w:val="left"/>
    </w:lvl>
    <w:lvl w:ilvl="3" w:tplc="1D3E2164">
      <w:numFmt w:val="decimal"/>
      <w:lvlText w:val=""/>
      <w:lvlJc w:val="left"/>
    </w:lvl>
    <w:lvl w:ilvl="4" w:tplc="5B007758">
      <w:numFmt w:val="decimal"/>
      <w:lvlText w:val=""/>
      <w:lvlJc w:val="left"/>
    </w:lvl>
    <w:lvl w:ilvl="5" w:tplc="D9320D8C">
      <w:numFmt w:val="decimal"/>
      <w:lvlText w:val=""/>
      <w:lvlJc w:val="left"/>
    </w:lvl>
    <w:lvl w:ilvl="6" w:tplc="33BE54DC">
      <w:numFmt w:val="decimal"/>
      <w:lvlText w:val=""/>
      <w:lvlJc w:val="left"/>
    </w:lvl>
    <w:lvl w:ilvl="7" w:tplc="08120926">
      <w:numFmt w:val="decimal"/>
      <w:lvlText w:val=""/>
      <w:lvlJc w:val="left"/>
    </w:lvl>
    <w:lvl w:ilvl="8" w:tplc="51AC92C0">
      <w:numFmt w:val="decimal"/>
      <w:lvlText w:val=""/>
      <w:lvlJc w:val="left"/>
    </w:lvl>
  </w:abstractNum>
  <w:num w:numId="1" w16cid:durableId="804543325">
    <w:abstractNumId w:val="0"/>
    <w:lvlOverride w:ilvl="0">
      <w:startOverride w:val="1"/>
    </w:lvlOverride>
  </w:num>
  <w:num w:numId="2" w16cid:durableId="421873975">
    <w:abstractNumId w:val="4"/>
    <w:lvlOverride w:ilvl="0">
      <w:startOverride w:val="1"/>
    </w:lvlOverride>
  </w:num>
  <w:num w:numId="3" w16cid:durableId="738668970">
    <w:abstractNumId w:val="3"/>
    <w:lvlOverride w:ilvl="0">
      <w:startOverride w:val="1"/>
    </w:lvlOverride>
  </w:num>
  <w:num w:numId="4" w16cid:durableId="71843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54D"/>
    <w:rsid w:val="005F054D"/>
    <w:rsid w:val="006F2BA8"/>
    <w:rsid w:val="007A72A4"/>
    <w:rsid w:val="00801FAF"/>
    <w:rsid w:val="00A66E30"/>
    <w:rsid w:val="00BD6689"/>
    <w:rsid w:val="00C97EE5"/>
    <w:rsid w:val="00CF4635"/>
    <w:rsid w:val="00D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8CF9"/>
  <w15:docId w15:val="{72464956-41D2-4DD2-BAD1-73B7A71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E1E1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rsid w:val="005F054D"/>
    <w:pPr>
      <w:spacing w:before="360" w:after="200"/>
      <w:outlineLvl w:val="0"/>
    </w:pPr>
    <w:rPr>
      <w:rFonts w:ascii="Nunito" w:eastAsia="Nunito" w:hAnsi="Nunito" w:cs="Nunito"/>
      <w:b/>
      <w:bCs/>
      <w:color w:val="15428B"/>
      <w:sz w:val="32"/>
      <w:szCs w:val="32"/>
    </w:rPr>
  </w:style>
  <w:style w:type="paragraph" w:styleId="Heading2">
    <w:name w:val="heading 2"/>
    <w:qFormat/>
    <w:rsid w:val="005F054D"/>
    <w:pPr>
      <w:spacing w:before="240" w:after="120"/>
      <w:outlineLvl w:val="1"/>
    </w:pPr>
    <w:rPr>
      <w:rFonts w:ascii="Nunito" w:eastAsia="Nunito" w:hAnsi="Nunito" w:cs="Nunito"/>
      <w:b/>
      <w:bCs/>
      <w:color w:val="15428B"/>
      <w:sz w:val="26"/>
      <w:szCs w:val="26"/>
    </w:rPr>
  </w:style>
  <w:style w:type="paragraph" w:styleId="Heading3">
    <w:name w:val="heading 3"/>
    <w:qFormat/>
    <w:rsid w:val="005F054D"/>
    <w:pPr>
      <w:spacing w:before="200" w:after="100"/>
      <w:outlineLvl w:val="2"/>
    </w:pPr>
    <w:rPr>
      <w:b/>
      <w:bCs/>
      <w:color w:val="2E75B6"/>
      <w:sz w:val="24"/>
      <w:szCs w:val="24"/>
    </w:rPr>
  </w:style>
  <w:style w:type="paragraph" w:styleId="Heading4">
    <w:name w:val="heading 4"/>
    <w:qFormat/>
    <w:rsid w:val="005F054D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5F054D"/>
    <w:pPr>
      <w:outlineLvl w:val="4"/>
    </w:pPr>
    <w:rPr>
      <w:color w:val="2E74B5"/>
    </w:rPr>
  </w:style>
  <w:style w:type="paragraph" w:styleId="Heading6">
    <w:name w:val="heading 6"/>
    <w:qFormat/>
    <w:rsid w:val="005F054D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5F054D"/>
    <w:rPr>
      <w:sz w:val="56"/>
      <w:szCs w:val="56"/>
    </w:rPr>
  </w:style>
  <w:style w:type="paragraph" w:customStyle="1" w:styleId="Strong1">
    <w:name w:val="Strong1"/>
    <w:qFormat/>
    <w:rsid w:val="005F054D"/>
    <w:rPr>
      <w:b/>
      <w:bCs/>
    </w:rPr>
  </w:style>
  <w:style w:type="paragraph" w:styleId="ListParagraph">
    <w:name w:val="List Paragraph"/>
    <w:qFormat/>
    <w:rsid w:val="005F054D"/>
  </w:style>
  <w:style w:type="character" w:styleId="Hyperlink">
    <w:name w:val="Hyperlink"/>
    <w:uiPriority w:val="99"/>
    <w:unhideWhenUsed/>
    <w:rsid w:val="005F054D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5F054D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5F054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5F054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5F054D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5F05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5F05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Oana Alexe</cp:lastModifiedBy>
  <cp:revision>6</cp:revision>
  <dcterms:created xsi:type="dcterms:W3CDTF">2026-04-22T13:11:00Z</dcterms:created>
  <dcterms:modified xsi:type="dcterms:W3CDTF">2026-04-29T06:29:00Z</dcterms:modified>
</cp:coreProperties>
</file>