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071" w14:textId="77777777" w:rsidR="00EB1E18" w:rsidRPr="00EB1E18" w:rsidRDefault="00EB1E18" w:rsidP="007129C5">
      <w:pPr>
        <w:spacing w:before="120" w:after="120" w:line="240" w:lineRule="auto"/>
        <w:jc w:val="both"/>
        <w:rPr>
          <w:rFonts w:ascii="Trebuchet MS" w:eastAsia="Calibri" w:hAnsi="Trebuchet MS" w:cs="Calibri"/>
          <w:color w:val="000000"/>
          <w:sz w:val="22"/>
          <w:szCs w:val="22"/>
          <w:lang w:val="ro-RO"/>
        </w:rPr>
      </w:pPr>
    </w:p>
    <w:p w14:paraId="1D46018C" w14:textId="77777777" w:rsidR="00C13E38" w:rsidRDefault="00C13E38" w:rsidP="007129C5">
      <w:pPr>
        <w:spacing w:before="120" w:after="120" w:line="240" w:lineRule="auto"/>
        <w:rPr>
          <w:rFonts w:ascii="Trebuchet MS" w:eastAsia="Calibri" w:hAnsi="Trebuchet MS" w:cs="Calibri"/>
          <w:b/>
          <w:color w:val="000000"/>
          <w:sz w:val="22"/>
          <w:szCs w:val="22"/>
          <w:lang w:val="ro-RO"/>
        </w:rPr>
      </w:pPr>
      <w:bookmarkStart w:id="0" w:name="_Toc220569057"/>
      <w:bookmarkStart w:id="1" w:name="_Toc220569242"/>
    </w:p>
    <w:p w14:paraId="52A34154" w14:textId="1D1525B0" w:rsidR="00EB1E18" w:rsidRPr="00C13E38" w:rsidRDefault="00EB1E18" w:rsidP="007129C5">
      <w:pPr>
        <w:spacing w:before="120" w:after="120" w:line="240" w:lineRule="auto"/>
        <w:jc w:val="right"/>
        <w:rPr>
          <w:rFonts w:ascii="Trebuchet MS" w:eastAsia="Calibri" w:hAnsi="Trebuchet MS" w:cs="Calibri"/>
          <w:b/>
          <w:color w:val="000000"/>
          <w:sz w:val="22"/>
          <w:szCs w:val="22"/>
          <w:lang w:val="ro-RO"/>
        </w:rPr>
      </w:pPr>
      <w:r w:rsidRPr="00C13E38">
        <w:rPr>
          <w:rFonts w:ascii="Trebuchet MS" w:eastAsia="Calibri" w:hAnsi="Trebuchet MS" w:cs="Calibri"/>
          <w:b/>
          <w:color w:val="000000"/>
          <w:sz w:val="22"/>
          <w:szCs w:val="22"/>
          <w:lang w:val="ro-RO"/>
        </w:rPr>
        <w:t xml:space="preserve">Anexa nr. </w:t>
      </w:r>
      <w:bookmarkEnd w:id="0"/>
      <w:bookmarkEnd w:id="1"/>
      <w:r w:rsidRPr="00C13E38">
        <w:rPr>
          <w:rFonts w:ascii="Trebuchet MS" w:eastAsia="Calibri" w:hAnsi="Trebuchet MS" w:cs="Calibri"/>
          <w:b/>
          <w:color w:val="000000"/>
          <w:sz w:val="22"/>
          <w:szCs w:val="22"/>
          <w:lang w:val="ro-RO"/>
        </w:rPr>
        <w:t>2</w:t>
      </w:r>
    </w:p>
    <w:p w14:paraId="0744D9DA" w14:textId="77777777" w:rsidR="00C13E38" w:rsidRDefault="00C13E38" w:rsidP="007129C5">
      <w:pPr>
        <w:spacing w:before="120" w:after="120" w:line="240" w:lineRule="auto"/>
        <w:jc w:val="center"/>
        <w:rPr>
          <w:rFonts w:ascii="Trebuchet MS" w:eastAsia="Calibri" w:hAnsi="Trebuchet MS" w:cs="Calibri"/>
          <w:b/>
          <w:bCs/>
          <w:color w:val="000000"/>
          <w:sz w:val="22"/>
          <w:szCs w:val="22"/>
          <w:lang w:val="ro-RO"/>
        </w:rPr>
      </w:pPr>
    </w:p>
    <w:p w14:paraId="23879DB2" w14:textId="1F5E7F42" w:rsidR="00EB1E18" w:rsidRDefault="00EB1E18" w:rsidP="007129C5">
      <w:pPr>
        <w:spacing w:before="120" w:after="120" w:line="240" w:lineRule="auto"/>
        <w:jc w:val="center"/>
        <w:rPr>
          <w:rFonts w:ascii="Trebuchet MS" w:eastAsia="Calibri" w:hAnsi="Trebuchet MS" w:cs="Calibri"/>
          <w:b/>
          <w:bCs/>
          <w:color w:val="000000"/>
          <w:sz w:val="22"/>
          <w:szCs w:val="22"/>
          <w:lang w:val="ro-RO"/>
        </w:rPr>
      </w:pPr>
      <w:r w:rsidRPr="00C13E38">
        <w:rPr>
          <w:rFonts w:ascii="Trebuchet MS" w:eastAsia="Calibri" w:hAnsi="Trebuchet MS" w:cs="Calibri"/>
          <w:b/>
          <w:bCs/>
          <w:color w:val="000000"/>
          <w:sz w:val="22"/>
          <w:szCs w:val="22"/>
          <w:lang w:val="ro-RO"/>
        </w:rPr>
        <w:t>CONVENȚIE DE PARTICIPARE</w:t>
      </w:r>
    </w:p>
    <w:p w14:paraId="263DE624" w14:textId="77777777" w:rsidR="00C13E38" w:rsidRPr="00C13E38" w:rsidRDefault="00C13E38" w:rsidP="007129C5">
      <w:pPr>
        <w:spacing w:before="120" w:after="120" w:line="240" w:lineRule="auto"/>
        <w:jc w:val="center"/>
        <w:rPr>
          <w:rFonts w:ascii="Trebuchet MS" w:eastAsia="Calibri" w:hAnsi="Trebuchet MS" w:cs="Calibri"/>
          <w:b/>
          <w:bCs/>
          <w:color w:val="000000"/>
          <w:sz w:val="22"/>
          <w:szCs w:val="22"/>
          <w:lang w:val="ro-RO"/>
        </w:rPr>
      </w:pPr>
    </w:p>
    <w:p w14:paraId="7BDA6F84" w14:textId="77777777" w:rsidR="00EB1E18" w:rsidRPr="002201B6" w:rsidRDefault="00EB1E18" w:rsidP="007129C5">
      <w:pPr>
        <w:pStyle w:val="ListParagraph"/>
        <w:numPr>
          <w:ilvl w:val="0"/>
          <w:numId w:val="32"/>
        </w:numPr>
        <w:spacing w:before="120" w:after="120" w:line="240" w:lineRule="auto"/>
        <w:ind w:left="0" w:firstLine="0"/>
        <w:contextualSpacing w:val="0"/>
        <w:rPr>
          <w:rFonts w:ascii="Trebuchet MS" w:eastAsia="Calibri" w:hAnsi="Trebuchet MS" w:cs="Calibri"/>
          <w:b/>
          <w:color w:val="000000"/>
          <w:sz w:val="22"/>
          <w:szCs w:val="22"/>
          <w:lang w:val="ro-RO"/>
        </w:rPr>
      </w:pPr>
      <w:r w:rsidRPr="002201B6">
        <w:rPr>
          <w:rFonts w:ascii="Trebuchet MS" w:eastAsia="Calibri" w:hAnsi="Trebuchet MS" w:cs="Calibri"/>
          <w:b/>
          <w:color w:val="000000"/>
          <w:sz w:val="22"/>
          <w:szCs w:val="22"/>
          <w:lang w:val="ro-RO"/>
        </w:rPr>
        <w:t>Părțile</w:t>
      </w:r>
    </w:p>
    <w:p w14:paraId="05F524C0" w14:textId="77777777" w:rsidR="00EB1E18" w:rsidRPr="00C13E38" w:rsidRDefault="00EB1E18" w:rsidP="007129C5">
      <w:pPr>
        <w:spacing w:before="120" w:after="120" w:line="240" w:lineRule="auto"/>
        <w:jc w:val="both"/>
        <w:rPr>
          <w:rFonts w:ascii="Trebuchet MS" w:eastAsia="Trebuchet MS" w:hAnsi="Trebuchet MS" w:cs="Trebuchet MS"/>
          <w:color w:val="000000"/>
          <w:sz w:val="22"/>
          <w:szCs w:val="22"/>
          <w:lang w:val="ro-RO"/>
        </w:rPr>
      </w:pPr>
      <w:r w:rsidRPr="00C13E38">
        <w:rPr>
          <w:rFonts w:ascii="Trebuchet MS" w:eastAsia="Trebuchet MS" w:hAnsi="Trebuchet MS" w:cs="Trebuchet MS"/>
          <w:b/>
          <w:bCs/>
          <w:color w:val="000000"/>
          <w:sz w:val="22"/>
          <w:szCs w:val="22"/>
          <w:lang w:val="ro-RO"/>
        </w:rPr>
        <w:t>Directoratul Național de Securitate Cibernetică</w:t>
      </w:r>
      <w:r w:rsidRPr="00C13E38">
        <w:rPr>
          <w:rFonts w:ascii="Trebuchet MS" w:eastAsia="Trebuchet MS" w:hAnsi="Trebuchet MS" w:cs="Trebuchet MS"/>
          <w:color w:val="000000"/>
          <w:sz w:val="22"/>
          <w:szCs w:val="22"/>
          <w:lang w:val="ro-RO"/>
        </w:rPr>
        <w:t xml:space="preserve"> (denumit în continuare „</w:t>
      </w:r>
      <w:r w:rsidRPr="00C13E38">
        <w:rPr>
          <w:rFonts w:ascii="Trebuchet MS" w:eastAsia="Trebuchet MS" w:hAnsi="Trebuchet MS" w:cs="Trebuchet MS"/>
          <w:i/>
          <w:iCs/>
          <w:color w:val="000000"/>
          <w:sz w:val="22"/>
          <w:szCs w:val="22"/>
          <w:lang w:val="ro-RO"/>
        </w:rPr>
        <w:t>DNSC</w:t>
      </w:r>
      <w:r w:rsidRPr="00C13E38">
        <w:rPr>
          <w:rFonts w:ascii="Trebuchet MS" w:eastAsia="Trebuchet MS" w:hAnsi="Trebuchet MS" w:cs="Trebuchet MS"/>
          <w:color w:val="000000"/>
          <w:sz w:val="22"/>
          <w:szCs w:val="22"/>
          <w:lang w:val="ro-RO"/>
        </w:rPr>
        <w:t xml:space="preserve">”) cu sediul în Municipiul București, Sectorul 2, str. Italiană, nr. 22, cod poștal 020976, telefon: (+40) 316-202.187, fax: (+40)316-202.190, e-mail: office@dnsc.ro, cod fiscal 28598894, cont având cod IBAN: RO79TREZ7025032XXX022779 deschis la Trezoreria Statului Sector 2, reprezentată legal prin domnul Dan CÎMPEAN în calitate de Director al </w:t>
      </w:r>
      <w:r w:rsidRPr="00C13E38">
        <w:rPr>
          <w:rFonts w:ascii="Trebuchet MS" w:eastAsia="Calibri" w:hAnsi="Trebuchet MS" w:cs="Calibri"/>
          <w:color w:val="000000"/>
          <w:sz w:val="22"/>
          <w:szCs w:val="22"/>
          <w:lang w:val="ro-RO"/>
        </w:rPr>
        <w:t>Directoratului Național de Securitate Cibernetică</w:t>
      </w:r>
      <w:r w:rsidRPr="00C13E38">
        <w:rPr>
          <w:rFonts w:ascii="Trebuchet MS" w:eastAsia="Trebuchet MS" w:hAnsi="Trebuchet MS" w:cs="Trebuchet MS"/>
          <w:color w:val="000000"/>
          <w:sz w:val="22"/>
          <w:szCs w:val="22"/>
          <w:lang w:val="ro-RO"/>
        </w:rPr>
        <w:t>/</w:t>
      </w:r>
      <w:r w:rsidRPr="00C13E38">
        <w:rPr>
          <w:rFonts w:ascii="Trebuchet MS" w:eastAsia="Calibri" w:hAnsi="Trebuchet MS" w:cs="Calibri"/>
          <w:color w:val="000000"/>
          <w:sz w:val="22"/>
          <w:szCs w:val="22"/>
          <w:lang w:val="ro-RO"/>
        </w:rPr>
        <w:t xml:space="preserve"> r</w:t>
      </w:r>
      <w:r w:rsidRPr="00C13E38">
        <w:rPr>
          <w:rFonts w:ascii="Trebuchet MS" w:eastAsia="Trebuchet MS" w:hAnsi="Trebuchet MS" w:cs="Trebuchet MS"/>
          <w:color w:val="000000"/>
          <w:sz w:val="22"/>
          <w:szCs w:val="22"/>
          <w:lang w:val="ro-RO"/>
        </w:rPr>
        <w:t>eprezentat convențional prin doamna Ionica ȘERBAN, în calitate de Manager de proiect, împuternicit prin decizia directorului DNSC nr. ____/____________,</w:t>
      </w:r>
    </w:p>
    <w:p w14:paraId="288F8EBA"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și</w:t>
      </w:r>
    </w:p>
    <w:p w14:paraId="26633928"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it-IT"/>
        </w:rPr>
        <w:t>_________________________________________________________, denumită în continuare „_____________”, cu sediul situat în ____________________________________________________ ___________________________________________________________________________________, telefon _____________, fax_________________, e-mail__________________, înregistrată la Registrul Comerțului sub nr. ________________ (dacă este cazul), având cod fiscal _______________, cont având cod IBAN ________________________________ deschis la _________________________, reprezentantă legal/convențional prin domnul/doamna________________________________________________, în calitate de Entitate participantă</w:t>
      </w:r>
    </w:p>
    <w:p w14:paraId="4794873A"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denumite individual „</w:t>
      </w:r>
      <w:r w:rsidRPr="00C13E38">
        <w:rPr>
          <w:rFonts w:ascii="Trebuchet MS" w:eastAsia="Calibri" w:hAnsi="Trebuchet MS" w:cs="Calibri"/>
          <w:i/>
          <w:iCs/>
          <w:color w:val="000000"/>
          <w:sz w:val="22"/>
          <w:szCs w:val="22"/>
          <w:lang w:val="ro-RO"/>
        </w:rPr>
        <w:t>Partea</w:t>
      </w:r>
      <w:r w:rsidRPr="00C13E38">
        <w:rPr>
          <w:rFonts w:ascii="Trebuchet MS" w:eastAsia="Calibri" w:hAnsi="Trebuchet MS" w:cs="Calibri"/>
          <w:color w:val="000000"/>
          <w:sz w:val="22"/>
          <w:szCs w:val="22"/>
          <w:lang w:val="ro-RO"/>
        </w:rPr>
        <w:t>” și în mod colectiv „</w:t>
      </w:r>
      <w:r w:rsidRPr="00C13E38">
        <w:rPr>
          <w:rFonts w:ascii="Trebuchet MS" w:eastAsia="Calibri" w:hAnsi="Trebuchet MS" w:cs="Calibri"/>
          <w:i/>
          <w:iCs/>
          <w:color w:val="000000"/>
          <w:sz w:val="22"/>
          <w:szCs w:val="22"/>
          <w:lang w:val="ro-RO"/>
        </w:rPr>
        <w:t>Părțile</w:t>
      </w:r>
      <w:r w:rsidRPr="00C13E38">
        <w:rPr>
          <w:rFonts w:ascii="Trebuchet MS" w:eastAsia="Calibri" w:hAnsi="Trebuchet MS" w:cs="Calibri"/>
          <w:color w:val="000000"/>
          <w:sz w:val="22"/>
          <w:szCs w:val="22"/>
          <w:lang w:val="ro-RO"/>
        </w:rPr>
        <w:t>”, au convenit încheierea prezentului document, denumit în continuare „</w:t>
      </w:r>
      <w:r w:rsidRPr="00C13E38">
        <w:rPr>
          <w:rFonts w:ascii="Trebuchet MS" w:eastAsia="Calibri" w:hAnsi="Trebuchet MS" w:cs="Calibri"/>
          <w:i/>
          <w:iCs/>
          <w:color w:val="000000"/>
          <w:sz w:val="22"/>
          <w:szCs w:val="22"/>
          <w:lang w:val="ro-RO"/>
        </w:rPr>
        <w:t>Convenție/a</w:t>
      </w:r>
      <w:r w:rsidRPr="00C13E38">
        <w:rPr>
          <w:rFonts w:ascii="Trebuchet MS" w:eastAsia="Calibri" w:hAnsi="Trebuchet MS" w:cs="Calibri"/>
          <w:color w:val="000000"/>
          <w:sz w:val="22"/>
          <w:szCs w:val="22"/>
          <w:lang w:val="ro-RO"/>
        </w:rPr>
        <w:t>”, în următoarele termene și condiții:</w:t>
      </w:r>
    </w:p>
    <w:p w14:paraId="281491CA"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Obiectul</w:t>
      </w:r>
    </w:p>
    <w:p w14:paraId="3829C46E" w14:textId="77777777" w:rsidR="00EB1E18" w:rsidRPr="00517DD1" w:rsidRDefault="00EB1E18" w:rsidP="007129C5">
      <w:pPr>
        <w:pStyle w:val="ListParagraph"/>
        <w:numPr>
          <w:ilvl w:val="0"/>
          <w:numId w:val="17"/>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ro-RO"/>
        </w:rPr>
        <w:t>Obiectul prezentei Convenții îl constituie participarea Entității participante la procesul standardizat de evaluare și colectare de date, precum și utilizarea toolkit-ului guvernamental pus la dispoziție de DNSC, în vederea fundamentării, calibrării, validării și utilizării instrumentelor dezvoltate în cadrul Măsurii 184, Investiția I15, Componenta C7 din PNRR.</w:t>
      </w:r>
    </w:p>
    <w:p w14:paraId="356185D4" w14:textId="77777777" w:rsidR="00EB1E18" w:rsidRPr="00517DD1" w:rsidRDefault="00EB1E18" w:rsidP="007129C5">
      <w:pPr>
        <w:pStyle w:val="ListParagraph"/>
        <w:numPr>
          <w:ilvl w:val="0"/>
          <w:numId w:val="1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it-IT"/>
        </w:rPr>
        <w:t>evaluării standardizate a nivelului de maturitate a securității cibernetice la nivelul organizației/entității participante, pe baza unei metodologii comune dezvoltate de DNSC, aliniată bunelor practici europene;</w:t>
      </w:r>
    </w:p>
    <w:p w14:paraId="7957F5FF" w14:textId="77777777" w:rsidR="00EB1E18" w:rsidRPr="00517DD1" w:rsidRDefault="00EB1E18" w:rsidP="007129C5">
      <w:pPr>
        <w:pStyle w:val="ListParagraph"/>
        <w:numPr>
          <w:ilvl w:val="0"/>
          <w:numId w:val="1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identificării automate a neconformităților în raport cu cerințele aplicabile, inclusiv cele derivate din Directiva (UE) 2022/2555 (NIS2) și legislația națională de transpunere;</w:t>
      </w:r>
    </w:p>
    <w:p w14:paraId="3E852BA0" w14:textId="77777777" w:rsidR="00EB1E18" w:rsidRPr="00517DD1" w:rsidRDefault="00EB1E18" w:rsidP="007129C5">
      <w:pPr>
        <w:pStyle w:val="ListParagraph"/>
        <w:numPr>
          <w:ilvl w:val="0"/>
          <w:numId w:val="1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it-IT"/>
        </w:rPr>
        <w:t>generării unor orientări, recomandări generale și repere de îmbunătățire, cu caracter informativ și suportiv, pe baza rezultatelor evaluării standardizate;</w:t>
      </w:r>
    </w:p>
    <w:p w14:paraId="15E779DC" w14:textId="77777777" w:rsidR="00EB1E18" w:rsidRPr="00517DD1" w:rsidRDefault="00EB1E18" w:rsidP="007129C5">
      <w:pPr>
        <w:pStyle w:val="ListParagraph"/>
        <w:numPr>
          <w:ilvl w:val="0"/>
          <w:numId w:val="1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it-IT"/>
        </w:rPr>
        <w:t>elaborării și furnizării unor rezultate/rapoarte standardizate de evaluare, destinate uzului intern al Entității participante și scopului proiectului, fără valoare de certificare, audit de conformitate sau consultanță individualizată;</w:t>
      </w:r>
    </w:p>
    <w:p w14:paraId="6C3AB381" w14:textId="77777777" w:rsidR="00EB1E18" w:rsidRPr="00517DD1" w:rsidRDefault="00EB1E18" w:rsidP="007129C5">
      <w:pPr>
        <w:pStyle w:val="ListParagraph"/>
        <w:numPr>
          <w:ilvl w:val="0"/>
          <w:numId w:val="1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it-IT"/>
        </w:rPr>
        <w:t>sprijinirii creșterii nivelului de pregătire și a competențelor personalului Entității participante în domeniul securității cibernetice, prin acces la resurse educaționale și instrumente standardizate de instruire.</w:t>
      </w:r>
    </w:p>
    <w:p w14:paraId="230539C0" w14:textId="77777777" w:rsidR="00EB1E18" w:rsidRPr="00517DD1" w:rsidRDefault="00EB1E18" w:rsidP="007129C5">
      <w:pPr>
        <w:pStyle w:val="ListParagraph"/>
        <w:numPr>
          <w:ilvl w:val="0"/>
          <w:numId w:val="17"/>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it-IT"/>
        </w:rPr>
        <w:t>Identificarea prevăzută la lit. b) de mai sus are caracter orientativ și se bazează exclusiv pe datele și informațiile furnizate de Entitatea participantă.</w:t>
      </w:r>
    </w:p>
    <w:p w14:paraId="1A854528" w14:textId="77777777" w:rsidR="00EB1E18" w:rsidRPr="00517DD1" w:rsidRDefault="00EB1E18" w:rsidP="007129C5">
      <w:pPr>
        <w:pStyle w:val="ListParagraph"/>
        <w:numPr>
          <w:ilvl w:val="0"/>
          <w:numId w:val="17"/>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it-IT"/>
        </w:rPr>
        <w:lastRenderedPageBreak/>
        <w:t>Orientările și recomandările prevăzute la lit. c) de mai sus au caracter general și recomandativ, iar responsabilitatea analizării, implementării și validării măsurilor aparține exclusiv Entității participante.</w:t>
      </w:r>
    </w:p>
    <w:p w14:paraId="05BAD12C" w14:textId="77777777" w:rsidR="00EB1E18" w:rsidRPr="00517DD1" w:rsidRDefault="00EB1E18" w:rsidP="007129C5">
      <w:pPr>
        <w:pStyle w:val="ListParagraph"/>
        <w:numPr>
          <w:ilvl w:val="0"/>
          <w:numId w:val="17"/>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Calibri"/>
          <w:color w:val="000000"/>
          <w:sz w:val="22"/>
          <w:szCs w:val="22"/>
          <w:lang w:val="it-IT"/>
        </w:rPr>
        <w:t>Rezultatele/rapoartele de evaluare prevăzute la lit. d) de mai sus sunt destinate uzului/suportului intern al Entității participante, nu au valoare de certificare, nu reprezintă audit de conformitate și nu asigură îndeplinirea obligațiilor prevăzute în Ordonanța de urgență a Guvernului nr. 155/2024 și a actelor normative subsecvente.</w:t>
      </w:r>
    </w:p>
    <w:p w14:paraId="6AF73CF4"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 xml:space="preserve">Durata </w:t>
      </w:r>
    </w:p>
    <w:p w14:paraId="29EA50C8"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it-IT"/>
        </w:rPr>
      </w:pPr>
      <w:r w:rsidRPr="00C13E38">
        <w:rPr>
          <w:rFonts w:ascii="Trebuchet MS" w:eastAsia="Calibri" w:hAnsi="Trebuchet MS" w:cs="Calibri"/>
          <w:color w:val="000000"/>
          <w:sz w:val="22"/>
          <w:szCs w:val="22"/>
          <w:lang w:val="it-IT"/>
        </w:rPr>
        <w:t>Prezenta Convenție intră în vigoare la data semnării de către ambele Părți și este valabilă până la finalizarea activităților aferente implementării Măsurii 184, Investiția I15, Componenta C7 din PNRR.</w:t>
      </w:r>
    </w:p>
    <w:p w14:paraId="1D29D11D"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 xml:space="preserve">Prețul </w:t>
      </w:r>
    </w:p>
    <w:p w14:paraId="684811CF" w14:textId="77777777" w:rsidR="00EB1E18" w:rsidRPr="00517DD1" w:rsidRDefault="00EB1E18" w:rsidP="007129C5">
      <w:pPr>
        <w:pStyle w:val="ListParagraph"/>
        <w:numPr>
          <w:ilvl w:val="0"/>
          <w:numId w:val="18"/>
        </w:numPr>
        <w:spacing w:before="120" w:after="120" w:line="240" w:lineRule="auto"/>
        <w:contextualSpacing w:val="0"/>
        <w:jc w:val="both"/>
        <w:rPr>
          <w:rFonts w:ascii="Trebuchet MS" w:eastAsia="Calibri" w:hAnsi="Trebuchet MS" w:cs="Calibri"/>
          <w:bCs/>
          <w:color w:val="000000"/>
          <w:sz w:val="22"/>
          <w:szCs w:val="22"/>
          <w:u w:val="single"/>
          <w:lang w:val="ro-RO"/>
        </w:rPr>
      </w:pPr>
      <w:r w:rsidRPr="00517DD1">
        <w:rPr>
          <w:rFonts w:ascii="Trebuchet MS" w:eastAsia="Calibri" w:hAnsi="Trebuchet MS" w:cs="Calibri"/>
          <w:b/>
          <w:color w:val="000000"/>
          <w:sz w:val="22"/>
          <w:szCs w:val="22"/>
          <w:lang w:val="it-IT"/>
        </w:rPr>
        <w:t>Punerea la dispoziția Entității participante, de către DNSC, a toolkit-ului guvernamental ce face obiectul prezentei Convenții se face cu titlu gratuit.</w:t>
      </w:r>
    </w:p>
    <w:p w14:paraId="2FE02EF5" w14:textId="77777777" w:rsidR="00EB1E18" w:rsidRPr="00517DD1" w:rsidRDefault="00EB1E18" w:rsidP="007129C5">
      <w:pPr>
        <w:pStyle w:val="ListParagraph"/>
        <w:numPr>
          <w:ilvl w:val="0"/>
          <w:numId w:val="18"/>
        </w:numPr>
        <w:spacing w:before="120" w:after="120" w:line="240" w:lineRule="auto"/>
        <w:contextualSpacing w:val="0"/>
        <w:jc w:val="both"/>
        <w:rPr>
          <w:rFonts w:ascii="Trebuchet MS" w:eastAsia="Calibri" w:hAnsi="Trebuchet MS" w:cs="Calibri"/>
          <w:bCs/>
          <w:noProof/>
          <w:color w:val="000000"/>
          <w:sz w:val="22"/>
          <w:szCs w:val="22"/>
          <w:lang w:val="ro-RO"/>
        </w:rPr>
      </w:pPr>
      <w:r w:rsidRPr="00517DD1">
        <w:rPr>
          <w:rFonts w:ascii="Trebuchet MS" w:eastAsia="Calibri" w:hAnsi="Trebuchet MS" w:cs="Calibri"/>
          <w:bCs/>
          <w:noProof/>
          <w:color w:val="000000"/>
          <w:sz w:val="22"/>
          <w:szCs w:val="22"/>
          <w:lang w:val="ro-RO"/>
        </w:rPr>
        <w:t xml:space="preserve">Prezenta Convenție nu impune nicio obligație financiară pentru părțile semnatare și nu generează drepturi și responsabilități financiare între acestea. Fiecare parte semnatară suportă </w:t>
      </w:r>
      <w:r w:rsidRPr="00517DD1">
        <w:rPr>
          <w:rFonts w:ascii="Trebuchet MS" w:eastAsia="Arial" w:hAnsi="Trebuchet MS" w:cs="Calibri"/>
          <w:bCs/>
          <w:noProof/>
          <w:color w:val="000000"/>
          <w:sz w:val="22"/>
          <w:szCs w:val="22"/>
          <w:lang w:val="ro-RO"/>
        </w:rPr>
        <w:t>propriile</w:t>
      </w:r>
      <w:r w:rsidRPr="00517DD1">
        <w:rPr>
          <w:rFonts w:ascii="Trebuchet MS" w:eastAsia="Calibri" w:hAnsi="Trebuchet MS" w:cs="Calibri"/>
          <w:bCs/>
          <w:noProof/>
          <w:color w:val="000000"/>
          <w:sz w:val="22"/>
          <w:szCs w:val="22"/>
          <w:lang w:val="ro-RO"/>
        </w:rPr>
        <w:t xml:space="preserve"> sale costuri și cheltuieli și își asigură resursele pentru îndeplinirea acestei Convenții, precum și a altor costuri și cheltuieli conexe. Toate activitățile efectuate în cadrul acestei Convenții vor fi subiectul disponibilității resurselor financiare, tehnice sau umane ale părților.</w:t>
      </w:r>
    </w:p>
    <w:p w14:paraId="4676310A"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Arial" w:hAnsi="Trebuchet MS" w:cs="Arial"/>
          <w:b/>
          <w:color w:val="0E2841"/>
          <w:sz w:val="22"/>
          <w:szCs w:val="22"/>
          <w:lang w:val="ro-RO" w:eastAsia="ro-RO"/>
        </w:rPr>
      </w:pPr>
      <w:r w:rsidRPr="00517DD1">
        <w:rPr>
          <w:rFonts w:ascii="Trebuchet MS" w:eastAsia="Arial" w:hAnsi="Trebuchet MS" w:cs="Arial"/>
          <w:b/>
          <w:color w:val="0E2841"/>
          <w:sz w:val="22"/>
          <w:szCs w:val="22"/>
          <w:lang w:val="ro-RO" w:eastAsia="ro-RO"/>
        </w:rPr>
        <w:t>Obligaţii şi garanţii</w:t>
      </w:r>
    </w:p>
    <w:p w14:paraId="3F4423C6" w14:textId="77777777" w:rsidR="00EB1E18" w:rsidRPr="00517DD1" w:rsidRDefault="00EB1E18" w:rsidP="007129C5">
      <w:pPr>
        <w:pStyle w:val="ListParagraph"/>
        <w:numPr>
          <w:ilvl w:val="0"/>
          <w:numId w:val="19"/>
        </w:numPr>
        <w:spacing w:before="120" w:after="120" w:line="240" w:lineRule="auto"/>
        <w:contextualSpacing w:val="0"/>
        <w:jc w:val="both"/>
        <w:rPr>
          <w:rFonts w:ascii="Trebuchet MS" w:eastAsia="Calibri" w:hAnsi="Trebuchet MS" w:cs="Calibri"/>
          <w:bCs/>
          <w:color w:val="000000"/>
          <w:sz w:val="22"/>
          <w:szCs w:val="22"/>
          <w:lang w:val="ro-RO"/>
        </w:rPr>
      </w:pPr>
      <w:r w:rsidRPr="00517DD1">
        <w:rPr>
          <w:rFonts w:ascii="Trebuchet MS" w:eastAsia="Calibri" w:hAnsi="Trebuchet MS" w:cs="Calibri"/>
          <w:bCs/>
          <w:color w:val="000000"/>
          <w:sz w:val="22"/>
          <w:szCs w:val="22"/>
          <w:lang w:val="ro-RO"/>
        </w:rPr>
        <w:t xml:space="preserve">Părțile se obligă una față de cealaltă să dețină, pe parcursul derulării Convenției, toate permisele, aprobările, licențele necesare fiecăreia pentru asumarea și executarea obligațiilor cuprinse în prezenta Convenție, în conformitate cu prevederile legale în vigoare. </w:t>
      </w:r>
    </w:p>
    <w:p w14:paraId="341D4649" w14:textId="77777777" w:rsidR="00EB1E18" w:rsidRPr="00517DD1" w:rsidRDefault="00EB1E18" w:rsidP="007129C5">
      <w:pPr>
        <w:pStyle w:val="ListParagraph"/>
        <w:numPr>
          <w:ilvl w:val="0"/>
          <w:numId w:val="19"/>
        </w:numPr>
        <w:spacing w:before="120" w:after="120" w:line="240" w:lineRule="auto"/>
        <w:contextualSpacing w:val="0"/>
        <w:jc w:val="both"/>
        <w:rPr>
          <w:rFonts w:ascii="Trebuchet MS" w:eastAsia="Calibri" w:hAnsi="Trebuchet MS" w:cs="Calibri"/>
          <w:bCs/>
          <w:color w:val="000000"/>
          <w:sz w:val="22"/>
          <w:szCs w:val="22"/>
          <w:lang w:val="ro-RO"/>
        </w:rPr>
      </w:pPr>
      <w:r w:rsidRPr="00517DD1">
        <w:rPr>
          <w:rFonts w:ascii="Trebuchet MS" w:eastAsia="Calibri" w:hAnsi="Trebuchet MS" w:cs="Calibri"/>
          <w:bCs/>
          <w:color w:val="000000"/>
          <w:sz w:val="22"/>
          <w:szCs w:val="22"/>
          <w:lang w:val="ro-RO"/>
        </w:rPr>
        <w:t>Fiecare Parte declară că cele consemnate în cuprinsul prezentei Convenții și în anexele acesteia corespund realității și că reprezintă voința lor, drept pentru care își exprimă consimțământul, prin semnarea prezentei Convenții și a anexelor sale.</w:t>
      </w:r>
    </w:p>
    <w:p w14:paraId="621E32D0" w14:textId="77777777" w:rsidR="00EB1E18" w:rsidRPr="00517DD1" w:rsidRDefault="00EB1E18" w:rsidP="007129C5">
      <w:pPr>
        <w:pStyle w:val="ListParagraph"/>
        <w:numPr>
          <w:ilvl w:val="0"/>
          <w:numId w:val="19"/>
        </w:numPr>
        <w:spacing w:before="120" w:after="120" w:line="240" w:lineRule="auto"/>
        <w:contextualSpacing w:val="0"/>
        <w:jc w:val="both"/>
        <w:rPr>
          <w:rFonts w:ascii="Trebuchet MS" w:eastAsia="Calibri" w:hAnsi="Trebuchet MS" w:cs="Calibri"/>
          <w:bCs/>
          <w:color w:val="000000"/>
          <w:sz w:val="22"/>
          <w:szCs w:val="22"/>
          <w:lang w:val="ro-RO"/>
        </w:rPr>
      </w:pPr>
      <w:r w:rsidRPr="00517DD1">
        <w:rPr>
          <w:rFonts w:ascii="Trebuchet MS" w:eastAsia="Calibri" w:hAnsi="Trebuchet MS" w:cs="Calibri"/>
          <w:bCs/>
          <w:color w:val="000000"/>
          <w:sz w:val="22"/>
          <w:szCs w:val="22"/>
          <w:lang w:val="ro-RO"/>
        </w:rPr>
        <w:t>Părțile se obligă una față de cealaltă să asigure accesul, conform legii, la toate informațiile, documentațiile și datele necesare bunei derulări a Convenției și care sunt accesibile conform reglementărilor în vigoare, tuturor autorităților/instituțiile statului, instituțiilor financiar-bancare, consultanților și contractanților, după caz.</w:t>
      </w:r>
    </w:p>
    <w:p w14:paraId="3B903CAA" w14:textId="77777777" w:rsidR="00EB1E18" w:rsidRPr="00517DD1" w:rsidRDefault="00EB1E18" w:rsidP="007129C5">
      <w:pPr>
        <w:pStyle w:val="ListParagraph"/>
        <w:numPr>
          <w:ilvl w:val="0"/>
          <w:numId w:val="19"/>
        </w:numPr>
        <w:spacing w:before="120" w:after="120" w:line="240" w:lineRule="auto"/>
        <w:contextualSpacing w:val="0"/>
        <w:jc w:val="both"/>
        <w:rPr>
          <w:rFonts w:ascii="Trebuchet MS" w:eastAsia="Calibri" w:hAnsi="Trebuchet MS" w:cs="Calibri"/>
          <w:bCs/>
          <w:color w:val="000000"/>
          <w:sz w:val="22"/>
          <w:szCs w:val="22"/>
          <w:lang w:val="ro-RO"/>
        </w:rPr>
      </w:pPr>
      <w:r w:rsidRPr="00517DD1">
        <w:rPr>
          <w:rFonts w:ascii="Trebuchet MS" w:eastAsia="Calibri" w:hAnsi="Trebuchet MS" w:cs="Calibri"/>
          <w:bCs/>
          <w:color w:val="000000"/>
          <w:sz w:val="22"/>
          <w:szCs w:val="22"/>
          <w:lang w:val="it-IT"/>
        </w:rPr>
        <w:t>Entitatea participantă declară pe propria răspundere că documentele care stau la baza întocmirii Convenției (documentele de identificare, certificate constatatoare, extrase din registrele speciale etc.) sunt actualizate, în vigoare la data semnării prezentei Convenții și sunt conforme cu originalul, după caz.</w:t>
      </w:r>
    </w:p>
    <w:p w14:paraId="27741D33"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Arial" w:hAnsi="Trebuchet MS" w:cs="Arial"/>
          <w:b/>
          <w:bCs/>
          <w:color w:val="0E2841"/>
          <w:sz w:val="22"/>
          <w:szCs w:val="22"/>
          <w:lang w:val="ro-RO" w:eastAsia="ro-RO"/>
        </w:rPr>
      </w:pPr>
      <w:r w:rsidRPr="00517DD1">
        <w:rPr>
          <w:rFonts w:ascii="Trebuchet MS" w:eastAsia="Arial" w:hAnsi="Trebuchet MS" w:cs="Arial"/>
          <w:b/>
          <w:bCs/>
          <w:color w:val="0E2841"/>
          <w:sz w:val="22"/>
          <w:szCs w:val="22"/>
          <w:lang w:val="ro-RO" w:eastAsia="ro-RO"/>
        </w:rPr>
        <w:t>Drepturile şi obligaţiile părţilor</w:t>
      </w:r>
    </w:p>
    <w:p w14:paraId="2C910665" w14:textId="77777777" w:rsidR="00EB1E18" w:rsidRPr="00517DD1" w:rsidRDefault="00EB1E18" w:rsidP="007129C5">
      <w:pPr>
        <w:pStyle w:val="ListParagraph"/>
        <w:numPr>
          <w:ilvl w:val="0"/>
          <w:numId w:val="20"/>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DNSC are următoarele drepturi:</w:t>
      </w:r>
    </w:p>
    <w:p w14:paraId="52AF1480" w14:textId="77777777" w:rsidR="00EB1E18" w:rsidRPr="00517DD1" w:rsidRDefault="00EB1E18" w:rsidP="007129C5">
      <w:pPr>
        <w:pStyle w:val="ListParagraph"/>
        <w:numPr>
          <w:ilvl w:val="0"/>
          <w:numId w:val="21"/>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stabilească metodologia, instrumentele și procedurile utilizate pentru evaluarea nivelului de maturitate a securității cibernetice;</w:t>
      </w:r>
    </w:p>
    <w:p w14:paraId="21B25B1A" w14:textId="77777777" w:rsidR="00EB1E18" w:rsidRPr="00517DD1" w:rsidRDefault="00EB1E18" w:rsidP="007129C5">
      <w:pPr>
        <w:pStyle w:val="ListParagraph"/>
        <w:numPr>
          <w:ilvl w:val="0"/>
          <w:numId w:val="21"/>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it-IT"/>
        </w:rPr>
        <w:t>să solicite Entității participante informațiile și documentele necesare desfășurării procesului standardizat de evaluare și includerii în eșantionul operațional;</w:t>
      </w:r>
    </w:p>
    <w:p w14:paraId="525DBDCD" w14:textId="77777777" w:rsidR="00EB1E18" w:rsidRPr="00517DD1" w:rsidRDefault="00EB1E18" w:rsidP="007129C5">
      <w:pPr>
        <w:pStyle w:val="ListParagraph"/>
        <w:numPr>
          <w:ilvl w:val="0"/>
          <w:numId w:val="21"/>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it-IT"/>
        </w:rPr>
        <w:t>să utilizeze, în scopuri statistice, de analiză agregată și de dezvoltare/calibrare/validare a toolkit-ului, datele rezultate din evaluări, cu respectarea cerințelor de confidențialitate, fără posibilitatea identificării Entității participante în materialele publice sau de raportare agregată;</w:t>
      </w:r>
    </w:p>
    <w:p w14:paraId="714734A4" w14:textId="77777777" w:rsidR="00EB1E18" w:rsidRPr="00517DD1" w:rsidRDefault="00EB1E18" w:rsidP="007129C5">
      <w:pPr>
        <w:pStyle w:val="ListParagraph"/>
        <w:numPr>
          <w:ilvl w:val="0"/>
          <w:numId w:val="21"/>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asigure, în limita resurselor disponibile și pe durata prezentei Convenții, funcționalitatea generală și accesul la instrumentele, în funcție de evoluțiile legislative, tehnologice sau de risc;</w:t>
      </w:r>
    </w:p>
    <w:p w14:paraId="53BB693E" w14:textId="77777777" w:rsidR="00EB1E18" w:rsidRPr="00517DD1" w:rsidRDefault="00EB1E18" w:rsidP="007129C5">
      <w:pPr>
        <w:pStyle w:val="ListParagraph"/>
        <w:numPr>
          <w:ilvl w:val="0"/>
          <w:numId w:val="21"/>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it-IT"/>
        </w:rPr>
        <w:t>să formuleze orientări și recomandări generale, generate pe baza metodologiei standardizate și a rezultatelor evaluării.</w:t>
      </w:r>
    </w:p>
    <w:p w14:paraId="57C15E7E" w14:textId="77777777" w:rsidR="00EB1E18" w:rsidRPr="00517DD1" w:rsidRDefault="00EB1E18" w:rsidP="007129C5">
      <w:pPr>
        <w:pStyle w:val="ListParagraph"/>
        <w:numPr>
          <w:ilvl w:val="0"/>
          <w:numId w:val="20"/>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DNSC are următoarele obligații:</w:t>
      </w:r>
    </w:p>
    <w:p w14:paraId="3052E1FD" w14:textId="77777777" w:rsidR="00EB1E18" w:rsidRPr="00517DD1" w:rsidRDefault="00EB1E18" w:rsidP="007129C5">
      <w:pPr>
        <w:pStyle w:val="ListParagraph"/>
        <w:numPr>
          <w:ilvl w:val="0"/>
          <w:numId w:val="22"/>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it-IT"/>
        </w:rPr>
        <w:t>să pună la dispoziția Entității participante toolkit-ul guvernamental, în termenele și condițiile prezentei Convenții;</w:t>
      </w:r>
    </w:p>
    <w:p w14:paraId="76B4750F" w14:textId="77777777" w:rsidR="00EB1E18" w:rsidRPr="00517DD1" w:rsidRDefault="00EB1E18" w:rsidP="007129C5">
      <w:pPr>
        <w:pStyle w:val="ListParagraph"/>
        <w:numPr>
          <w:ilvl w:val="0"/>
          <w:numId w:val="22"/>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asigure funcționalitatea și accesibilitatea instrumentelor utilizate pentru ducerea la îndeplinire a obiectului prezentei Convenții;</w:t>
      </w:r>
    </w:p>
    <w:p w14:paraId="03FBAB9A" w14:textId="77777777" w:rsidR="00EB1E18" w:rsidRPr="00517DD1" w:rsidRDefault="00EB1E18" w:rsidP="007129C5">
      <w:pPr>
        <w:pStyle w:val="ListParagraph"/>
        <w:numPr>
          <w:ilvl w:val="0"/>
          <w:numId w:val="22"/>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it-IT"/>
        </w:rPr>
        <w:t>să asigure confidențialitatea datelor și informațiilor primite de la Entitatea participantă, prin aplicarea unor măsuri tehnice și organizatorice adecvate, în conformitate cu legislația aplicabilă.</w:t>
      </w:r>
    </w:p>
    <w:p w14:paraId="68F2DCD4" w14:textId="77777777" w:rsidR="00EB1E18" w:rsidRPr="00517DD1" w:rsidRDefault="00EB1E18" w:rsidP="007129C5">
      <w:pPr>
        <w:pStyle w:val="ListParagraph"/>
        <w:numPr>
          <w:ilvl w:val="0"/>
          <w:numId w:val="20"/>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it-IT"/>
        </w:rPr>
        <w:t>Entitatea participantă are următoarele drepturi:</w:t>
      </w:r>
    </w:p>
    <w:p w14:paraId="480E9F76" w14:textId="77777777" w:rsidR="00EB1E18" w:rsidRPr="00517DD1" w:rsidRDefault="00EB1E18" w:rsidP="007129C5">
      <w:pPr>
        <w:pStyle w:val="ListParagraph"/>
        <w:numPr>
          <w:ilvl w:val="0"/>
          <w:numId w:val="24"/>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beneficieze de acces la toolkit-ul guvernamental în termenele și condițiile prezentei Convenții;</w:t>
      </w:r>
    </w:p>
    <w:p w14:paraId="740841AA" w14:textId="77777777" w:rsidR="00EB1E18" w:rsidRPr="00517DD1" w:rsidRDefault="00EB1E18" w:rsidP="007129C5">
      <w:pPr>
        <w:pStyle w:val="ListParagraph"/>
        <w:numPr>
          <w:ilvl w:val="0"/>
          <w:numId w:val="24"/>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primească rezultatele evaluării</w:t>
      </w:r>
      <w:r w:rsidRPr="00517DD1">
        <w:rPr>
          <w:rFonts w:ascii="Trebuchet MS" w:eastAsia="Calibri" w:hAnsi="Trebuchet MS" w:cs="Arial"/>
          <w:color w:val="000000"/>
          <w:sz w:val="22"/>
          <w:szCs w:val="22"/>
          <w:lang w:val="ro-RO"/>
        </w:rPr>
        <w:t xml:space="preserve"> nivelului de maturitate al securității cibernetice</w:t>
      </w:r>
      <w:r w:rsidRPr="00517DD1">
        <w:rPr>
          <w:rFonts w:ascii="Trebuchet MS" w:eastAsia="Arial" w:hAnsi="Trebuchet MS" w:cs="Arial"/>
          <w:color w:val="000000"/>
          <w:sz w:val="22"/>
          <w:szCs w:val="22"/>
          <w:lang w:val="ro-RO" w:eastAsia="ro-RO"/>
        </w:rPr>
        <w:t>;</w:t>
      </w:r>
    </w:p>
    <w:p w14:paraId="7BCC01C1" w14:textId="77777777" w:rsidR="00EB1E18" w:rsidRPr="00517DD1" w:rsidRDefault="00EB1E18" w:rsidP="007129C5">
      <w:pPr>
        <w:pStyle w:val="ListParagraph"/>
        <w:numPr>
          <w:ilvl w:val="0"/>
          <w:numId w:val="24"/>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utilizeze planul de acțiune pentru remedierea neconformităților identificate și recomandările primite pentru îmbunătățirea nivelului de securitate cibernetică;</w:t>
      </w:r>
    </w:p>
    <w:p w14:paraId="5C6C31A3" w14:textId="77777777" w:rsidR="00EB1E18" w:rsidRPr="00517DD1" w:rsidRDefault="00EB1E18" w:rsidP="007129C5">
      <w:pPr>
        <w:pStyle w:val="ListParagraph"/>
        <w:numPr>
          <w:ilvl w:val="0"/>
          <w:numId w:val="24"/>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solicite clarificări, suport și asistență de specialitate din partea DNSC, în limita resurselor disponibile și exclusiv pe durata implementării proiectului finanțat prin PNRR;</w:t>
      </w:r>
    </w:p>
    <w:p w14:paraId="3DB9230A" w14:textId="77777777" w:rsidR="00EB1E18" w:rsidRPr="00517DD1" w:rsidRDefault="00EB1E18" w:rsidP="007129C5">
      <w:pPr>
        <w:pStyle w:val="ListParagraph"/>
        <w:numPr>
          <w:ilvl w:val="0"/>
          <w:numId w:val="24"/>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utilizeze rapoartele generate în scop informativ și de suport decizional, acestea neavând valoare de certificare a conformității legale, după caz.</w:t>
      </w:r>
    </w:p>
    <w:p w14:paraId="028214E6" w14:textId="77777777" w:rsidR="00EB1E18" w:rsidRPr="00517DD1" w:rsidRDefault="00EB1E18" w:rsidP="007129C5">
      <w:pPr>
        <w:pStyle w:val="ListParagraph"/>
        <w:numPr>
          <w:ilvl w:val="0"/>
          <w:numId w:val="20"/>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rPr>
        <w:t>Entitatea participantă are următoarele obligații:</w:t>
      </w:r>
    </w:p>
    <w:p w14:paraId="53685BFF"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asigure cooperarea activă în procesul de evaluare a maturității cibernetice;</w:t>
      </w:r>
    </w:p>
    <w:p w14:paraId="659E386D"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 xml:space="preserve">să furnizeze informații complete, corecte și actualizate necesare evaluării </w:t>
      </w:r>
      <w:r w:rsidRPr="00517DD1">
        <w:rPr>
          <w:rFonts w:ascii="Trebuchet MS" w:eastAsia="Calibri" w:hAnsi="Trebuchet MS" w:cs="Arial"/>
          <w:color w:val="000000"/>
          <w:sz w:val="22"/>
          <w:szCs w:val="22"/>
          <w:lang w:val="ro-RO"/>
        </w:rPr>
        <w:t>nivelului de maturitate al securității cibernetice</w:t>
      </w:r>
      <w:r w:rsidRPr="00517DD1">
        <w:rPr>
          <w:rFonts w:ascii="Trebuchet MS" w:eastAsia="Arial" w:hAnsi="Trebuchet MS" w:cs="Arial"/>
          <w:color w:val="000000"/>
          <w:sz w:val="22"/>
          <w:szCs w:val="22"/>
          <w:lang w:val="ro-RO" w:eastAsia="ro-RO"/>
        </w:rPr>
        <w:t>;</w:t>
      </w:r>
    </w:p>
    <w:p w14:paraId="01E7A8EF"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ro-RO"/>
        </w:rPr>
        <w:t>să asigure accesul la informațiile, procesele și documentația relevante, în măsura necesară desfășurării evaluării și în condiții care nu afectează securitatea operațională a sistemelor Entității participante;</w:t>
      </w:r>
    </w:p>
    <w:p w14:paraId="2F488B8D" w14:textId="0A45B1BA"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desemneze un punct de contact responsabil pentru relația cu DNSC;</w:t>
      </w:r>
    </w:p>
    <w:p w14:paraId="0D1E78F2"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utilizeze toolkit-ul guvernamental în conformitate cu scopul prevăzut în prezenta Convenție;</w:t>
      </w:r>
    </w:p>
    <w:p w14:paraId="6512826D"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nu facă niciun act de dispoziție, să nu sub licențieze și să nu transmită folosința sau să pună la dispoziție toolkit-ul guvernamental către terți, să utilizeze aceste bunuri ca „bun proprietar”, să nu le folosească în mod abuziv, să nu le deterioreze și să nu intervină în conținutul acestora (software);</w:t>
      </w:r>
    </w:p>
    <w:p w14:paraId="12227760"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Calibri" w:hAnsi="Trebuchet MS" w:cs="Calibri"/>
          <w:color w:val="000000"/>
          <w:sz w:val="22"/>
          <w:szCs w:val="22"/>
          <w:lang w:val="ro-RO"/>
        </w:rPr>
        <w:t>să comunice în scris DNSC orice modificare a elementelor care au stat la baza încheierii prezentei Convenții, în termen de maximum 5 (cinci) zile de la modificare.</w:t>
      </w:r>
    </w:p>
    <w:p w14:paraId="4F4A674E"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respecte confidențialitatea informațiilor și să nu divulge către terți datele sau instrumentele puse la dispoziție, fără acordul DNSC, cu excepția cazurilor prevăzute de lege;</w:t>
      </w:r>
    </w:p>
    <w:p w14:paraId="7469F579" w14:textId="77777777" w:rsidR="00EB1E18" w:rsidRPr="00517DD1" w:rsidRDefault="00EB1E18" w:rsidP="007129C5">
      <w:pPr>
        <w:pStyle w:val="ListParagraph"/>
        <w:numPr>
          <w:ilvl w:val="0"/>
          <w:numId w:val="23"/>
        </w:numPr>
        <w:spacing w:before="120" w:after="120" w:line="240" w:lineRule="auto"/>
        <w:contextualSpacing w:val="0"/>
        <w:jc w:val="both"/>
        <w:rPr>
          <w:rFonts w:ascii="Trebuchet MS" w:eastAsia="Arial" w:hAnsi="Trebuchet MS" w:cs="Arial"/>
          <w:color w:val="000000"/>
          <w:sz w:val="22"/>
          <w:szCs w:val="22"/>
          <w:lang w:val="ro-RO" w:eastAsia="ro-RO"/>
        </w:rPr>
      </w:pPr>
      <w:r w:rsidRPr="00517DD1">
        <w:rPr>
          <w:rFonts w:ascii="Trebuchet MS" w:eastAsia="Arial" w:hAnsi="Trebuchet MS" w:cs="Arial"/>
          <w:color w:val="000000"/>
          <w:sz w:val="22"/>
          <w:szCs w:val="22"/>
          <w:lang w:val="ro-RO" w:eastAsia="ro-RO"/>
        </w:rPr>
        <w:t>să analizeze rezultatele evaluării și să decidă în mod autonom asupra implementării măsurilor recomandate, asumându-și întreaga responsabilitate pentru nivelul de securitate cibernetică al organizației.</w:t>
      </w:r>
    </w:p>
    <w:p w14:paraId="1FFB1081"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Arial" w:hAnsi="Trebuchet MS" w:cs="Arial"/>
          <w:b/>
          <w:bCs/>
          <w:color w:val="0E2841"/>
          <w:sz w:val="22"/>
          <w:szCs w:val="22"/>
          <w:lang w:val="ro-RO" w:eastAsia="ro-RO"/>
        </w:rPr>
      </w:pPr>
      <w:r w:rsidRPr="00517DD1">
        <w:rPr>
          <w:rFonts w:ascii="Trebuchet MS" w:eastAsia="Arial" w:hAnsi="Trebuchet MS" w:cs="Arial"/>
          <w:b/>
          <w:bCs/>
          <w:color w:val="0E2841"/>
          <w:sz w:val="22"/>
          <w:szCs w:val="22"/>
          <w:lang w:val="ro-RO" w:eastAsia="ro-RO"/>
        </w:rPr>
        <w:t>Confidențialitate</w:t>
      </w:r>
    </w:p>
    <w:p w14:paraId="7DB4EDEA" w14:textId="77777777" w:rsidR="00EB1E18" w:rsidRPr="00517DD1" w:rsidRDefault="00EB1E18" w:rsidP="007129C5">
      <w:pPr>
        <w:pStyle w:val="ListParagraph"/>
        <w:numPr>
          <w:ilvl w:val="0"/>
          <w:numId w:val="25"/>
        </w:numPr>
        <w:spacing w:before="120" w:after="120" w:line="240" w:lineRule="auto"/>
        <w:contextualSpacing w:val="0"/>
        <w:jc w:val="both"/>
        <w:rPr>
          <w:rFonts w:ascii="Trebuchet MS" w:eastAsia="Calibri" w:hAnsi="Trebuchet MS" w:cs="Calibri"/>
          <w:bCs/>
          <w:color w:val="000000"/>
          <w:sz w:val="22"/>
          <w:szCs w:val="22"/>
          <w:lang w:val="ro-RO"/>
        </w:rPr>
      </w:pPr>
      <w:r w:rsidRPr="00517DD1">
        <w:rPr>
          <w:rFonts w:ascii="Trebuchet MS" w:eastAsia="Calibri" w:hAnsi="Trebuchet MS" w:cs="Calibri"/>
          <w:bCs/>
          <w:color w:val="000000"/>
          <w:sz w:val="22"/>
          <w:szCs w:val="22"/>
          <w:lang w:val="ro-RO"/>
        </w:rPr>
        <w:t>Ambele Părți vor folosi informațiile și cunoștințele obținute în timpul activităților efectuate în cadrul acestei Convenții exclusiv în scopul implementării acestei Convenții. Nicio Parte nu va divulga, furniza sau permite accesul unui terț la orice informație care, prin natura ei, este sensibilă (inclusiv rezultatele evaluărilor de securitate cibernetică, indiferent dacă furnizată și marcată sau declarată a fi "Confidențială" sau "In-confidence", de către Partea care o dezvăluie, cu excepția cazului și în măsura în care aceasta este autorizată în scris de către acea Parte.</w:t>
      </w:r>
    </w:p>
    <w:p w14:paraId="21182E09" w14:textId="77777777" w:rsidR="00EB1E18" w:rsidRPr="00517DD1" w:rsidRDefault="00EB1E18" w:rsidP="007129C5">
      <w:pPr>
        <w:pStyle w:val="ListParagraph"/>
        <w:numPr>
          <w:ilvl w:val="0"/>
          <w:numId w:val="25"/>
        </w:numPr>
        <w:spacing w:before="120" w:after="120" w:line="240" w:lineRule="auto"/>
        <w:contextualSpacing w:val="0"/>
        <w:jc w:val="both"/>
        <w:rPr>
          <w:rFonts w:ascii="Trebuchet MS" w:eastAsia="Calibri" w:hAnsi="Trebuchet MS" w:cs="Calibri"/>
          <w:bCs/>
          <w:color w:val="000000"/>
          <w:sz w:val="22"/>
          <w:szCs w:val="22"/>
          <w:lang w:val="ro-RO"/>
        </w:rPr>
      </w:pPr>
      <w:r w:rsidRPr="00517DD1">
        <w:rPr>
          <w:rFonts w:ascii="Trebuchet MS" w:eastAsia="Calibri" w:hAnsi="Trebuchet MS" w:cs="Calibri"/>
          <w:bCs/>
          <w:color w:val="000000"/>
          <w:sz w:val="22"/>
          <w:szCs w:val="22"/>
          <w:lang w:val="ro-RO"/>
        </w:rPr>
        <w:t>Părţile nu vor transmite informaţiile confidenţiale obţinute în cadrul procedurii premergătoare/ de derulare /de încetare a prezentei Convenții, unor persoane neautorizate să primească astfel de informaţii ori către persoane implicate direct în implementarea Convenției, în baza principiului need-to-know și cu respectarea obligațiilor de confidențialitate. Fac excepţie cazurile când:</w:t>
      </w:r>
    </w:p>
    <w:p w14:paraId="37AAC4D8" w14:textId="77777777" w:rsidR="00EB1E18" w:rsidRPr="00C13E38" w:rsidRDefault="00EB1E18" w:rsidP="007129C5">
      <w:pPr>
        <w:spacing w:before="120" w:after="120" w:line="240" w:lineRule="auto"/>
        <w:jc w:val="both"/>
        <w:rPr>
          <w:rFonts w:ascii="Trebuchet MS" w:eastAsia="Calibri" w:hAnsi="Trebuchet MS" w:cs="Arial"/>
          <w:color w:val="000000"/>
          <w:sz w:val="22"/>
          <w:szCs w:val="22"/>
          <w:lang w:val="ro-RO"/>
        </w:rPr>
      </w:pPr>
      <w:r w:rsidRPr="00C13E38">
        <w:rPr>
          <w:rFonts w:ascii="Trebuchet MS" w:eastAsia="Calibri" w:hAnsi="Trebuchet MS" w:cs="Arial"/>
          <w:color w:val="000000"/>
          <w:sz w:val="22"/>
          <w:szCs w:val="22"/>
          <w:lang w:val="ro-RO"/>
        </w:rPr>
        <w:t>se dispune de consimţământul scris al părţii ale cărei interese pot fi afectate de diseminarea informaţiei;</w:t>
      </w:r>
    </w:p>
    <w:p w14:paraId="2D4E6770" w14:textId="77777777" w:rsidR="00EB1E18" w:rsidRPr="00517DD1" w:rsidRDefault="00EB1E18" w:rsidP="007129C5">
      <w:pPr>
        <w:pStyle w:val="ListParagraph"/>
        <w:numPr>
          <w:ilvl w:val="0"/>
          <w:numId w:val="2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informaţia este deja publică la data dezvăluirii acesteia;</w:t>
      </w:r>
    </w:p>
    <w:p w14:paraId="33E30CC7" w14:textId="77777777" w:rsidR="00EB1E18" w:rsidRPr="00517DD1" w:rsidRDefault="00EB1E18" w:rsidP="007129C5">
      <w:pPr>
        <w:pStyle w:val="ListParagraph"/>
        <w:numPr>
          <w:ilvl w:val="0"/>
          <w:numId w:val="2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partea este obligată sau are permisiunea de a divulga informaţia, în scopul respectării unui ordin sau a unei decizii emis/ă de către o autoritate competentă ori a unei prevederi legale în vigoare;</w:t>
      </w:r>
    </w:p>
    <w:p w14:paraId="286E0703" w14:textId="77777777" w:rsidR="00EB1E18" w:rsidRPr="00517DD1" w:rsidRDefault="00EB1E18" w:rsidP="007129C5">
      <w:pPr>
        <w:pStyle w:val="ListParagraph"/>
        <w:numPr>
          <w:ilvl w:val="0"/>
          <w:numId w:val="26"/>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informaţia trebuie transmisă în cursul îndeplinirii normale a activităţilor care constituie obiectul Convenției.</w:t>
      </w:r>
    </w:p>
    <w:p w14:paraId="200FB3F7" w14:textId="77777777" w:rsidR="00EB1E18" w:rsidRDefault="00EB1E18" w:rsidP="007129C5">
      <w:pPr>
        <w:pStyle w:val="ListParagraph"/>
        <w:numPr>
          <w:ilvl w:val="0"/>
          <w:numId w:val="25"/>
        </w:numPr>
        <w:spacing w:before="120" w:after="120" w:line="240" w:lineRule="auto"/>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Prevederile prezentei Convenții rămân valabile timp de 5 (cinci) ani după încetare.</w:t>
      </w:r>
    </w:p>
    <w:p w14:paraId="1577D536" w14:textId="77777777" w:rsidR="00EB1E18" w:rsidRPr="00517DD1" w:rsidRDefault="00EB1E18" w:rsidP="007129C5">
      <w:pPr>
        <w:pStyle w:val="ListParagraph"/>
        <w:numPr>
          <w:ilvl w:val="0"/>
          <w:numId w:val="25"/>
        </w:numPr>
        <w:spacing w:before="120" w:after="120" w:line="240" w:lineRule="auto"/>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Cs/>
          <w:color w:val="000000"/>
          <w:sz w:val="22"/>
          <w:szCs w:val="22"/>
          <w:lang w:val="it-IT"/>
        </w:rPr>
        <w:t>În conformitate cu prevederile Regulamentului (UE) nr. 2016/679 al Parlamentului European şi al Consiliului pentru protecţia persoanelor fizice cu privire la prelucrarea datelor cu caracter personal şi libera circulaţie a acestor date şi ale Legii nr. 190/2018, Entitatea participantă declară că a luat cunoștință de nota de informare emisă de către DNSC, în temeiul art. 13 din Regulamentul (UE) 2016/679 („GDPR”) și de Politica de prelucrare a datelor cu caracter personal, și este de acord cu prelucrarea acestor date în vederea întocmirii prezentei Convenții, a derulării activităților standardizate ale proiectului și a furnizării informațiilor către autoritățile abilitate de lege, la cererea acestora. Părțile vor implementa măsuri tehnice și organizatorice adecvate pentru protejarea informațiilor confidențiale împotriva accesului neautorizat, pierderii, distrugerii sau modificării. În cazul unui incident de securitate care afectează aceste informații, partea afectată va notifica cealaltă parte fără întârzieri nejustificate.</w:t>
      </w:r>
    </w:p>
    <w:p w14:paraId="313B4139"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Conflictul de interese</w:t>
      </w:r>
    </w:p>
    <w:p w14:paraId="494201EC" w14:textId="77777777" w:rsidR="00EB1E18" w:rsidRPr="00517DD1" w:rsidRDefault="00EB1E18" w:rsidP="007129C5">
      <w:pPr>
        <w:pStyle w:val="ListParagraph"/>
        <w:numPr>
          <w:ilvl w:val="0"/>
          <w:numId w:val="27"/>
        </w:numPr>
        <w:spacing w:before="120" w:after="120" w:line="240" w:lineRule="auto"/>
        <w:contextualSpacing w:val="0"/>
        <w:jc w:val="both"/>
        <w:rPr>
          <w:rFonts w:ascii="Trebuchet MS" w:eastAsia="Calibri" w:hAnsi="Trebuchet MS" w:cs="Calibri"/>
          <w:color w:val="000000"/>
          <w:sz w:val="22"/>
          <w:szCs w:val="22"/>
          <w:lang w:val="ro-RO"/>
        </w:rPr>
      </w:pPr>
      <w:r w:rsidRPr="00517DD1">
        <w:rPr>
          <w:rFonts w:ascii="Trebuchet MS" w:eastAsia="Calibri" w:hAnsi="Trebuchet MS" w:cs="Calibri"/>
          <w:color w:val="000000"/>
          <w:sz w:val="22"/>
          <w:szCs w:val="22"/>
          <w:lang w:val="ro-RO"/>
        </w:rPr>
        <w:t>Părțile au obligația de a acționa cu bună-credință și de a evita orice situație care ar putea afecta obiectivitatea, imparțialitatea sau buna derulare a activităților prevăzute de prezenta Convenție.</w:t>
      </w:r>
    </w:p>
    <w:p w14:paraId="045088E3" w14:textId="77777777" w:rsidR="00EB1E18" w:rsidRPr="00517DD1" w:rsidRDefault="00EB1E18" w:rsidP="007129C5">
      <w:pPr>
        <w:pStyle w:val="ListParagraph"/>
        <w:numPr>
          <w:ilvl w:val="0"/>
          <w:numId w:val="27"/>
        </w:numPr>
        <w:spacing w:before="120" w:after="120" w:line="240" w:lineRule="auto"/>
        <w:contextualSpacing w:val="0"/>
        <w:jc w:val="both"/>
        <w:rPr>
          <w:rFonts w:ascii="Trebuchet MS" w:eastAsia="Calibri" w:hAnsi="Trebuchet MS" w:cs="Calibri"/>
          <w:color w:val="000000"/>
          <w:sz w:val="22"/>
          <w:szCs w:val="22"/>
          <w:lang w:val="ro-RO"/>
        </w:rPr>
      </w:pPr>
      <w:r w:rsidRPr="00517DD1">
        <w:rPr>
          <w:rFonts w:ascii="Trebuchet MS" w:eastAsia="Calibri" w:hAnsi="Trebuchet MS" w:cs="Calibri"/>
          <w:color w:val="000000"/>
          <w:sz w:val="22"/>
          <w:szCs w:val="22"/>
          <w:lang w:val="ro-RO"/>
        </w:rPr>
        <w:t>Entitatea participantă are obligația de a informa DNSC, fără întârzieri nejustificate, cu privire la orice situație cunoscută care ar putea genera un conflict de interese în legătură cu participarea sa la activitățile proiectului.</w:t>
      </w:r>
    </w:p>
    <w:p w14:paraId="20A03140" w14:textId="77777777" w:rsidR="00EB1E18" w:rsidRPr="00517DD1" w:rsidRDefault="00EB1E18" w:rsidP="007129C5">
      <w:pPr>
        <w:pStyle w:val="ListParagraph"/>
        <w:numPr>
          <w:ilvl w:val="0"/>
          <w:numId w:val="27"/>
        </w:numPr>
        <w:spacing w:before="120" w:after="120" w:line="240" w:lineRule="auto"/>
        <w:contextualSpacing w:val="0"/>
        <w:jc w:val="both"/>
        <w:rPr>
          <w:rFonts w:ascii="Trebuchet MS" w:eastAsia="Calibri" w:hAnsi="Trebuchet MS" w:cs="Calibri"/>
          <w:color w:val="000000"/>
          <w:sz w:val="22"/>
          <w:szCs w:val="22"/>
          <w:lang w:val="ro-RO"/>
        </w:rPr>
      </w:pPr>
      <w:r w:rsidRPr="00517DD1">
        <w:rPr>
          <w:rFonts w:ascii="Trebuchet MS" w:eastAsia="Calibri" w:hAnsi="Trebuchet MS" w:cs="Calibri"/>
          <w:color w:val="000000"/>
          <w:sz w:val="22"/>
          <w:szCs w:val="22"/>
          <w:lang w:val="ro-RO"/>
        </w:rPr>
        <w:t>În cazul identificării unei situații de conflict de interese, Părțile vor lua măsurile rezonabile necesare pentru clarificarea, limitarea sau înlăturarea efectelor acesteia, cu respectarea legislației aplicabile și a regulilor aferente finanțării prin PNRR.</w:t>
      </w:r>
    </w:p>
    <w:p w14:paraId="3C8E3459" w14:textId="77777777" w:rsidR="00EB1E18" w:rsidRPr="00517DD1" w:rsidRDefault="00EB1E18" w:rsidP="007129C5">
      <w:pPr>
        <w:pStyle w:val="ListParagraph"/>
        <w:numPr>
          <w:ilvl w:val="0"/>
          <w:numId w:val="27"/>
        </w:numPr>
        <w:spacing w:before="120" w:after="120" w:line="240" w:lineRule="auto"/>
        <w:contextualSpacing w:val="0"/>
        <w:jc w:val="both"/>
        <w:rPr>
          <w:rFonts w:ascii="Trebuchet MS" w:eastAsia="Calibri" w:hAnsi="Trebuchet MS" w:cs="Calibri"/>
          <w:color w:val="000000"/>
          <w:sz w:val="22"/>
          <w:szCs w:val="22"/>
          <w:lang w:val="ro-RO"/>
        </w:rPr>
      </w:pPr>
      <w:r w:rsidRPr="00517DD1">
        <w:rPr>
          <w:rFonts w:ascii="Trebuchet MS" w:eastAsia="Calibri" w:hAnsi="Trebuchet MS" w:cs="Calibri"/>
          <w:color w:val="000000"/>
          <w:sz w:val="22"/>
          <w:szCs w:val="22"/>
          <w:lang w:val="ro-RO"/>
        </w:rPr>
        <w:t>Prevederile prezentului articol nu instituie obligații suplimentare față de cele prevăzute de legislația aplicabilă și nu afectează caracterul gratuit, nediscriminatoriu și neexclusiv al participării entității la eșantionul operațional constituit în cadrul proiectului.</w:t>
      </w:r>
    </w:p>
    <w:p w14:paraId="367B1AD7"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Proprietate intelectuală</w:t>
      </w:r>
    </w:p>
    <w:p w14:paraId="2BC18226" w14:textId="77777777" w:rsidR="00EB1E18" w:rsidRPr="00517DD1" w:rsidRDefault="00EB1E18" w:rsidP="007129C5">
      <w:pPr>
        <w:pStyle w:val="ListParagraph"/>
        <w:numPr>
          <w:ilvl w:val="0"/>
          <w:numId w:val="28"/>
        </w:numPr>
        <w:spacing w:before="120" w:after="120" w:line="240" w:lineRule="auto"/>
        <w:contextualSpacing w:val="0"/>
        <w:jc w:val="both"/>
        <w:rPr>
          <w:rFonts w:ascii="Trebuchet MS" w:eastAsia="Calibri" w:hAnsi="Trebuchet MS" w:cs="Calibri"/>
          <w:color w:val="000000"/>
          <w:sz w:val="22"/>
          <w:szCs w:val="22"/>
          <w:lang w:val="ro-RO" w:eastAsia="ro-RO"/>
        </w:rPr>
      </w:pPr>
      <w:r w:rsidRPr="00517DD1">
        <w:rPr>
          <w:rFonts w:ascii="Trebuchet MS" w:eastAsia="Calibri" w:hAnsi="Trebuchet MS" w:cs="Calibri"/>
          <w:color w:val="000000"/>
          <w:sz w:val="22"/>
          <w:szCs w:val="22"/>
          <w:lang w:val="ro-RO"/>
        </w:rPr>
        <w:t xml:space="preserve">Cu excepția cazurilor în care se prevede în mod expres altfel, nimic din prezenta Convenție nu va fi considerat că acordă, cedează sau transferă în mod direct sau altfel, vreun drept sau titlu în ceea ce privește drepturile de proprietate intelectuală ale fiecărei Părți. Prin prezenta Convenție, nu se cedează niciun drept de proprietate intelectuală. </w:t>
      </w:r>
      <w:r w:rsidRPr="00517DD1">
        <w:rPr>
          <w:rFonts w:ascii="Trebuchet MS" w:eastAsia="Calibri" w:hAnsi="Trebuchet MS" w:cs="Calibri"/>
          <w:color w:val="000000"/>
          <w:sz w:val="22"/>
          <w:szCs w:val="22"/>
          <w:lang w:val="it-IT"/>
        </w:rPr>
        <w:t>Entitatea participantă are un drept de utilizare limitat, licență neexclusivă și netransferabilă.</w:t>
      </w:r>
    </w:p>
    <w:p w14:paraId="39AAAFB1" w14:textId="77777777" w:rsidR="00EB1E18" w:rsidRPr="00517DD1" w:rsidRDefault="00EB1E18" w:rsidP="007129C5">
      <w:pPr>
        <w:pStyle w:val="ListParagraph"/>
        <w:numPr>
          <w:ilvl w:val="0"/>
          <w:numId w:val="28"/>
        </w:numPr>
        <w:spacing w:before="120" w:after="120" w:line="240" w:lineRule="auto"/>
        <w:contextualSpacing w:val="0"/>
        <w:jc w:val="both"/>
        <w:rPr>
          <w:rFonts w:ascii="Trebuchet MS" w:eastAsia="Calibri" w:hAnsi="Trebuchet MS" w:cs="Calibri"/>
          <w:color w:val="000000"/>
          <w:sz w:val="22"/>
          <w:szCs w:val="22"/>
          <w:lang w:val="ro-RO" w:eastAsia="ro-RO"/>
        </w:rPr>
      </w:pPr>
      <w:r w:rsidRPr="00517DD1">
        <w:rPr>
          <w:rFonts w:ascii="Trebuchet MS" w:eastAsia="Calibri" w:hAnsi="Trebuchet MS" w:cs="Calibri"/>
          <w:color w:val="000000"/>
          <w:sz w:val="22"/>
          <w:szCs w:val="22"/>
          <w:lang w:val="it-IT"/>
        </w:rPr>
        <w:t>Fără a aduce atingere principiului accesului la informațiile de interes public, fiecare Parte confirmă și acceptă faptul că cealaltă Parte îi oferă un drept de utilizare cu privire la materialele/informațiile/datele celeilalte Părți în vederea executării acestei Convenții, Partea care le primește urmând ca, dacă este necesar să le disemineze, să o realizeze ca atare și în niciun fel nu poate să le prezinte ca fiind create sau deținute de către ea. Entității participante i se acordă un drept limitat, neexclusiv, netransferabil și revocabil de utilizare a toolkit-ului guvernamental, exclusiv în scopul prevăzut de prezenta Convenție și pe durata acesteia. Prezentele limitări privind utilizarea și redistribuirea toolkit-ului de către Entitatea participantă nu afectează caracterul general, gratuit, transparent și nediscriminatoriu al accesului la toolkit, asigurat de DNSC către toate entitățile interesate, în condițiile stabilite prin Metodologie.</w:t>
      </w:r>
    </w:p>
    <w:p w14:paraId="6422E281" w14:textId="77777777" w:rsidR="00EB1E18" w:rsidRPr="00517DD1" w:rsidRDefault="00EB1E18" w:rsidP="007129C5">
      <w:pPr>
        <w:pStyle w:val="ListParagraph"/>
        <w:numPr>
          <w:ilvl w:val="0"/>
          <w:numId w:val="28"/>
        </w:numPr>
        <w:spacing w:before="120" w:after="120" w:line="240" w:lineRule="auto"/>
        <w:contextualSpacing w:val="0"/>
        <w:jc w:val="both"/>
        <w:rPr>
          <w:rFonts w:ascii="Trebuchet MS" w:eastAsia="Calibri" w:hAnsi="Trebuchet MS" w:cs="Calibri"/>
          <w:color w:val="000000"/>
          <w:sz w:val="22"/>
          <w:szCs w:val="22"/>
          <w:lang w:val="ro-RO" w:eastAsia="ro-RO"/>
        </w:rPr>
      </w:pPr>
      <w:r w:rsidRPr="00517DD1">
        <w:rPr>
          <w:rFonts w:ascii="Trebuchet MS" w:eastAsia="Calibri" w:hAnsi="Trebuchet MS" w:cs="Calibri"/>
          <w:color w:val="000000"/>
          <w:sz w:val="22"/>
          <w:szCs w:val="22"/>
          <w:lang w:val="it-IT"/>
        </w:rPr>
        <w:t>Orice diseminare a acestor materiale/informații/date se va realiza cu acordul prealabil scris al Părții deținătoare a acestor materiale/informații/date. Entitatea participantă nu are dreptul să copieze, modifice, adapteze, decompileze, reverse-engineer sau să creeze lucrări derivate pe baza toolkit-ului guvernamental și nici să îl distribuie sau să îl pună la dispoziția terților.</w:t>
      </w:r>
    </w:p>
    <w:p w14:paraId="29585A76"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Comunicări</w:t>
      </w:r>
    </w:p>
    <w:p w14:paraId="3D93346A" w14:textId="77777777" w:rsidR="00EB1E18" w:rsidRPr="00517DD1" w:rsidRDefault="00EB1E18" w:rsidP="007129C5">
      <w:pPr>
        <w:pStyle w:val="ListParagraph"/>
        <w:numPr>
          <w:ilvl w:val="0"/>
          <w:numId w:val="29"/>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Transmiterea notificărilor între părți se va face cu respectarea dispozițiilor prevăzute în Noul Cod de procedură civilă.</w:t>
      </w:r>
    </w:p>
    <w:p w14:paraId="534E8E4A" w14:textId="77777777" w:rsidR="00EB1E18" w:rsidRPr="00517DD1" w:rsidRDefault="00EB1E18" w:rsidP="007129C5">
      <w:pPr>
        <w:pStyle w:val="ListParagraph"/>
        <w:numPr>
          <w:ilvl w:val="0"/>
          <w:numId w:val="29"/>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Procedura de comunicare se consideră îndeplinită în termenii și condițiile prevăzute în Noul Cod de procedură civilă.</w:t>
      </w:r>
    </w:p>
    <w:p w14:paraId="07B5872D"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 xml:space="preserve">Litigii </w:t>
      </w:r>
    </w:p>
    <w:p w14:paraId="5A0F781A" w14:textId="77777777" w:rsidR="00EB1E18" w:rsidRPr="00517DD1" w:rsidRDefault="00EB1E18" w:rsidP="007129C5">
      <w:pPr>
        <w:pStyle w:val="ListParagraph"/>
        <w:numPr>
          <w:ilvl w:val="0"/>
          <w:numId w:val="30"/>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Fără a aduce atingere altor acorduri între Părți, orice dispute ce decurg din această Convenție vor fi rezolvate pe cale amiabilă între Părți, exclusiv prin consultări și negocieri.</w:t>
      </w:r>
    </w:p>
    <w:p w14:paraId="1E7F6479" w14:textId="77777777" w:rsidR="00EB1E18" w:rsidRPr="00517DD1" w:rsidRDefault="00EB1E18" w:rsidP="007129C5">
      <w:pPr>
        <w:pStyle w:val="ListParagraph"/>
        <w:numPr>
          <w:ilvl w:val="0"/>
          <w:numId w:val="30"/>
        </w:numPr>
        <w:spacing w:before="120" w:after="120" w:line="240" w:lineRule="auto"/>
        <w:contextualSpacing w:val="0"/>
        <w:jc w:val="both"/>
        <w:rPr>
          <w:rFonts w:ascii="Trebuchet MS" w:eastAsia="Calibri" w:hAnsi="Trebuchet MS" w:cs="Arial"/>
          <w:color w:val="000000"/>
          <w:sz w:val="22"/>
          <w:szCs w:val="22"/>
          <w:lang w:val="ro-RO"/>
        </w:rPr>
      </w:pPr>
      <w:r w:rsidRPr="00517DD1">
        <w:rPr>
          <w:rFonts w:ascii="Trebuchet MS" w:eastAsia="Calibri" w:hAnsi="Trebuchet MS" w:cs="Arial"/>
          <w:color w:val="000000"/>
          <w:sz w:val="22"/>
          <w:szCs w:val="22"/>
          <w:lang w:val="ro-RO"/>
        </w:rPr>
        <w:t>Orice dispută, controversă sau neînțelegere apărută ca urmare a sau în legătură cu prezenta Convenție, legată de interpretarea, executarea sau încetarea acestuia, nerezolvată pe cale amiabilă, va fi guvernată, interpretată și soluționată conform legii române.</w:t>
      </w:r>
    </w:p>
    <w:p w14:paraId="183E466F"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Regimul Anexelor</w:t>
      </w:r>
    </w:p>
    <w:p w14:paraId="7A41FE5D" w14:textId="5D84F9FC" w:rsidR="00C13E38" w:rsidRPr="00C13E38" w:rsidRDefault="00EB1E18" w:rsidP="007129C5">
      <w:pPr>
        <w:spacing w:before="120" w:after="120" w:line="240" w:lineRule="auto"/>
        <w:jc w:val="both"/>
        <w:rPr>
          <w:rFonts w:ascii="Trebuchet MS" w:eastAsia="Calibri" w:hAnsi="Trebuchet MS" w:cs="Arial"/>
          <w:color w:val="000000"/>
          <w:sz w:val="22"/>
          <w:szCs w:val="22"/>
          <w:lang w:val="ro-RO"/>
        </w:rPr>
      </w:pPr>
      <w:r w:rsidRPr="00C13E38">
        <w:rPr>
          <w:rFonts w:ascii="Trebuchet MS" w:eastAsia="Calibri" w:hAnsi="Trebuchet MS" w:cs="Arial"/>
          <w:color w:val="000000"/>
          <w:sz w:val="22"/>
          <w:szCs w:val="22"/>
          <w:lang w:val="ro-RO"/>
        </w:rPr>
        <w:t xml:space="preserve"> Anexele reprezintă parte integrantă din prezenta Convenție.</w:t>
      </w:r>
    </w:p>
    <w:p w14:paraId="0C7D1BB7" w14:textId="77777777" w:rsidR="00EB1E18" w:rsidRPr="00517DD1" w:rsidRDefault="00EB1E18" w:rsidP="007129C5">
      <w:pPr>
        <w:pStyle w:val="ListParagraph"/>
        <w:numPr>
          <w:ilvl w:val="0"/>
          <w:numId w:val="32"/>
        </w:numPr>
        <w:spacing w:before="120" w:after="120" w:line="240" w:lineRule="auto"/>
        <w:ind w:left="0" w:firstLine="0"/>
        <w:contextualSpacing w:val="0"/>
        <w:jc w:val="both"/>
        <w:rPr>
          <w:rFonts w:ascii="Trebuchet MS" w:eastAsia="Calibri" w:hAnsi="Trebuchet MS" w:cs="Calibri"/>
          <w:b/>
          <w:color w:val="000000"/>
          <w:sz w:val="22"/>
          <w:szCs w:val="22"/>
          <w:lang w:val="ro-RO"/>
        </w:rPr>
      </w:pPr>
      <w:r w:rsidRPr="00517DD1">
        <w:rPr>
          <w:rFonts w:ascii="Trebuchet MS" w:eastAsia="Calibri" w:hAnsi="Trebuchet MS" w:cs="Calibri"/>
          <w:b/>
          <w:color w:val="000000"/>
          <w:sz w:val="22"/>
          <w:szCs w:val="22"/>
          <w:lang w:val="ro-RO"/>
        </w:rPr>
        <w:t>Clauze finale</w:t>
      </w:r>
    </w:p>
    <w:p w14:paraId="369D013D" w14:textId="77777777" w:rsidR="00EB1E18" w:rsidRPr="00517DD1" w:rsidRDefault="00EB1E18" w:rsidP="007129C5">
      <w:pPr>
        <w:pStyle w:val="ListParagraph"/>
        <w:numPr>
          <w:ilvl w:val="0"/>
          <w:numId w:val="31"/>
        </w:numPr>
        <w:spacing w:before="120" w:after="120" w:line="240" w:lineRule="auto"/>
        <w:contextualSpacing w:val="0"/>
        <w:jc w:val="both"/>
        <w:rPr>
          <w:rFonts w:ascii="Trebuchet MS" w:eastAsia="Times New Roman" w:hAnsi="Trebuchet MS" w:cs="Arial"/>
          <w:kern w:val="0"/>
          <w:sz w:val="22"/>
          <w:szCs w:val="22"/>
          <w:lang w:val="ro-RO"/>
          <w14:ligatures w14:val="none"/>
        </w:rPr>
      </w:pPr>
      <w:r w:rsidRPr="00517DD1">
        <w:rPr>
          <w:rFonts w:ascii="Trebuchet MS" w:eastAsia="Times New Roman" w:hAnsi="Trebuchet MS" w:cs="Arial"/>
          <w:kern w:val="0"/>
          <w:sz w:val="22"/>
          <w:szCs w:val="22"/>
          <w:lang w:val="ro-RO"/>
          <w14:ligatures w14:val="none"/>
        </w:rPr>
        <w:t>Prezenta Convenție, împreună cu orice act parte integrantă a acesteia, prin care s-a dispus detalierea/modificarea/ actualizarea clauzelor, reprezintă voința părților și înlătură orice altă înțelegere verbală dintre acestea, anterioară sau ulterioară încheierii lui.</w:t>
      </w:r>
    </w:p>
    <w:p w14:paraId="40455F1F" w14:textId="77777777" w:rsidR="00EB1E18" w:rsidRPr="00517DD1" w:rsidRDefault="00EB1E18" w:rsidP="007129C5">
      <w:pPr>
        <w:pStyle w:val="ListParagraph"/>
        <w:numPr>
          <w:ilvl w:val="0"/>
          <w:numId w:val="31"/>
        </w:numPr>
        <w:spacing w:before="120" w:after="120" w:line="240" w:lineRule="auto"/>
        <w:contextualSpacing w:val="0"/>
        <w:jc w:val="both"/>
        <w:rPr>
          <w:rFonts w:ascii="Trebuchet MS" w:eastAsia="Times New Roman" w:hAnsi="Trebuchet MS" w:cs="Arial"/>
          <w:kern w:val="0"/>
          <w:sz w:val="22"/>
          <w:szCs w:val="22"/>
          <w:lang w:val="ro-RO"/>
          <w14:ligatures w14:val="none"/>
        </w:rPr>
      </w:pPr>
      <w:r w:rsidRPr="00517DD1">
        <w:rPr>
          <w:rFonts w:ascii="Trebuchet MS" w:eastAsia="Times New Roman" w:hAnsi="Trebuchet MS" w:cs="Arial"/>
          <w:kern w:val="0"/>
          <w:sz w:val="22"/>
          <w:szCs w:val="22"/>
          <w:lang w:val="ro-RO"/>
          <w14:ligatures w14:val="none"/>
        </w:rPr>
        <w:t>În cazul în care orice prevedere/clauză a Convenției devine nelegală sau invalidă conform legii, caracterul legal, valid și executabil al celorlalte clauze contractuale nu va fi afectat de aceasta.</w:t>
      </w:r>
    </w:p>
    <w:p w14:paraId="405EF98F" w14:textId="77777777" w:rsidR="00EB1E18" w:rsidRDefault="00EB1E18" w:rsidP="007129C5">
      <w:pPr>
        <w:pStyle w:val="ListParagraph"/>
        <w:numPr>
          <w:ilvl w:val="0"/>
          <w:numId w:val="31"/>
        </w:numPr>
        <w:spacing w:before="120" w:after="120" w:line="240" w:lineRule="auto"/>
        <w:contextualSpacing w:val="0"/>
        <w:jc w:val="both"/>
        <w:rPr>
          <w:rFonts w:ascii="Trebuchet MS" w:eastAsia="Times New Roman" w:hAnsi="Trebuchet MS" w:cs="Arial"/>
          <w:kern w:val="0"/>
          <w:sz w:val="22"/>
          <w:szCs w:val="22"/>
          <w:lang w:val="ro-RO"/>
          <w14:ligatures w14:val="none"/>
        </w:rPr>
      </w:pPr>
      <w:bookmarkStart w:id="2" w:name="_Hlk150857651"/>
      <w:r w:rsidRPr="00517DD1">
        <w:rPr>
          <w:rFonts w:ascii="Trebuchet MS" w:eastAsia="Times New Roman" w:hAnsi="Trebuchet MS" w:cs="Arial"/>
          <w:kern w:val="0"/>
          <w:sz w:val="22"/>
          <w:szCs w:val="22"/>
          <w:lang w:val="ro-RO"/>
          <w14:ligatures w14:val="none"/>
        </w:rPr>
        <w:t>Prezenta Convenție a fost încheiată astăzi, _____________, într-un număr de 2 (două) exemplare, câte unul pentru fiecare parte. Pentru situația în care ambele părți dispun de semnătură electronică calificată, prezenta Convenție se încheie într-un singur exemplar, semnat prin mijloace electronice - semnătura electronică calificată, având aceeași valoare legală pe care o au documentele pe hârtie semnate olograf.</w:t>
      </w:r>
      <w:bookmarkEnd w:id="2"/>
    </w:p>
    <w:p w14:paraId="57305852" w14:textId="77777777" w:rsidR="002201B6" w:rsidRPr="00517DD1" w:rsidRDefault="002201B6" w:rsidP="007129C5">
      <w:pPr>
        <w:pStyle w:val="ListParagraph"/>
        <w:spacing w:before="120" w:after="120" w:line="240" w:lineRule="auto"/>
        <w:ind w:left="360"/>
        <w:contextualSpacing w:val="0"/>
        <w:jc w:val="both"/>
        <w:rPr>
          <w:rFonts w:ascii="Trebuchet MS" w:eastAsia="Times New Roman" w:hAnsi="Trebuchet MS" w:cs="Arial"/>
          <w:kern w:val="0"/>
          <w:sz w:val="22"/>
          <w:szCs w:val="22"/>
          <w:lang w:val="ro-RO"/>
          <w14:ligatures w14:val="none"/>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937"/>
      </w:tblGrid>
      <w:tr w:rsidR="00EB1E18" w:rsidRPr="00C13E38" w14:paraId="5775EA71" w14:textId="77777777" w:rsidTr="007129C5">
        <w:trPr>
          <w:jc w:val="center"/>
        </w:trPr>
        <w:tc>
          <w:tcPr>
            <w:tcW w:w="5529" w:type="dxa"/>
          </w:tcPr>
          <w:p w14:paraId="1698BFDD"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DIRECTORATUL NAȚIONAL DE SECURITATE CIBERNETICĂ</w:t>
            </w:r>
          </w:p>
          <w:p w14:paraId="7D053DC0"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p>
          <w:p w14:paraId="4D1EDEFE"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 xml:space="preserve">reprezentat legal prin </w:t>
            </w:r>
          </w:p>
          <w:p w14:paraId="345D9403"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 xml:space="preserve">Dan CÎMPEAN </w:t>
            </w:r>
          </w:p>
          <w:p w14:paraId="0503F37C"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Directorul Directoratului Național de Securitate Cibernetică</w:t>
            </w:r>
          </w:p>
          <w:p w14:paraId="03A09EF6"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p>
          <w:p w14:paraId="43FEFEB6"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 xml:space="preserve">reprezentat convențional prin </w:t>
            </w:r>
          </w:p>
          <w:p w14:paraId="287E6090" w14:textId="0BE722A0"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Trebuchet MS" w:hAnsi="Trebuchet MS" w:cs="Trebuchet MS"/>
                <w:color w:val="000000"/>
                <w:sz w:val="22"/>
                <w:szCs w:val="22"/>
                <w:lang w:val="ro-RO"/>
              </w:rPr>
              <w:t xml:space="preserve">doamna Ionica ȘERBAN, în calitate de Manager de proiect, împuternicită prin decizia directorului DNSC </w:t>
            </w:r>
          </w:p>
          <w:p w14:paraId="134B42FE"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p>
          <w:p w14:paraId="4955B31C"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p>
        </w:tc>
        <w:tc>
          <w:tcPr>
            <w:tcW w:w="4937" w:type="dxa"/>
          </w:tcPr>
          <w:p w14:paraId="77C512C8"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it-IT"/>
              </w:rPr>
              <w:t>(Denumire entitate participantă)</w:t>
            </w:r>
          </w:p>
          <w:p w14:paraId="5E6E8C26"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p>
          <w:p w14:paraId="520373A2"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p>
          <w:p w14:paraId="6977E1EB" w14:textId="77777777" w:rsidR="00EB1E18" w:rsidRPr="00C13E38" w:rsidRDefault="00EB1E18" w:rsidP="007129C5">
            <w:pPr>
              <w:spacing w:before="120" w:after="120"/>
              <w:jc w:val="left"/>
              <w:rPr>
                <w:rFonts w:ascii="Trebuchet MS" w:eastAsia="Trebuchet MS" w:hAnsi="Trebuchet MS" w:cs="Trebuchet MS"/>
                <w:color w:val="000000"/>
                <w:sz w:val="22"/>
                <w:szCs w:val="22"/>
                <w:lang w:val="ro-RO"/>
              </w:rPr>
            </w:pPr>
          </w:p>
          <w:p w14:paraId="3722ECEE" w14:textId="77777777" w:rsidR="00EB1E18" w:rsidRPr="00C13E38" w:rsidRDefault="00EB1E18" w:rsidP="007129C5">
            <w:pPr>
              <w:spacing w:before="120" w:after="120"/>
              <w:jc w:val="left"/>
              <w:rPr>
                <w:rFonts w:ascii="Trebuchet MS" w:eastAsia="Trebuchet MS" w:hAnsi="Trebuchet MS" w:cs="Trebuchet MS"/>
                <w:color w:val="000000"/>
                <w:sz w:val="22"/>
                <w:szCs w:val="22"/>
                <w:lang w:val="ro-RO"/>
              </w:rPr>
            </w:pPr>
            <w:r w:rsidRPr="00C13E38">
              <w:rPr>
                <w:rFonts w:ascii="Trebuchet MS" w:eastAsia="Trebuchet MS" w:hAnsi="Trebuchet MS" w:cs="Trebuchet MS"/>
                <w:color w:val="000000"/>
                <w:sz w:val="22"/>
                <w:szCs w:val="22"/>
                <w:lang w:val="ro-RO"/>
              </w:rPr>
              <w:t xml:space="preserve">reprezentată/ă legal/convențional prin </w:t>
            </w:r>
          </w:p>
          <w:p w14:paraId="51E84A44" w14:textId="77777777" w:rsidR="00EB1E18" w:rsidRPr="00C13E38" w:rsidRDefault="00EB1E18" w:rsidP="007129C5">
            <w:pPr>
              <w:spacing w:before="120" w:after="120"/>
              <w:jc w:val="left"/>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_________________________________________</w:t>
            </w:r>
          </w:p>
        </w:tc>
      </w:tr>
    </w:tbl>
    <w:p w14:paraId="61AFE5CA" w14:textId="77777777" w:rsidR="00EB1E18" w:rsidRPr="00C13E38" w:rsidRDefault="00EB1E18" w:rsidP="007129C5">
      <w:pPr>
        <w:spacing w:before="120" w:after="120" w:line="240" w:lineRule="auto"/>
        <w:rPr>
          <w:rFonts w:ascii="Trebuchet MS" w:eastAsia="Calibri" w:hAnsi="Trebuchet MS" w:cs="Calibri"/>
          <w:color w:val="000000"/>
          <w:sz w:val="22"/>
          <w:szCs w:val="22"/>
          <w:lang w:val="ro-RO"/>
        </w:rPr>
      </w:pPr>
    </w:p>
    <w:p w14:paraId="79B0DB1F" w14:textId="77777777" w:rsidR="00EB1E18" w:rsidRPr="00C13E38" w:rsidRDefault="00EB1E18" w:rsidP="007129C5">
      <w:pPr>
        <w:spacing w:before="120" w:after="120" w:line="240" w:lineRule="auto"/>
        <w:rPr>
          <w:rFonts w:ascii="Trebuchet MS" w:eastAsia="Calibri" w:hAnsi="Trebuchet MS" w:cs="Calibri"/>
          <w:color w:val="000000"/>
          <w:sz w:val="22"/>
          <w:szCs w:val="22"/>
          <w:lang w:val="ro-RO"/>
        </w:rPr>
      </w:pPr>
    </w:p>
    <w:p w14:paraId="08976002" w14:textId="77777777" w:rsidR="00EB1E18" w:rsidRDefault="00EB1E18" w:rsidP="007129C5">
      <w:pPr>
        <w:spacing w:before="120" w:after="120" w:line="240" w:lineRule="auto"/>
        <w:jc w:val="center"/>
        <w:rPr>
          <w:rFonts w:ascii="Trebuchet MS" w:eastAsia="Calibri" w:hAnsi="Trebuchet MS" w:cs="Calibri"/>
          <w:b/>
          <w:color w:val="000000"/>
          <w:sz w:val="22"/>
          <w:szCs w:val="22"/>
          <w:lang w:val="ro-RO"/>
        </w:rPr>
      </w:pPr>
      <w:r w:rsidRPr="00C13E38">
        <w:rPr>
          <w:rFonts w:ascii="Trebuchet MS" w:eastAsia="Calibri" w:hAnsi="Trebuchet MS" w:cs="Calibri"/>
          <w:b/>
          <w:color w:val="000000"/>
          <w:sz w:val="22"/>
          <w:szCs w:val="22"/>
          <w:lang w:val="ro-RO"/>
        </w:rPr>
        <w:t>NOTA INFORMARE - PRELUCRARE DATE CU CARACTER PERSONAL</w:t>
      </w:r>
    </w:p>
    <w:p w14:paraId="441C2270" w14:textId="77777777" w:rsidR="00C13E38" w:rsidRPr="00C13E38" w:rsidRDefault="00C13E38" w:rsidP="007129C5">
      <w:pPr>
        <w:spacing w:before="120" w:after="120" w:line="240" w:lineRule="auto"/>
        <w:jc w:val="center"/>
        <w:rPr>
          <w:rFonts w:ascii="Trebuchet MS" w:eastAsia="Calibri" w:hAnsi="Trebuchet MS" w:cs="Calibri"/>
          <w:b/>
          <w:color w:val="000000"/>
          <w:sz w:val="22"/>
          <w:szCs w:val="22"/>
          <w:lang w:val="ro-RO"/>
        </w:rPr>
      </w:pPr>
    </w:p>
    <w:p w14:paraId="7FE68145"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b/>
          <w:color w:val="000000"/>
          <w:sz w:val="22"/>
          <w:szCs w:val="22"/>
          <w:lang w:val="ro-RO"/>
        </w:rPr>
        <w:t>DIRECTORATUL NAȚIONAL DE SECURITATE CIBERNETICĂ</w:t>
      </w:r>
      <w:r w:rsidRPr="00C13E38">
        <w:rPr>
          <w:rFonts w:ascii="Trebuchet MS" w:eastAsia="Calibri" w:hAnsi="Trebuchet MS" w:cs="Calibri"/>
          <w:color w:val="000000"/>
          <w:sz w:val="22"/>
          <w:szCs w:val="22"/>
          <w:lang w:val="ro-RO"/>
        </w:rPr>
        <w:t xml:space="preserve">, cu sediul în Municipiul București, Sectorul 2, str. Italiană, nr. 22, cod poștal 020976, telefon: (+40) 316-202.187, fax: (+40) 316-202.190, e-mail: </w:t>
      </w:r>
      <w:hyperlink r:id="rId11" w:history="1">
        <w:r w:rsidRPr="00C13E38">
          <w:rPr>
            <w:rFonts w:ascii="Trebuchet MS" w:eastAsia="Calibri" w:hAnsi="Trebuchet MS" w:cs="Calibri"/>
            <w:color w:val="467886"/>
            <w:sz w:val="22"/>
            <w:szCs w:val="22"/>
            <w:u w:val="single"/>
            <w:lang w:val="ro-RO"/>
          </w:rPr>
          <w:t>office@dnsc.ro</w:t>
        </w:r>
      </w:hyperlink>
      <w:r w:rsidRPr="00C13E38">
        <w:rPr>
          <w:rFonts w:ascii="Trebuchet MS" w:eastAsia="Calibri" w:hAnsi="Trebuchet MS" w:cs="Calibri"/>
          <w:color w:val="000000"/>
          <w:sz w:val="22"/>
          <w:szCs w:val="22"/>
          <w:lang w:val="ro-RO"/>
        </w:rPr>
        <w:t xml:space="preserve"> , având cod fiscal 28598894, cont având cod IBAN: RO79TREZ7025032XXX022779 deschis la Trezoreria Statului Sector 2, reprezentată legal prin domnul Dan CÎMPEAN, în calitate de Director al Directoratului Național de Securitate Cibernetică, în calitate de operator de date cu caracter personal, denumită în continuare „Operatorul”/ „DNSC”.</w:t>
      </w:r>
    </w:p>
    <w:p w14:paraId="48FA40A2"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DNSC emite prezenta informare referitoare la prelucrarea datelor dumneavoastră cu caracter personal (denumită în continuare “Informarea”), respectiv cu privire la drepturile de care beneficiați conform Regulamentului UE nr. 679/2016 (“GDPR”), categoriile de date prelucrate, scopul prelucrării, temeiul prelucrării și durata prelucrării și/sau stocării datelor.</w:t>
      </w:r>
    </w:p>
    <w:p w14:paraId="438E5766"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b/>
          <w:color w:val="000000"/>
          <w:sz w:val="22"/>
          <w:szCs w:val="22"/>
          <w:lang w:val="ro-RO"/>
        </w:rPr>
        <w:t>Drepturile Persoanei vizate</w:t>
      </w:r>
      <w:r w:rsidRPr="00C13E38">
        <w:rPr>
          <w:rFonts w:ascii="Trebuchet MS" w:eastAsia="Calibri" w:hAnsi="Trebuchet MS" w:cs="Calibri"/>
          <w:color w:val="000000"/>
          <w:sz w:val="22"/>
          <w:szCs w:val="22"/>
          <w:lang w:val="ro-RO"/>
        </w:rPr>
        <w:t xml:space="preserve"> - Conform Regulamentului, în calitate de Persoană vizată, aveți următoarele drepturi: dreptul de acces la date, dreptul la rectificarea datelor cu caracter personal, dreptul la ștergerea datelor cu caracter personal, dreptul la restricționarea prelucrării, dreptul la portabilitatea datelor cu caracter personal, dreptul la opoziție, dreptul de retragere oricând a consimțământului (când prelucrarea este bazată pe consimțământ), dreptul de a depune plângere în mod direct în fața Autorității de Supraveghere (</w:t>
      </w:r>
      <w:hyperlink r:id="rId12" w:history="1">
        <w:r w:rsidRPr="00C13E38">
          <w:rPr>
            <w:rFonts w:ascii="Trebuchet MS" w:eastAsia="Calibri" w:hAnsi="Trebuchet MS" w:cs="Calibri"/>
            <w:color w:val="467886"/>
            <w:sz w:val="22"/>
            <w:szCs w:val="22"/>
            <w:u w:val="single"/>
            <w:lang w:val="ro-RO"/>
          </w:rPr>
          <w:t>www.dataprotection.ro</w:t>
        </w:r>
      </w:hyperlink>
      <w:r w:rsidRPr="00C13E38">
        <w:rPr>
          <w:rFonts w:ascii="Trebuchet MS" w:eastAsia="Calibri" w:hAnsi="Trebuchet MS" w:cs="Calibri"/>
          <w:color w:val="000000"/>
          <w:sz w:val="22"/>
          <w:szCs w:val="22"/>
          <w:lang w:val="ro-RO"/>
        </w:rPr>
        <w:t>), dreptul de a nu face obiectul unei decizii bazate exclusiv pe prelucrarea automată, inclusiv crearea de profiluri și dreptul de a vă adresa în mod direct justitiei.</w:t>
      </w:r>
    </w:p>
    <w:p w14:paraId="46BBC802" w14:textId="77777777" w:rsidR="00EB1E18" w:rsidRPr="00C13E38" w:rsidRDefault="00EB1E18" w:rsidP="007129C5">
      <w:pPr>
        <w:spacing w:before="120" w:after="120" w:line="240" w:lineRule="auto"/>
        <w:jc w:val="both"/>
        <w:rPr>
          <w:rFonts w:ascii="Trebuchet MS" w:eastAsia="Calibri" w:hAnsi="Trebuchet MS" w:cs="Calibri"/>
          <w:b/>
          <w:color w:val="000000"/>
          <w:sz w:val="22"/>
          <w:szCs w:val="22"/>
          <w:lang w:val="ro-RO"/>
        </w:rPr>
      </w:pPr>
      <w:r w:rsidRPr="00C13E38">
        <w:rPr>
          <w:rFonts w:ascii="Trebuchet MS" w:eastAsia="Calibri" w:hAnsi="Trebuchet MS" w:cs="Calibri"/>
          <w:b/>
          <w:color w:val="000000"/>
          <w:sz w:val="22"/>
          <w:szCs w:val="22"/>
          <w:lang w:val="ro-RO"/>
        </w:rPr>
        <w:t>Categoriile de date prelucrate</w:t>
      </w:r>
    </w:p>
    <w:tbl>
      <w:tblPr>
        <w:tblStyle w:val="TableGrid0"/>
        <w:tblW w:w="10435" w:type="dxa"/>
        <w:tblLook w:val="04A0" w:firstRow="1" w:lastRow="0" w:firstColumn="1" w:lastColumn="0" w:noHBand="0" w:noVBand="1"/>
      </w:tblPr>
      <w:tblGrid>
        <w:gridCol w:w="4815"/>
        <w:gridCol w:w="5620"/>
      </w:tblGrid>
      <w:tr w:rsidR="00EB1E18" w:rsidRPr="00C13E38" w14:paraId="61302472" w14:textId="77777777" w:rsidTr="00A40BA2">
        <w:tc>
          <w:tcPr>
            <w:tcW w:w="4815" w:type="dxa"/>
          </w:tcPr>
          <w:p w14:paraId="2CF4DA68" w14:textId="77777777" w:rsidR="00EB1E18" w:rsidRPr="00C13E38" w:rsidRDefault="00EB1E18" w:rsidP="007129C5">
            <w:pPr>
              <w:spacing w:before="120" w:after="120"/>
              <w:rPr>
                <w:rFonts w:ascii="Trebuchet MS" w:eastAsia="Calibri" w:hAnsi="Trebuchet MS" w:cs="Calibri"/>
                <w:b/>
                <w:color w:val="000000"/>
                <w:sz w:val="22"/>
                <w:szCs w:val="22"/>
                <w:lang w:val="ro-RO"/>
              </w:rPr>
            </w:pPr>
            <w:r w:rsidRPr="00C13E38">
              <w:rPr>
                <w:rFonts w:ascii="Trebuchet MS" w:eastAsia="Calibri" w:hAnsi="Trebuchet MS" w:cs="Calibri"/>
                <w:b/>
                <w:color w:val="000000"/>
                <w:sz w:val="22"/>
                <w:szCs w:val="22"/>
                <w:lang w:val="ro-RO"/>
              </w:rPr>
              <w:t>Date prelucrate în cazul prezenta convenție și a anexelor sale</w:t>
            </w:r>
          </w:p>
        </w:tc>
        <w:tc>
          <w:tcPr>
            <w:tcW w:w="5620" w:type="dxa"/>
          </w:tcPr>
          <w:p w14:paraId="486B8DEA" w14:textId="77777777" w:rsidR="00EB1E18" w:rsidRPr="00C13E38" w:rsidRDefault="00EB1E18" w:rsidP="007129C5">
            <w:pPr>
              <w:spacing w:before="120" w:after="120"/>
              <w:rPr>
                <w:rFonts w:ascii="Trebuchet MS" w:eastAsia="Calibri" w:hAnsi="Trebuchet MS" w:cs="Calibri"/>
                <w:b/>
                <w:color w:val="000000"/>
                <w:sz w:val="22"/>
                <w:szCs w:val="22"/>
                <w:lang w:val="ro-RO"/>
              </w:rPr>
            </w:pPr>
            <w:r w:rsidRPr="00C13E38">
              <w:rPr>
                <w:rFonts w:ascii="Trebuchet MS" w:eastAsia="Calibri" w:hAnsi="Trebuchet MS" w:cs="Calibri"/>
                <w:b/>
                <w:color w:val="000000"/>
                <w:sz w:val="22"/>
                <w:szCs w:val="22"/>
                <w:lang w:val="ro-RO"/>
              </w:rPr>
              <w:t xml:space="preserve">Date prelucrate utilizării platformei de evaluare </w:t>
            </w:r>
          </w:p>
        </w:tc>
      </w:tr>
      <w:tr w:rsidR="00EB1E18" w:rsidRPr="00C13E38" w14:paraId="2A5CF876" w14:textId="77777777" w:rsidTr="00A40BA2">
        <w:tc>
          <w:tcPr>
            <w:tcW w:w="4815" w:type="dxa"/>
          </w:tcPr>
          <w:p w14:paraId="0EF30C79" w14:textId="77777777" w:rsidR="00EB1E18" w:rsidRPr="00C13E38" w:rsidRDefault="00EB1E18" w:rsidP="007129C5">
            <w:pPr>
              <w:spacing w:before="120" w:after="120"/>
              <w:rPr>
                <w:rFonts w:ascii="Trebuchet MS" w:eastAsia="Calibri" w:hAnsi="Trebuchet MS" w:cs="Calibri"/>
                <w:b/>
                <w:color w:val="000000"/>
                <w:sz w:val="22"/>
                <w:szCs w:val="22"/>
                <w:lang w:val="ro-RO"/>
              </w:rPr>
            </w:pPr>
            <w:r w:rsidRPr="00C13E38">
              <w:rPr>
                <w:rFonts w:ascii="Trebuchet MS" w:eastAsia="Calibri" w:hAnsi="Trebuchet MS" w:cs="Calibri"/>
                <w:color w:val="000000"/>
                <w:sz w:val="22"/>
                <w:szCs w:val="22"/>
                <w:lang w:val="ro-RO"/>
              </w:rPr>
              <w:t>Nume, Prenume, adresă, adresa de e-mail, numărul de telefon, date de identificare și de contact ale împuternicitului/ reprezentantului legal  (prenume, nume, adresă, e-mail și/sau număr de telefon), identificator intern (ID beneficiar)</w:t>
            </w:r>
          </w:p>
        </w:tc>
        <w:tc>
          <w:tcPr>
            <w:tcW w:w="5620" w:type="dxa"/>
          </w:tcPr>
          <w:p w14:paraId="1D323661" w14:textId="77777777" w:rsidR="00EB1E18" w:rsidRPr="00C13E38" w:rsidRDefault="00EB1E18" w:rsidP="007129C5">
            <w:pPr>
              <w:spacing w:before="120" w:after="120"/>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Adresă IP; adresă de e-mail; identificatori de utilizator (username / ID cont); roluri și drepturi de acces; date privind autentificarea (fără parole în clar); loguri de acces și activitate (data și ora accesului, acțiuni efectuate în platformă); răspunsuri la chestionarele de evaluare; rezultate generate (scoruri, nivel de maturitate, rapoarte de evaluare); date tehnice necesare funcționării aplicației</w:t>
            </w:r>
          </w:p>
        </w:tc>
      </w:tr>
    </w:tbl>
    <w:p w14:paraId="4BB49CCF"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b/>
          <w:color w:val="000000"/>
          <w:sz w:val="22"/>
          <w:szCs w:val="22"/>
          <w:lang w:val="ro-RO"/>
        </w:rPr>
        <w:t>Scopurile prelucrării</w:t>
      </w:r>
      <w:r w:rsidRPr="00C13E38">
        <w:rPr>
          <w:rFonts w:ascii="Trebuchet MS" w:eastAsia="Calibri" w:hAnsi="Trebuchet MS" w:cs="Calibri"/>
          <w:color w:val="000000"/>
          <w:sz w:val="22"/>
          <w:szCs w:val="22"/>
          <w:lang w:val="ro-RO"/>
        </w:rPr>
        <w:t>: Executarea Convenției; furnizarea de informații către diverse instituții, autorități publice, arhivare; recuperarea creanțelor (inclusiv echipamente sau soluționarea altor aspecte juridice derivate din Convenție); realizarea de statistici, analize interne, dezvoltarea de produse și/sau servicii; revizia, asigurarea mentenanței echipamentelor, rețelelor și alte operațiuni similare, măsurarea și monitorizarea stării tehnice a echipamentului.</w:t>
      </w:r>
    </w:p>
    <w:p w14:paraId="6AF09826"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 xml:space="preserve">Temeiul prelucrării - Executarea unui contract la care dumneavoastră sunteți parte (Art. 6 alin. 1, lit. b - GDPR), obligație legală (Art. 6, alin. </w:t>
      </w:r>
      <w:r w:rsidRPr="00C13E38">
        <w:rPr>
          <w:rFonts w:ascii="Trebuchet MS" w:eastAsia="Calibri" w:hAnsi="Trebuchet MS" w:cs="Calibri"/>
          <w:color w:val="000000"/>
          <w:sz w:val="22"/>
          <w:szCs w:val="22"/>
          <w:lang w:val="it-IT"/>
        </w:rPr>
        <w:t>1, lit. c - GDPR), interesul legitim al DNSC de a exercita și apăra diferite cereri/acțiuni la instanțele de judecată, autorități, instituții publice și/sau alte entități conform legii (Art. 6, alin. 1, lit. f - GDPR), interesul legitim al DNSC de a evalua activitatea curentă în vederea îmbunătățirii și dezvoltării acesteia, inclusiv îmbunătățirea instrumentelor standardizate utilizate în cadrul proiectului (Art. 6, alin. 1, lit. f - GDPR).</w:t>
      </w:r>
    </w:p>
    <w:p w14:paraId="2B09D9AD"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b/>
          <w:color w:val="000000"/>
          <w:sz w:val="22"/>
          <w:szCs w:val="22"/>
          <w:lang w:val="ro-RO"/>
        </w:rPr>
        <w:t>Durata de stocare</w:t>
      </w:r>
      <w:r w:rsidRPr="00C13E38">
        <w:rPr>
          <w:rFonts w:ascii="Trebuchet MS" w:eastAsia="Calibri" w:hAnsi="Trebuchet MS" w:cs="Calibri"/>
          <w:color w:val="000000"/>
          <w:sz w:val="22"/>
          <w:szCs w:val="22"/>
          <w:lang w:val="ro-RO"/>
        </w:rPr>
        <w:t xml:space="preserve"> (criteriile utilizate pentru a stabili perioada de stocare) - în funcție de categoriile de date și/sau de temeiul prelucrării, datele sunt stocate pentru o perioadă de:</w:t>
      </w:r>
    </w:p>
    <w:p w14:paraId="33F07CAB"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it-IT"/>
        </w:rPr>
        <w:t>• 3 ani plus o lună de la data (i) încetării Convenției, în situația în care Entitatea participantă și-a îndeplinit toate obligațiile față de DNSC sau (ii) la care DNSC obține un titlu executoriu definitiv referitor la îndeplinirea de către Entitatea participantă a obligațiilor rămase neexecutate - spre exemplu, aceste criterii se referă la datele generate ca urmare a utilizării instrumentelor în cadrul prezentei Convenții;</w:t>
      </w:r>
    </w:p>
    <w:p w14:paraId="2BEB7627"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 xml:space="preserve">• 5 ani calculați (i) de la data de 1 iulie a anului următor celui în care încetează efectele Convenției dacă dumneavoastră nu mai aveți obligații neîndeplinite față de DNSC sau (ii) de la data la care DNSC obține un </w:t>
      </w:r>
    </w:p>
    <w:p w14:paraId="03207B55"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 xml:space="preserve">titlu executoriu definitiv referitor la îndeplinirea de către dumneavoastră a obligațiilor rămase neexecutate - spre exemplu, aceste criterii se referă la datele de identificare și/sau alte date din contract; </w:t>
      </w:r>
    </w:p>
    <w:p w14:paraId="10281218"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b/>
          <w:color w:val="000000"/>
          <w:sz w:val="22"/>
          <w:szCs w:val="22"/>
          <w:lang w:val="ro-RO"/>
        </w:rPr>
        <w:t>Destinatarii sau categoriile de destinatari</w:t>
      </w:r>
      <w:r w:rsidRPr="00C13E38">
        <w:rPr>
          <w:rFonts w:ascii="Trebuchet MS" w:eastAsia="Calibri" w:hAnsi="Trebuchet MS" w:cs="Calibri"/>
          <w:color w:val="000000"/>
          <w:sz w:val="22"/>
          <w:szCs w:val="22"/>
          <w:lang w:val="ro-RO"/>
        </w:rPr>
        <w:t xml:space="preserve"> - Persoana vizată, împuternicitul persoanei vizate (dacă este cazul), instituții și/sau autorități publice, instanțe de judecată, organe de arbitraj, profesioniști în aria insolvenței și falimentului, executori judecătorești, societăți de recuperare creanțe/debite, avocați, traducători, experți, mediatori, instituții de credit, instituții publice, auditori, terți care pot furniza servicii de revizie, mentenanță, terți care asigură tipărirea și transmiterea corespondenței (după caz).</w:t>
      </w:r>
    </w:p>
    <w:p w14:paraId="6C4AEE9F"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r w:rsidRPr="00C13E38">
        <w:rPr>
          <w:rFonts w:ascii="Trebuchet MS" w:eastAsia="Calibri" w:hAnsi="Trebuchet MS" w:cs="Calibri"/>
          <w:color w:val="000000"/>
          <w:sz w:val="22"/>
          <w:szCs w:val="22"/>
          <w:lang w:val="ro-RO"/>
        </w:rPr>
        <w:t>Datele nu sunt transferate în afara Uniunii Europene și/sau a Spațiului Economic European sau către o organizație internațională.</w:t>
      </w:r>
    </w:p>
    <w:p w14:paraId="11B13AAF"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p>
    <w:p w14:paraId="5724F4DC" w14:textId="77777777" w:rsidR="00EB1E18" w:rsidRPr="00C13E38" w:rsidRDefault="00EB1E18" w:rsidP="007129C5">
      <w:pPr>
        <w:spacing w:before="120" w:after="120" w:line="240" w:lineRule="auto"/>
        <w:jc w:val="both"/>
        <w:rPr>
          <w:rFonts w:ascii="Trebuchet MS" w:eastAsia="Calibri" w:hAnsi="Trebuchet MS" w:cs="Calibri"/>
          <w:color w:val="000000"/>
          <w:sz w:val="22"/>
          <w:szCs w:val="22"/>
          <w:lang w:val="ro-RO"/>
        </w:rPr>
      </w:pPr>
    </w:p>
    <w:p w14:paraId="64D6478E" w14:textId="77777777" w:rsidR="00EB1E18" w:rsidRPr="00C13E38" w:rsidRDefault="00EB1E18" w:rsidP="007129C5">
      <w:pPr>
        <w:spacing w:before="120" w:after="120" w:line="240" w:lineRule="auto"/>
        <w:rPr>
          <w:rFonts w:ascii="Trebuchet MS" w:eastAsia="Calibri" w:hAnsi="Trebuchet MS" w:cs="Calibri"/>
          <w:b/>
          <w:bCs/>
          <w:color w:val="000000"/>
          <w:sz w:val="22"/>
          <w:szCs w:val="22"/>
          <w:lang w:val="ro-RO"/>
        </w:rPr>
      </w:pPr>
    </w:p>
    <w:p w14:paraId="0B840B26" w14:textId="77777777" w:rsidR="00EB1E18" w:rsidRPr="00C13E38" w:rsidRDefault="00EB1E18" w:rsidP="007129C5">
      <w:pPr>
        <w:spacing w:before="120" w:after="120" w:line="240" w:lineRule="auto"/>
        <w:rPr>
          <w:rFonts w:ascii="Trebuchet MS" w:eastAsia="Calibri" w:hAnsi="Trebuchet MS" w:cs="Calibri"/>
          <w:b/>
          <w:bCs/>
          <w:color w:val="000000"/>
          <w:sz w:val="22"/>
          <w:szCs w:val="22"/>
          <w:lang w:val="ro-RO"/>
        </w:rPr>
      </w:pPr>
    </w:p>
    <w:sectPr w:rsidR="00EB1E18" w:rsidRPr="00C13E38" w:rsidSect="00EB1E18">
      <w:headerReference w:type="even" r:id="rId13"/>
      <w:headerReference w:type="default" r:id="rId14"/>
      <w:footerReference w:type="even" r:id="rId15"/>
      <w:footerReference w:type="default" r:id="rId16"/>
      <w:headerReference w:type="first" r:id="rId17"/>
      <w:footerReference w:type="first" r:id="rId18"/>
      <w:pgSz w:w="11906" w:h="16838" w:code="9"/>
      <w:pgMar w:top="1077" w:right="720" w:bottom="720" w:left="720" w:header="709" w:footer="7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F3BC" w14:textId="77777777" w:rsidR="00FC0D86" w:rsidRDefault="00FC0D86">
      <w:pPr>
        <w:spacing w:after="0" w:line="240" w:lineRule="auto"/>
      </w:pPr>
      <w:r>
        <w:separator/>
      </w:r>
    </w:p>
  </w:endnote>
  <w:endnote w:type="continuationSeparator" w:id="0">
    <w:p w14:paraId="1484EA20" w14:textId="77777777" w:rsidR="00FC0D86" w:rsidRDefault="00FC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82D6" w14:textId="77777777" w:rsidR="00EB1E18" w:rsidRDefault="00EB1E18">
    <w:pPr>
      <w:tabs>
        <w:tab w:val="center" w:pos="4676"/>
      </w:tabs>
      <w:spacing w:line="259" w:lineRule="auto"/>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BBFD" w14:textId="6E39ACD9" w:rsidR="00EB1E18" w:rsidRPr="00D3137A" w:rsidRDefault="007129C5">
    <w:pPr>
      <w:tabs>
        <w:tab w:val="center" w:pos="4676"/>
      </w:tabs>
      <w:spacing w:line="259" w:lineRule="auto"/>
      <w:rPr>
        <w:rFonts w:ascii="Trebuchet MS" w:hAnsi="Trebuchet MS"/>
        <w:sz w:val="20"/>
      </w:rPr>
    </w:pPr>
    <w:r>
      <w:rPr>
        <w:rFonts w:ascii="Trebuchet MS" w:hAnsi="Trebuchet MS"/>
        <w:b/>
        <w:bCs/>
        <w:color w:val="808080"/>
        <w:sz w:val="16"/>
        <w:szCs w:val="16"/>
        <w:lang w:val="en-GB"/>
      </w:rPr>
      <w:t xml:space="preserve">PNRR 184 </w:t>
    </w:r>
    <w:r w:rsidRPr="007129C5">
      <w:rPr>
        <w:rFonts w:ascii="Trebuchet MS" w:hAnsi="Trebuchet MS"/>
        <w:b/>
        <w:bCs/>
        <w:color w:val="808080"/>
        <w:sz w:val="16"/>
        <w:szCs w:val="16"/>
        <w:lang w:val="en-GB"/>
      </w:rPr>
      <w:t>ANEXA 2</w:t>
    </w:r>
    <w:r>
      <w:rPr>
        <w:rFonts w:ascii="Trebuchet MS" w:hAnsi="Trebuchet MS"/>
        <w:b/>
        <w:bCs/>
        <w:color w:val="808080"/>
        <w:sz w:val="16"/>
        <w:szCs w:val="16"/>
        <w:lang w:val="en-GB"/>
      </w:rPr>
      <w:tab/>
    </w:r>
    <w:r w:rsidR="00EB1E18" w:rsidRPr="00EB1E18">
      <w:rPr>
        <w:rFonts w:ascii="Trebuchet MS" w:hAnsi="Trebuchet MS"/>
        <w:b/>
        <w:bCs/>
        <w:color w:val="808080"/>
        <w:sz w:val="16"/>
        <w:szCs w:val="16"/>
        <w:lang w:val="en-GB"/>
      </w:rPr>
      <w:t xml:space="preserve"> NECLASIFICAT</w:t>
    </w:r>
    <w:r>
      <w:rPr>
        <w:rFonts w:ascii="Trebuchet MS" w:hAnsi="Trebuchet MS"/>
        <w:b/>
        <w:bCs/>
        <w:color w:val="808080"/>
        <w:sz w:val="16"/>
        <w:szCs w:val="16"/>
        <w:lang w:val="en-GB"/>
      </w:rPr>
      <w:t xml:space="preserve"> </w:t>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Pr>
        <w:rFonts w:ascii="Trebuchet MS" w:hAnsi="Trebuchet MS"/>
        <w:b/>
        <w:bCs/>
        <w:color w:val="808080"/>
        <w:sz w:val="16"/>
        <w:szCs w:val="16"/>
        <w:lang w:val="en-GB"/>
      </w:rPr>
      <w:tab/>
    </w:r>
    <w:r w:rsidR="00EB1E18" w:rsidRPr="00EB1E18">
      <w:rPr>
        <w:rFonts w:ascii="Trebuchet MS" w:hAnsi="Trebuchet MS"/>
        <w:b/>
        <w:bCs/>
        <w:color w:val="808080"/>
        <w:sz w:val="16"/>
        <w:szCs w:val="16"/>
        <w:lang w:val="en-GB"/>
      </w:rPr>
      <w:t xml:space="preserve">Pagina </w:t>
    </w:r>
    <w:r w:rsidR="00EB1E18" w:rsidRPr="00EB1E18">
      <w:rPr>
        <w:rFonts w:ascii="Trebuchet MS" w:hAnsi="Trebuchet MS"/>
        <w:b/>
        <w:bCs/>
        <w:color w:val="808080"/>
        <w:sz w:val="16"/>
        <w:szCs w:val="16"/>
        <w:lang w:val="en-GB"/>
      </w:rPr>
      <w:fldChar w:fldCharType="begin"/>
    </w:r>
    <w:r w:rsidR="00EB1E18" w:rsidRPr="00EB1E18">
      <w:rPr>
        <w:rFonts w:ascii="Trebuchet MS" w:hAnsi="Trebuchet MS"/>
        <w:b/>
        <w:bCs/>
        <w:color w:val="808080"/>
        <w:sz w:val="16"/>
        <w:szCs w:val="16"/>
        <w:lang w:val="en-GB"/>
      </w:rPr>
      <w:instrText xml:space="preserve"> PAGE  \* Arabic  \* MERGEFORMAT </w:instrText>
    </w:r>
    <w:r w:rsidR="00EB1E18" w:rsidRPr="00EB1E18">
      <w:rPr>
        <w:rFonts w:ascii="Trebuchet MS" w:hAnsi="Trebuchet MS"/>
        <w:b/>
        <w:bCs/>
        <w:color w:val="808080"/>
        <w:sz w:val="16"/>
        <w:szCs w:val="16"/>
        <w:lang w:val="en-GB"/>
      </w:rPr>
      <w:fldChar w:fldCharType="separate"/>
    </w:r>
    <w:r w:rsidR="00EB1E18" w:rsidRPr="00EB1E18">
      <w:rPr>
        <w:rFonts w:ascii="Trebuchet MS" w:hAnsi="Trebuchet MS"/>
        <w:b/>
        <w:bCs/>
        <w:color w:val="808080"/>
        <w:sz w:val="16"/>
        <w:szCs w:val="16"/>
        <w:lang w:val="en-GB"/>
      </w:rPr>
      <w:t>1</w:t>
    </w:r>
    <w:r w:rsidR="00EB1E18" w:rsidRPr="00EB1E18">
      <w:rPr>
        <w:rFonts w:ascii="Trebuchet MS" w:hAnsi="Trebuchet MS"/>
        <w:b/>
        <w:bCs/>
        <w:color w:val="808080"/>
        <w:sz w:val="16"/>
        <w:szCs w:val="16"/>
        <w:lang w:val="en-GB"/>
      </w:rPr>
      <w:fldChar w:fldCharType="end"/>
    </w:r>
    <w:r w:rsidR="00EB1E18" w:rsidRPr="00EB1E18">
      <w:rPr>
        <w:rFonts w:ascii="Trebuchet MS" w:hAnsi="Trebuchet MS"/>
        <w:b/>
        <w:bCs/>
        <w:color w:val="808080"/>
        <w:sz w:val="16"/>
        <w:szCs w:val="16"/>
        <w:lang w:val="en-GB"/>
      </w:rPr>
      <w:t xml:space="preserve"> / </w:t>
    </w:r>
    <w:r w:rsidR="00EB1E18" w:rsidRPr="00EB1E18">
      <w:rPr>
        <w:rFonts w:ascii="Trebuchet MS" w:hAnsi="Trebuchet MS"/>
        <w:b/>
        <w:bCs/>
        <w:color w:val="808080"/>
        <w:sz w:val="16"/>
        <w:szCs w:val="16"/>
        <w:lang w:val="en-GB"/>
      </w:rPr>
      <w:fldChar w:fldCharType="begin"/>
    </w:r>
    <w:r w:rsidR="00EB1E18" w:rsidRPr="00EB1E18">
      <w:rPr>
        <w:rFonts w:ascii="Trebuchet MS" w:hAnsi="Trebuchet MS"/>
        <w:b/>
        <w:bCs/>
        <w:color w:val="808080"/>
        <w:sz w:val="16"/>
        <w:szCs w:val="16"/>
        <w:lang w:val="en-GB"/>
      </w:rPr>
      <w:instrText xml:space="preserve"> NUMPAGES  \* Arabic  \* MERGEFORMAT </w:instrText>
    </w:r>
    <w:r w:rsidR="00EB1E18" w:rsidRPr="00EB1E18">
      <w:rPr>
        <w:rFonts w:ascii="Trebuchet MS" w:hAnsi="Trebuchet MS"/>
        <w:b/>
        <w:bCs/>
        <w:color w:val="808080"/>
        <w:sz w:val="16"/>
        <w:szCs w:val="16"/>
        <w:lang w:val="en-GB"/>
      </w:rPr>
      <w:fldChar w:fldCharType="separate"/>
    </w:r>
    <w:r w:rsidR="00EB1E18" w:rsidRPr="00EB1E18">
      <w:rPr>
        <w:rFonts w:ascii="Trebuchet MS" w:hAnsi="Trebuchet MS"/>
        <w:b/>
        <w:bCs/>
        <w:color w:val="808080"/>
        <w:sz w:val="16"/>
        <w:szCs w:val="16"/>
        <w:lang w:val="en-GB"/>
      </w:rPr>
      <w:t>23</w:t>
    </w:r>
    <w:r w:rsidR="00EB1E18" w:rsidRPr="00EB1E18">
      <w:rPr>
        <w:rFonts w:ascii="Trebuchet MS" w:hAnsi="Trebuchet MS"/>
        <w:b/>
        <w:bCs/>
        <w:color w:val="808080"/>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09CF" w14:textId="77777777" w:rsidR="00EB1E18" w:rsidRPr="00EB1E18" w:rsidRDefault="00EB1E18" w:rsidP="00781EE7">
    <w:pPr>
      <w:pStyle w:val="Footer"/>
      <w:pBdr>
        <w:top w:val="single" w:sz="4" w:space="1" w:color="auto"/>
      </w:pBdr>
      <w:tabs>
        <w:tab w:val="clear" w:pos="4680"/>
        <w:tab w:val="clear" w:pos="9360"/>
      </w:tabs>
      <w:rPr>
        <w:b/>
        <w:bCs/>
        <w:color w:val="808080"/>
        <w:sz w:val="16"/>
        <w:szCs w:val="16"/>
        <w:lang w:val="en-GB"/>
      </w:rPr>
    </w:pPr>
  </w:p>
  <w:p w14:paraId="5009FEF3" w14:textId="77777777" w:rsidR="00EB1E18" w:rsidRPr="00EB1E18" w:rsidRDefault="00EB1E18" w:rsidP="00781EE7">
    <w:pPr>
      <w:pStyle w:val="Footer"/>
      <w:pBdr>
        <w:top w:val="single" w:sz="4" w:space="1" w:color="auto"/>
      </w:pBdr>
      <w:tabs>
        <w:tab w:val="clear" w:pos="4680"/>
        <w:tab w:val="clear" w:pos="9360"/>
      </w:tabs>
      <w:rPr>
        <w:b/>
        <w:bCs/>
        <w:color w:val="808080"/>
        <w:sz w:val="16"/>
        <w:szCs w:val="16"/>
        <w:lang w:val="en-GB"/>
      </w:rPr>
    </w:pPr>
    <w:bookmarkStart w:id="3" w:name="_Hlk157413787"/>
    <w:r w:rsidRPr="00EB1E18">
      <w:rPr>
        <w:b/>
        <w:bCs/>
        <w:color w:val="808080"/>
        <w:sz w:val="16"/>
        <w:szCs w:val="16"/>
        <w:lang w:val="en-GB"/>
      </w:rPr>
      <w:t>Str. Italiană 22, Etaj 6, Sector 2, 020976 București, România</w:t>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r>
    <w:r w:rsidRPr="00EB1E18">
      <w:rPr>
        <w:b/>
        <w:bCs/>
        <w:color w:val="808080"/>
        <w:sz w:val="16"/>
        <w:szCs w:val="16"/>
        <w:lang w:val="en-GB"/>
      </w:rPr>
      <w:tab/>
      <w:t xml:space="preserve">   </w:t>
    </w:r>
    <w:r w:rsidRPr="00EB1E18">
      <w:rPr>
        <w:b/>
        <w:bCs/>
        <w:color w:val="808080"/>
        <w:sz w:val="16"/>
        <w:szCs w:val="16"/>
        <w:lang w:val="en-GB"/>
      </w:rPr>
      <w:tab/>
    </w:r>
    <w:r w:rsidRPr="00EB1E18">
      <w:rPr>
        <w:b/>
        <w:bCs/>
        <w:color w:val="808080"/>
        <w:sz w:val="16"/>
        <w:szCs w:val="16"/>
        <w:lang w:val="en-GB"/>
      </w:rPr>
      <w:tab/>
      <w:t xml:space="preserve">                          Pagina </w:t>
    </w:r>
    <w:r w:rsidRPr="00EB1E18">
      <w:rPr>
        <w:b/>
        <w:bCs/>
        <w:color w:val="808080"/>
        <w:sz w:val="16"/>
        <w:szCs w:val="16"/>
        <w:lang w:val="en-GB"/>
      </w:rPr>
      <w:fldChar w:fldCharType="begin"/>
    </w:r>
    <w:r w:rsidRPr="00EB1E18">
      <w:rPr>
        <w:b/>
        <w:bCs/>
        <w:color w:val="808080"/>
        <w:sz w:val="16"/>
        <w:szCs w:val="16"/>
        <w:lang w:val="en-GB"/>
      </w:rPr>
      <w:instrText xml:space="preserve"> PAGE  \* Arabic  \* MERGEFORMAT </w:instrText>
    </w:r>
    <w:r w:rsidRPr="00EB1E18">
      <w:rPr>
        <w:b/>
        <w:bCs/>
        <w:color w:val="808080"/>
        <w:sz w:val="16"/>
        <w:szCs w:val="16"/>
        <w:lang w:val="en-GB"/>
      </w:rPr>
      <w:fldChar w:fldCharType="separate"/>
    </w:r>
    <w:r w:rsidRPr="00EB1E18">
      <w:rPr>
        <w:b/>
        <w:bCs/>
        <w:color w:val="808080"/>
        <w:sz w:val="16"/>
        <w:szCs w:val="16"/>
        <w:lang w:val="en-GB"/>
      </w:rPr>
      <w:t>1</w:t>
    </w:r>
    <w:r w:rsidRPr="00EB1E18">
      <w:rPr>
        <w:b/>
        <w:bCs/>
        <w:color w:val="808080"/>
        <w:sz w:val="16"/>
        <w:szCs w:val="16"/>
        <w:lang w:val="en-GB"/>
      </w:rPr>
      <w:fldChar w:fldCharType="end"/>
    </w:r>
    <w:r w:rsidRPr="00EB1E18">
      <w:rPr>
        <w:b/>
        <w:bCs/>
        <w:color w:val="808080"/>
        <w:sz w:val="16"/>
        <w:szCs w:val="16"/>
        <w:lang w:val="en-GB"/>
      </w:rPr>
      <w:t xml:space="preserve"> / </w:t>
    </w:r>
    <w:r w:rsidRPr="00EB1E18">
      <w:rPr>
        <w:b/>
        <w:bCs/>
        <w:color w:val="808080"/>
        <w:sz w:val="16"/>
        <w:szCs w:val="16"/>
        <w:lang w:val="en-GB"/>
      </w:rPr>
      <w:fldChar w:fldCharType="begin"/>
    </w:r>
    <w:r w:rsidRPr="00EB1E18">
      <w:rPr>
        <w:b/>
        <w:bCs/>
        <w:color w:val="808080"/>
        <w:sz w:val="16"/>
        <w:szCs w:val="16"/>
        <w:lang w:val="en-GB"/>
      </w:rPr>
      <w:instrText xml:space="preserve"> NUMPAGES  \* Arabic  \* MERGEFORMAT </w:instrText>
    </w:r>
    <w:r w:rsidRPr="00EB1E18">
      <w:rPr>
        <w:b/>
        <w:bCs/>
        <w:color w:val="808080"/>
        <w:sz w:val="16"/>
        <w:szCs w:val="16"/>
        <w:lang w:val="en-GB"/>
      </w:rPr>
      <w:fldChar w:fldCharType="separate"/>
    </w:r>
    <w:r w:rsidRPr="00EB1E18">
      <w:rPr>
        <w:b/>
        <w:bCs/>
        <w:color w:val="808080"/>
        <w:sz w:val="16"/>
        <w:szCs w:val="16"/>
        <w:lang w:val="en-GB"/>
      </w:rPr>
      <w:t>2</w:t>
    </w:r>
    <w:r w:rsidRPr="00EB1E18">
      <w:rPr>
        <w:b/>
        <w:bCs/>
        <w:color w:val="808080"/>
        <w:sz w:val="16"/>
        <w:szCs w:val="16"/>
        <w:lang w:val="en-GB"/>
      </w:rPr>
      <w:fldChar w:fldCharType="end"/>
    </w:r>
  </w:p>
  <w:p w14:paraId="2A868553" w14:textId="77777777" w:rsidR="00EB1E18" w:rsidRPr="00781EE7" w:rsidRDefault="00EB1E18" w:rsidP="00781EE7">
    <w:pPr>
      <w:pStyle w:val="Footer"/>
      <w:tabs>
        <w:tab w:val="clear" w:pos="4680"/>
        <w:tab w:val="clear" w:pos="9360"/>
      </w:tabs>
    </w:pPr>
    <w:r w:rsidRPr="00EB1E18">
      <w:rPr>
        <w:b/>
        <w:bCs/>
        <w:color w:val="808080"/>
        <w:sz w:val="16"/>
        <w:szCs w:val="16"/>
        <w:lang w:val="en-GB"/>
      </w:rPr>
      <w:t xml:space="preserve">Email: </w:t>
    </w:r>
    <w:hyperlink r:id="rId1" w:history="1">
      <w:r w:rsidRPr="00870301">
        <w:rPr>
          <w:rStyle w:val="Hyperlink1"/>
          <w:b/>
          <w:bCs/>
          <w:sz w:val="16"/>
          <w:szCs w:val="16"/>
          <w:lang w:val="en-GB"/>
        </w:rPr>
        <w:t>office@dnsc.ro</w:t>
      </w:r>
    </w:hyperlink>
    <w:r w:rsidRPr="00EB1E18">
      <w:rPr>
        <w:b/>
        <w:bCs/>
        <w:color w:val="808080"/>
        <w:sz w:val="16"/>
        <w:szCs w:val="16"/>
        <w:lang w:val="en-GB"/>
      </w:rPr>
      <w:t xml:space="preserve"> www.dnsc.ro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49F2" w14:textId="77777777" w:rsidR="00FC0D86" w:rsidRDefault="00FC0D86">
      <w:pPr>
        <w:spacing w:after="0" w:line="240" w:lineRule="auto"/>
      </w:pPr>
      <w:r>
        <w:separator/>
      </w:r>
    </w:p>
  </w:footnote>
  <w:footnote w:type="continuationSeparator" w:id="0">
    <w:p w14:paraId="04F4BF1B" w14:textId="77777777" w:rsidR="00FC0D86" w:rsidRDefault="00FC0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16FD" w14:textId="77777777" w:rsidR="00EB1E18" w:rsidRDefault="00EB1E18">
    <w:pPr>
      <w:spacing w:line="259" w:lineRule="auto"/>
      <w:ind w:right="302"/>
      <w:jc w:val="right"/>
    </w:pPr>
    <w:r>
      <w:rPr>
        <w:noProof/>
      </w:rPr>
      <w:drawing>
        <wp:anchor distT="0" distB="0" distL="114300" distR="114300" simplePos="0" relativeHeight="251657728" behindDoc="0" locked="0" layoutInCell="1" allowOverlap="0" wp14:anchorId="3522A810" wp14:editId="0D964D20">
          <wp:simplePos x="0" y="0"/>
          <wp:positionH relativeFrom="page">
            <wp:posOffset>914400</wp:posOffset>
          </wp:positionH>
          <wp:positionV relativeFrom="page">
            <wp:posOffset>448310</wp:posOffset>
          </wp:positionV>
          <wp:extent cx="5722620" cy="754380"/>
          <wp:effectExtent l="0" t="0" r="0" b="0"/>
          <wp:wrapSquare wrapText="bothSides"/>
          <wp:docPr id="158614639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79E6" w14:textId="77777777" w:rsidR="00EB1E18" w:rsidRDefault="00EB1E18">
    <w:pPr>
      <w:spacing w:line="259" w:lineRule="auto"/>
      <w:ind w:right="302"/>
      <w:jc w:val="right"/>
      <w:rPr>
        <w:sz w:val="20"/>
      </w:rPr>
    </w:pPr>
  </w:p>
  <w:p w14:paraId="1E664C04" w14:textId="77777777" w:rsidR="00EB1E18" w:rsidRDefault="00EB1E18">
    <w:pPr>
      <w:spacing w:line="259" w:lineRule="auto"/>
      <w:ind w:right="302"/>
      <w:jc w:val="right"/>
    </w:pPr>
    <w:r>
      <w:rPr>
        <w:noProof/>
      </w:rPr>
      <w:drawing>
        <wp:anchor distT="0" distB="0" distL="114300" distR="114300" simplePos="0" relativeHeight="251658752" behindDoc="0" locked="0" layoutInCell="1" allowOverlap="0" wp14:anchorId="031668FA" wp14:editId="0DC602C9">
          <wp:simplePos x="0" y="0"/>
          <wp:positionH relativeFrom="page">
            <wp:posOffset>787400</wp:posOffset>
          </wp:positionH>
          <wp:positionV relativeFrom="page">
            <wp:posOffset>54610</wp:posOffset>
          </wp:positionV>
          <wp:extent cx="5722620" cy="754380"/>
          <wp:effectExtent l="0" t="0" r="0" b="0"/>
          <wp:wrapSquare wrapText="bothSides"/>
          <wp:docPr id="187768826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AA34" w14:textId="77777777" w:rsidR="00EB1E18" w:rsidRDefault="00EB1E18">
    <w:pPr>
      <w:spacing w:line="259" w:lineRule="auto"/>
      <w:ind w:right="302"/>
      <w:jc w:val="right"/>
    </w:pPr>
    <w:r>
      <w:rPr>
        <w:noProof/>
      </w:rPr>
      <w:drawing>
        <wp:anchor distT="0" distB="0" distL="114300" distR="114300" simplePos="0" relativeHeight="251656704" behindDoc="0" locked="0" layoutInCell="1" allowOverlap="0" wp14:anchorId="30497FEF" wp14:editId="0EBDB803">
          <wp:simplePos x="0" y="0"/>
          <wp:positionH relativeFrom="margin">
            <wp:align>center</wp:align>
          </wp:positionH>
          <wp:positionV relativeFrom="page">
            <wp:posOffset>41910</wp:posOffset>
          </wp:positionV>
          <wp:extent cx="5722620" cy="754380"/>
          <wp:effectExtent l="0" t="0" r="0" b="7620"/>
          <wp:wrapSquare wrapText="bothSides"/>
          <wp:docPr id="202662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22620" cy="754380"/>
                  </a:xfrm>
                  <a:prstGeom prst="rect">
                    <a:avLst/>
                  </a:prstGeom>
                </pic:spPr>
              </pic:pic>
            </a:graphicData>
          </a:graphic>
        </wp:anchor>
      </w:drawing>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B3"/>
    <w:multiLevelType w:val="hybridMultilevel"/>
    <w:tmpl w:val="5D3AF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B4EF5"/>
    <w:multiLevelType w:val="multilevel"/>
    <w:tmpl w:val="86BC6C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70" w:hanging="37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2B1"/>
    <w:multiLevelType w:val="hybridMultilevel"/>
    <w:tmpl w:val="5DBA142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B33BE"/>
    <w:multiLevelType w:val="hybridMultilevel"/>
    <w:tmpl w:val="88BCF5E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13D7A"/>
    <w:multiLevelType w:val="hybridMultilevel"/>
    <w:tmpl w:val="7706A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0443A"/>
    <w:multiLevelType w:val="hybridMultilevel"/>
    <w:tmpl w:val="9012AFBE"/>
    <w:lvl w:ilvl="0" w:tplc="04090017">
      <w:start w:val="1"/>
      <w:numFmt w:val="lowerLetter"/>
      <w:lvlText w:val="%1)"/>
      <w:lvlJc w:val="left"/>
      <w:pPr>
        <w:ind w:left="1120" w:hanging="360"/>
      </w:pPr>
      <w:rPr>
        <w:rFonts w:hint="default"/>
      </w:rPr>
    </w:lvl>
    <w:lvl w:ilvl="1" w:tplc="AFF603F0">
      <w:start w:val="1"/>
      <w:numFmt w:val="lowerLetter"/>
      <w:lvlText w:val="%2)"/>
      <w:lvlJc w:val="left"/>
      <w:pPr>
        <w:ind w:left="4410" w:hanging="360"/>
      </w:pPr>
      <w:rPr>
        <w:b/>
        <w:bCs/>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04001DA"/>
    <w:multiLevelType w:val="hybridMultilevel"/>
    <w:tmpl w:val="F66051D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F4D84"/>
    <w:multiLevelType w:val="hybridMultilevel"/>
    <w:tmpl w:val="9DC29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47B3F"/>
    <w:multiLevelType w:val="hybridMultilevel"/>
    <w:tmpl w:val="D840A530"/>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373C20"/>
    <w:multiLevelType w:val="multilevel"/>
    <w:tmpl w:val="64E299F4"/>
    <w:lvl w:ilvl="0">
      <w:start w:val="1"/>
      <w:numFmt w:val="lowerLetter"/>
      <w:lvlText w:val="%1)"/>
      <w:lvlJc w:val="left"/>
      <w:pPr>
        <w:tabs>
          <w:tab w:val="num" w:pos="630"/>
        </w:tabs>
        <w:ind w:left="630" w:hanging="360"/>
      </w:pPr>
      <w:rPr>
        <w:rFonts w:hint="default"/>
        <w:sz w:val="22"/>
        <w:szCs w:val="22"/>
      </w:rPr>
    </w:lvl>
    <w:lvl w:ilvl="1">
      <w:start w:val="1"/>
      <w:numFmt w:val="lowerLetter"/>
      <w:lvlText w:val="%2)"/>
      <w:lvlJc w:val="left"/>
      <w:pPr>
        <w:ind w:left="1350" w:hanging="360"/>
      </w:pPr>
      <w:rPr>
        <w:rFonts w:hint="default"/>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 w15:restartNumberingAfterBreak="0">
    <w:nsid w:val="2AD315FA"/>
    <w:multiLevelType w:val="hybridMultilevel"/>
    <w:tmpl w:val="BB5066B2"/>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9911BC"/>
    <w:multiLevelType w:val="hybridMultilevel"/>
    <w:tmpl w:val="6C4AED8C"/>
    <w:lvl w:ilvl="0" w:tplc="9506A9A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4A15CB"/>
    <w:multiLevelType w:val="hybridMultilevel"/>
    <w:tmpl w:val="5E762772"/>
    <w:lvl w:ilvl="0" w:tplc="98C07D04">
      <w:start w:val="1"/>
      <w:numFmt w:val="bullet"/>
      <w:lvlText w:val="•"/>
      <w:lvlJc w:val="left"/>
      <w:pPr>
        <w:ind w:left="2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432" w:hanging="360"/>
      </w:pPr>
      <w:rPr>
        <w:rFonts w:ascii="Wingdings" w:hAnsi="Wingdings" w:hint="default"/>
      </w:rPr>
    </w:lvl>
    <w:lvl w:ilvl="3" w:tplc="04090001">
      <w:start w:val="1"/>
      <w:numFmt w:val="bullet"/>
      <w:lvlText w:val=""/>
      <w:lvlJc w:val="left"/>
      <w:pPr>
        <w:ind w:left="288" w:hanging="360"/>
      </w:pPr>
      <w:rPr>
        <w:rFonts w:ascii="Symbol" w:hAnsi="Symbol" w:hint="default"/>
      </w:rPr>
    </w:lvl>
    <w:lvl w:ilvl="4" w:tplc="04090003" w:tentative="1">
      <w:start w:val="1"/>
      <w:numFmt w:val="bullet"/>
      <w:lvlText w:val="o"/>
      <w:lvlJc w:val="left"/>
      <w:pPr>
        <w:ind w:left="1008" w:hanging="360"/>
      </w:pPr>
      <w:rPr>
        <w:rFonts w:ascii="Courier New" w:hAnsi="Courier New" w:cs="Courier New" w:hint="default"/>
      </w:rPr>
    </w:lvl>
    <w:lvl w:ilvl="5" w:tplc="04090005" w:tentative="1">
      <w:start w:val="1"/>
      <w:numFmt w:val="bullet"/>
      <w:lvlText w:val=""/>
      <w:lvlJc w:val="left"/>
      <w:pPr>
        <w:ind w:left="1728" w:hanging="360"/>
      </w:pPr>
      <w:rPr>
        <w:rFonts w:ascii="Wingdings" w:hAnsi="Wingdings" w:hint="default"/>
      </w:rPr>
    </w:lvl>
    <w:lvl w:ilvl="6" w:tplc="04090001" w:tentative="1">
      <w:start w:val="1"/>
      <w:numFmt w:val="bullet"/>
      <w:lvlText w:val=""/>
      <w:lvlJc w:val="left"/>
      <w:pPr>
        <w:ind w:left="2448" w:hanging="360"/>
      </w:pPr>
      <w:rPr>
        <w:rFonts w:ascii="Symbol" w:hAnsi="Symbol" w:hint="default"/>
      </w:rPr>
    </w:lvl>
    <w:lvl w:ilvl="7" w:tplc="04090003" w:tentative="1">
      <w:start w:val="1"/>
      <w:numFmt w:val="bullet"/>
      <w:lvlText w:val="o"/>
      <w:lvlJc w:val="left"/>
      <w:pPr>
        <w:ind w:left="3168" w:hanging="360"/>
      </w:pPr>
      <w:rPr>
        <w:rFonts w:ascii="Courier New" w:hAnsi="Courier New" w:cs="Courier New" w:hint="default"/>
      </w:rPr>
    </w:lvl>
    <w:lvl w:ilvl="8" w:tplc="04090005" w:tentative="1">
      <w:start w:val="1"/>
      <w:numFmt w:val="bullet"/>
      <w:lvlText w:val=""/>
      <w:lvlJc w:val="left"/>
      <w:pPr>
        <w:ind w:left="3888" w:hanging="360"/>
      </w:pPr>
      <w:rPr>
        <w:rFonts w:ascii="Wingdings" w:hAnsi="Wingdings" w:hint="default"/>
      </w:rPr>
    </w:lvl>
  </w:abstractNum>
  <w:abstractNum w:abstractNumId="13" w15:restartNumberingAfterBreak="0">
    <w:nsid w:val="35744F52"/>
    <w:multiLevelType w:val="hybridMultilevel"/>
    <w:tmpl w:val="89E81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343F1"/>
    <w:multiLevelType w:val="hybridMultilevel"/>
    <w:tmpl w:val="C3402368"/>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5E42C2"/>
    <w:multiLevelType w:val="hybridMultilevel"/>
    <w:tmpl w:val="4F2A6A8C"/>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3C003D"/>
    <w:multiLevelType w:val="hybridMultilevel"/>
    <w:tmpl w:val="9A702440"/>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30E7"/>
    <w:multiLevelType w:val="multilevel"/>
    <w:tmpl w:val="B498DD50"/>
    <w:lvl w:ilvl="0">
      <w:start w:val="1"/>
      <w:numFmt w:val="decimal"/>
      <w:lvlText w:val="%1."/>
      <w:lvlJc w:val="left"/>
      <w:pPr>
        <w:ind w:left="400" w:hanging="400"/>
      </w:pPr>
      <w:rPr>
        <w:rFonts w:hint="default"/>
      </w:rPr>
    </w:lvl>
    <w:lvl w:ilvl="1">
      <w:start w:val="1"/>
      <w:numFmt w:val="decimal"/>
      <w:lvlText w:val="%1.%2."/>
      <w:lvlJc w:val="left"/>
      <w:pPr>
        <w:ind w:left="1243" w:hanging="720"/>
      </w:pPr>
      <w:rPr>
        <w:rFonts w:hint="default"/>
        <w:b/>
        <w:bCs/>
      </w:rPr>
    </w:lvl>
    <w:lvl w:ilvl="2">
      <w:start w:val="1"/>
      <w:numFmt w:val="decimal"/>
      <w:lvlText w:val="%1.%2.%3."/>
      <w:lvlJc w:val="left"/>
      <w:pPr>
        <w:ind w:left="1766" w:hanging="720"/>
      </w:pPr>
      <w:rPr>
        <w:rFonts w:hint="default"/>
      </w:rPr>
    </w:lvl>
    <w:lvl w:ilvl="3">
      <w:start w:val="1"/>
      <w:numFmt w:val="decimal"/>
      <w:lvlText w:val="%1.%2.%3.%4."/>
      <w:lvlJc w:val="left"/>
      <w:pPr>
        <w:ind w:left="2649" w:hanging="108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4055" w:hanging="144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461" w:hanging="1800"/>
      </w:pPr>
      <w:rPr>
        <w:rFonts w:hint="default"/>
      </w:rPr>
    </w:lvl>
    <w:lvl w:ilvl="8">
      <w:start w:val="1"/>
      <w:numFmt w:val="decimal"/>
      <w:lvlText w:val="%1.%2.%3.%4.%5.%6.%7.%8.%9."/>
      <w:lvlJc w:val="left"/>
      <w:pPr>
        <w:ind w:left="5984" w:hanging="1800"/>
      </w:pPr>
      <w:rPr>
        <w:rFonts w:hint="default"/>
      </w:rPr>
    </w:lvl>
  </w:abstractNum>
  <w:abstractNum w:abstractNumId="18" w15:restartNumberingAfterBreak="0">
    <w:nsid w:val="425B59C7"/>
    <w:multiLevelType w:val="hybridMultilevel"/>
    <w:tmpl w:val="FC6C6972"/>
    <w:lvl w:ilvl="0" w:tplc="441EB8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15A94"/>
    <w:multiLevelType w:val="hybridMultilevel"/>
    <w:tmpl w:val="53B24DE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AC39CC"/>
    <w:multiLevelType w:val="hybridMultilevel"/>
    <w:tmpl w:val="0666EB9E"/>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B6325D"/>
    <w:multiLevelType w:val="hybridMultilevel"/>
    <w:tmpl w:val="A4B0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E4B46"/>
    <w:multiLevelType w:val="hybridMultilevel"/>
    <w:tmpl w:val="0A666EFE"/>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253570"/>
    <w:multiLevelType w:val="hybridMultilevel"/>
    <w:tmpl w:val="921A8B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E3FBD"/>
    <w:multiLevelType w:val="hybridMultilevel"/>
    <w:tmpl w:val="FE28D248"/>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3246DE"/>
    <w:multiLevelType w:val="hybridMultilevel"/>
    <w:tmpl w:val="DC703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F31F14"/>
    <w:multiLevelType w:val="hybridMultilevel"/>
    <w:tmpl w:val="0C9AC602"/>
    <w:lvl w:ilvl="0" w:tplc="441EB80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52562B"/>
    <w:multiLevelType w:val="hybridMultilevel"/>
    <w:tmpl w:val="FEC6A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B30944"/>
    <w:multiLevelType w:val="hybridMultilevel"/>
    <w:tmpl w:val="548C0EF2"/>
    <w:lvl w:ilvl="0" w:tplc="7F8802C2">
      <w:start w:val="1"/>
      <w:numFmt w:val="decimal"/>
      <w:lvlText w:val="2.%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37F0C"/>
    <w:multiLevelType w:val="hybridMultilevel"/>
    <w:tmpl w:val="774AD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43F8B"/>
    <w:multiLevelType w:val="hybridMultilevel"/>
    <w:tmpl w:val="D346D7E0"/>
    <w:lvl w:ilvl="0" w:tplc="508C8574">
      <w:start w:val="1"/>
      <w:numFmt w:val="bullet"/>
      <w:lvlText w:val="-"/>
      <w:lvlJc w:val="left"/>
      <w:pPr>
        <w:ind w:left="883"/>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4B00B748">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780B23E">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98C07D04">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65968A26">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5B7E613E">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E280DE48">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071E569E">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EA889DA">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1943108010">
    <w:abstractNumId w:val="31"/>
  </w:num>
  <w:num w:numId="2" w16cid:durableId="1953780501">
    <w:abstractNumId w:val="1"/>
  </w:num>
  <w:num w:numId="3" w16cid:durableId="1509439722">
    <w:abstractNumId w:val="6"/>
  </w:num>
  <w:num w:numId="4" w16cid:durableId="730231011">
    <w:abstractNumId w:val="17"/>
  </w:num>
  <w:num w:numId="5" w16cid:durableId="395010175">
    <w:abstractNumId w:val="9"/>
  </w:num>
  <w:num w:numId="6" w16cid:durableId="1346050716">
    <w:abstractNumId w:val="5"/>
  </w:num>
  <w:num w:numId="7" w16cid:durableId="91971167">
    <w:abstractNumId w:val="13"/>
  </w:num>
  <w:num w:numId="8" w16cid:durableId="1958683852">
    <w:abstractNumId w:val="24"/>
  </w:num>
  <w:num w:numId="9" w16cid:durableId="1331524393">
    <w:abstractNumId w:val="18"/>
  </w:num>
  <w:num w:numId="10" w16cid:durableId="1469976900">
    <w:abstractNumId w:val="3"/>
  </w:num>
  <w:num w:numId="11" w16cid:durableId="1748769138">
    <w:abstractNumId w:val="28"/>
  </w:num>
  <w:num w:numId="12" w16cid:durableId="1389181070">
    <w:abstractNumId w:val="19"/>
  </w:num>
  <w:num w:numId="13" w16cid:durableId="1389498277">
    <w:abstractNumId w:val="22"/>
  </w:num>
  <w:num w:numId="14" w16cid:durableId="471099242">
    <w:abstractNumId w:val="29"/>
  </w:num>
  <w:num w:numId="15" w16cid:durableId="1988363525">
    <w:abstractNumId w:val="12"/>
  </w:num>
  <w:num w:numId="16" w16cid:durableId="159125447">
    <w:abstractNumId w:val="0"/>
  </w:num>
  <w:num w:numId="17" w16cid:durableId="1975482103">
    <w:abstractNumId w:val="14"/>
  </w:num>
  <w:num w:numId="18" w16cid:durableId="301665066">
    <w:abstractNumId w:val="27"/>
  </w:num>
  <w:num w:numId="19" w16cid:durableId="564225518">
    <w:abstractNumId w:val="8"/>
  </w:num>
  <w:num w:numId="20" w16cid:durableId="2054688229">
    <w:abstractNumId w:val="15"/>
  </w:num>
  <w:num w:numId="21" w16cid:durableId="538471944">
    <w:abstractNumId w:val="30"/>
  </w:num>
  <w:num w:numId="22" w16cid:durableId="2093043884">
    <w:abstractNumId w:val="7"/>
  </w:num>
  <w:num w:numId="23" w16cid:durableId="1774209838">
    <w:abstractNumId w:val="26"/>
  </w:num>
  <w:num w:numId="24" w16cid:durableId="575825817">
    <w:abstractNumId w:val="20"/>
  </w:num>
  <w:num w:numId="25" w16cid:durableId="1262450823">
    <w:abstractNumId w:val="11"/>
  </w:num>
  <w:num w:numId="26" w16cid:durableId="1988317266">
    <w:abstractNumId w:val="4"/>
  </w:num>
  <w:num w:numId="27" w16cid:durableId="418065741">
    <w:abstractNumId w:val="10"/>
  </w:num>
  <w:num w:numId="28" w16cid:durableId="1445462691">
    <w:abstractNumId w:val="21"/>
  </w:num>
  <w:num w:numId="29" w16cid:durableId="1477337827">
    <w:abstractNumId w:val="25"/>
  </w:num>
  <w:num w:numId="30" w16cid:durableId="1445997869">
    <w:abstractNumId w:val="16"/>
  </w:num>
  <w:num w:numId="31" w16cid:durableId="1873614494">
    <w:abstractNumId w:val="23"/>
  </w:num>
  <w:num w:numId="32" w16cid:durableId="95965237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18"/>
    <w:rsid w:val="0004107C"/>
    <w:rsid w:val="000437C9"/>
    <w:rsid w:val="00095C7A"/>
    <w:rsid w:val="000A1675"/>
    <w:rsid w:val="00147B4C"/>
    <w:rsid w:val="00186A96"/>
    <w:rsid w:val="002201B6"/>
    <w:rsid w:val="00240084"/>
    <w:rsid w:val="00297CCA"/>
    <w:rsid w:val="002B394E"/>
    <w:rsid w:val="003845FA"/>
    <w:rsid w:val="00423DA7"/>
    <w:rsid w:val="004457BD"/>
    <w:rsid w:val="004470F8"/>
    <w:rsid w:val="00466FFC"/>
    <w:rsid w:val="00472F86"/>
    <w:rsid w:val="00477E46"/>
    <w:rsid w:val="00491471"/>
    <w:rsid w:val="00517DD1"/>
    <w:rsid w:val="00530C7E"/>
    <w:rsid w:val="00556E18"/>
    <w:rsid w:val="00591492"/>
    <w:rsid w:val="005A16E4"/>
    <w:rsid w:val="005A320B"/>
    <w:rsid w:val="005A3F08"/>
    <w:rsid w:val="005B0013"/>
    <w:rsid w:val="005D4920"/>
    <w:rsid w:val="007129C5"/>
    <w:rsid w:val="007179B0"/>
    <w:rsid w:val="007457CE"/>
    <w:rsid w:val="0075025C"/>
    <w:rsid w:val="007567BA"/>
    <w:rsid w:val="00803CCA"/>
    <w:rsid w:val="008369FD"/>
    <w:rsid w:val="00856457"/>
    <w:rsid w:val="00895026"/>
    <w:rsid w:val="00905312"/>
    <w:rsid w:val="00914E21"/>
    <w:rsid w:val="009477B6"/>
    <w:rsid w:val="00964394"/>
    <w:rsid w:val="009E5F4D"/>
    <w:rsid w:val="00B551FF"/>
    <w:rsid w:val="00BE12DD"/>
    <w:rsid w:val="00C13E38"/>
    <w:rsid w:val="00C55F9E"/>
    <w:rsid w:val="00C8713D"/>
    <w:rsid w:val="00CA1609"/>
    <w:rsid w:val="00DA1BE7"/>
    <w:rsid w:val="00DE3D89"/>
    <w:rsid w:val="00E02E4A"/>
    <w:rsid w:val="00EB1E18"/>
    <w:rsid w:val="00EC04C8"/>
    <w:rsid w:val="00ED2457"/>
    <w:rsid w:val="00FC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4E6"/>
  <w15:chartTrackingRefBased/>
  <w15:docId w15:val="{83421902-F391-4A51-A096-42A33BB7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1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1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B1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B1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E18"/>
    <w:rPr>
      <w:rFonts w:eastAsiaTheme="majorEastAsia" w:cstheme="majorBidi"/>
      <w:color w:val="272727" w:themeColor="text1" w:themeTint="D8"/>
    </w:rPr>
  </w:style>
  <w:style w:type="paragraph" w:styleId="Title">
    <w:name w:val="Title"/>
    <w:basedOn w:val="Normal"/>
    <w:next w:val="Normal"/>
    <w:link w:val="TitleChar"/>
    <w:qFormat/>
    <w:rsid w:val="00EB1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B1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E18"/>
    <w:pPr>
      <w:spacing w:before="160"/>
      <w:jc w:val="center"/>
    </w:pPr>
    <w:rPr>
      <w:i/>
      <w:iCs/>
      <w:color w:val="404040" w:themeColor="text1" w:themeTint="BF"/>
    </w:rPr>
  </w:style>
  <w:style w:type="character" w:customStyle="1" w:styleId="QuoteChar">
    <w:name w:val="Quote Char"/>
    <w:basedOn w:val="DefaultParagraphFont"/>
    <w:link w:val="Quote"/>
    <w:uiPriority w:val="29"/>
    <w:rsid w:val="00EB1E18"/>
    <w:rPr>
      <w:i/>
      <w:iCs/>
      <w:color w:val="404040" w:themeColor="text1" w:themeTint="BF"/>
    </w:rPr>
  </w:style>
  <w:style w:type="paragraph" w:styleId="ListParagraph">
    <w:name w:val="List Paragraph"/>
    <w:basedOn w:val="Normal"/>
    <w:link w:val="ListParagraphChar"/>
    <w:uiPriority w:val="34"/>
    <w:qFormat/>
    <w:rsid w:val="00EB1E18"/>
    <w:pPr>
      <w:ind w:left="720"/>
      <w:contextualSpacing/>
    </w:pPr>
  </w:style>
  <w:style w:type="character" w:styleId="IntenseEmphasis">
    <w:name w:val="Intense Emphasis"/>
    <w:basedOn w:val="DefaultParagraphFont"/>
    <w:uiPriority w:val="21"/>
    <w:qFormat/>
    <w:rsid w:val="00EB1E18"/>
    <w:rPr>
      <w:i/>
      <w:iCs/>
      <w:color w:val="0F4761" w:themeColor="accent1" w:themeShade="BF"/>
    </w:rPr>
  </w:style>
  <w:style w:type="paragraph" w:styleId="IntenseQuote">
    <w:name w:val="Intense Quote"/>
    <w:basedOn w:val="Normal"/>
    <w:next w:val="Normal"/>
    <w:link w:val="IntenseQuoteChar"/>
    <w:uiPriority w:val="30"/>
    <w:qFormat/>
    <w:rsid w:val="00EB1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E18"/>
    <w:rPr>
      <w:i/>
      <w:iCs/>
      <w:color w:val="0F4761" w:themeColor="accent1" w:themeShade="BF"/>
    </w:rPr>
  </w:style>
  <w:style w:type="character" w:styleId="IntenseReference">
    <w:name w:val="Intense Reference"/>
    <w:basedOn w:val="DefaultParagraphFont"/>
    <w:uiPriority w:val="32"/>
    <w:qFormat/>
    <w:rsid w:val="00EB1E18"/>
    <w:rPr>
      <w:b/>
      <w:bCs/>
      <w:smallCaps/>
      <w:color w:val="0F4761" w:themeColor="accent1" w:themeShade="BF"/>
      <w:spacing w:val="5"/>
    </w:rPr>
  </w:style>
  <w:style w:type="numbering" w:customStyle="1" w:styleId="NoList1">
    <w:name w:val="No List1"/>
    <w:next w:val="NoList"/>
    <w:uiPriority w:val="99"/>
    <w:semiHidden/>
    <w:unhideWhenUsed/>
    <w:rsid w:val="00EB1E18"/>
  </w:style>
  <w:style w:type="paragraph" w:styleId="TOC1">
    <w:name w:val="toc 1"/>
    <w:hidden/>
    <w:uiPriority w:val="39"/>
    <w:rsid w:val="00EB1E18"/>
    <w:pPr>
      <w:spacing w:after="11" w:line="268" w:lineRule="auto"/>
      <w:ind w:left="188" w:right="341" w:hanging="10"/>
      <w:jc w:val="both"/>
    </w:pPr>
    <w:rPr>
      <w:rFonts w:ascii="Calibri" w:eastAsia="Calibri" w:hAnsi="Calibri" w:cs="Calibri"/>
      <w:color w:val="000000"/>
    </w:rPr>
  </w:style>
  <w:style w:type="paragraph" w:styleId="TOC2">
    <w:name w:val="toc 2"/>
    <w:hidden/>
    <w:uiPriority w:val="39"/>
    <w:rsid w:val="00EB1E18"/>
    <w:pPr>
      <w:spacing w:after="11" w:line="268" w:lineRule="auto"/>
      <w:ind w:left="409" w:right="341" w:hanging="10"/>
      <w:jc w:val="both"/>
    </w:pPr>
    <w:rPr>
      <w:rFonts w:ascii="Calibri" w:eastAsia="Calibri" w:hAnsi="Calibri" w:cs="Calibri"/>
      <w:color w:val="000000"/>
    </w:rPr>
  </w:style>
  <w:style w:type="paragraph" w:styleId="TOC3">
    <w:name w:val="toc 3"/>
    <w:hidden/>
    <w:uiPriority w:val="39"/>
    <w:rsid w:val="00EB1E18"/>
    <w:pPr>
      <w:spacing w:after="10" w:line="268" w:lineRule="auto"/>
      <w:ind w:left="409" w:right="341" w:hanging="10"/>
      <w:jc w:val="both"/>
    </w:pPr>
    <w:rPr>
      <w:rFonts w:ascii="Calibri" w:eastAsia="Calibri" w:hAnsi="Calibri" w:cs="Calibri"/>
      <w:color w:val="000000"/>
    </w:rPr>
  </w:style>
  <w:style w:type="table" w:customStyle="1" w:styleId="TableGrid">
    <w:name w:val="TableGrid"/>
    <w:rsid w:val="00EB1E18"/>
    <w:pPr>
      <w:spacing w:after="0" w:line="240" w:lineRule="auto"/>
      <w:jc w:val="both"/>
    </w:pPr>
    <w:rPr>
      <w:rFonts w:eastAsia="Times New Roman"/>
    </w:rPr>
    <w:tblPr>
      <w:tblCellMar>
        <w:top w:w="0" w:type="dxa"/>
        <w:left w:w="0" w:type="dxa"/>
        <w:bottom w:w="0" w:type="dxa"/>
        <w:right w:w="0" w:type="dxa"/>
      </w:tblCellMar>
    </w:tblPr>
  </w:style>
  <w:style w:type="paragraph" w:styleId="NormalWeb">
    <w:name w:val="Normal (Web)"/>
    <w:basedOn w:val="Normal"/>
    <w:uiPriority w:val="99"/>
    <w:unhideWhenUsed/>
    <w:qFormat/>
    <w:rsid w:val="00EB1E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yperlink1">
    <w:name w:val="Hyperlink1"/>
    <w:basedOn w:val="DefaultParagraphFont"/>
    <w:uiPriority w:val="99"/>
    <w:unhideWhenUsed/>
    <w:rsid w:val="00EB1E18"/>
    <w:rPr>
      <w:color w:val="467886"/>
      <w:u w:val="single"/>
    </w:rPr>
  </w:style>
  <w:style w:type="character" w:styleId="UnresolvedMention">
    <w:name w:val="Unresolved Mention"/>
    <w:basedOn w:val="DefaultParagraphFont"/>
    <w:uiPriority w:val="99"/>
    <w:semiHidden/>
    <w:unhideWhenUsed/>
    <w:rsid w:val="00EB1E18"/>
    <w:rPr>
      <w:color w:val="605E5C"/>
      <w:shd w:val="clear" w:color="auto" w:fill="E1DFDD"/>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rsid w:val="00EB1E18"/>
    <w:rPr>
      <w:rFonts w:cs="Times New Roman"/>
      <w:vertAlign w:val="superscript"/>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2"/>
    <w:basedOn w:val="Normal"/>
    <w:link w:val="FootnoteTextChar"/>
    <w:rsid w:val="00EB1E18"/>
    <w:pPr>
      <w:spacing w:after="0" w:line="240" w:lineRule="auto"/>
    </w:pPr>
    <w:rPr>
      <w:rFonts w:ascii="Times New Roman" w:eastAsia="SimSun" w:hAnsi="Times New Roman" w:cs="Times New Roman"/>
      <w:kern w:val="0"/>
      <w:sz w:val="20"/>
      <w:szCs w:val="20"/>
      <w:lang w:val="ro-RO" w:eastAsia="ro-RO"/>
      <w14:ligatures w14:val="none"/>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link w:val="FootnoteText"/>
    <w:rsid w:val="00EB1E18"/>
    <w:rPr>
      <w:rFonts w:ascii="Times New Roman" w:eastAsia="SimSun" w:hAnsi="Times New Roman" w:cs="Times New Roman"/>
      <w:kern w:val="0"/>
      <w:sz w:val="20"/>
      <w:szCs w:val="20"/>
      <w:lang w:val="ro-RO" w:eastAsia="ro-RO"/>
      <w14:ligatures w14:val="none"/>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EB1E18"/>
    <w:pPr>
      <w:spacing w:line="240" w:lineRule="exact"/>
      <w:jc w:val="both"/>
    </w:pPr>
    <w:rPr>
      <w:rFonts w:cs="Times New Roman"/>
      <w:vertAlign w:val="superscript"/>
    </w:rPr>
  </w:style>
  <w:style w:type="paragraph" w:styleId="Footer">
    <w:name w:val="footer"/>
    <w:basedOn w:val="Normal"/>
    <w:link w:val="FooterChar"/>
    <w:uiPriority w:val="99"/>
    <w:unhideWhenUsed/>
    <w:rsid w:val="00EB1E18"/>
    <w:pPr>
      <w:tabs>
        <w:tab w:val="center" w:pos="4680"/>
        <w:tab w:val="right" w:pos="9360"/>
      </w:tabs>
      <w:spacing w:after="0" w:line="240" w:lineRule="auto"/>
      <w:jc w:val="both"/>
    </w:pPr>
    <w:rPr>
      <w:rFonts w:ascii="Calibri" w:eastAsia="Calibri" w:hAnsi="Calibri" w:cs="Calibri"/>
      <w:color w:val="000000"/>
    </w:rPr>
  </w:style>
  <w:style w:type="character" w:customStyle="1" w:styleId="FooterChar">
    <w:name w:val="Footer Char"/>
    <w:basedOn w:val="DefaultParagraphFont"/>
    <w:link w:val="Footer"/>
    <w:uiPriority w:val="99"/>
    <w:rsid w:val="00EB1E18"/>
    <w:rPr>
      <w:rFonts w:ascii="Calibri" w:eastAsia="Calibri" w:hAnsi="Calibri" w:cs="Calibri"/>
      <w:color w:val="000000"/>
    </w:rPr>
  </w:style>
  <w:style w:type="paragraph" w:customStyle="1" w:styleId="TOCHeading1">
    <w:name w:val="TOC Heading1"/>
    <w:basedOn w:val="Heading1"/>
    <w:next w:val="Normal"/>
    <w:uiPriority w:val="39"/>
    <w:unhideWhenUsed/>
    <w:qFormat/>
    <w:rsid w:val="00EB1E18"/>
    <w:pPr>
      <w:spacing w:before="240" w:after="0" w:line="259" w:lineRule="auto"/>
      <w:outlineLvl w:val="9"/>
    </w:pPr>
    <w:rPr>
      <w:kern w:val="0"/>
      <w:sz w:val="32"/>
      <w:szCs w:val="32"/>
      <w14:ligatures w14:val="none"/>
    </w:rPr>
  </w:style>
  <w:style w:type="table" w:customStyle="1" w:styleId="TableGrid31">
    <w:name w:val="Table Grid31"/>
    <w:basedOn w:val="TableNormal"/>
    <w:uiPriority w:val="59"/>
    <w:rsid w:val="00EB1E18"/>
    <w:pPr>
      <w:suppressAutoHyphens/>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1E18"/>
    <w:pPr>
      <w:spacing w:after="0" w:line="240" w:lineRule="auto"/>
    </w:pPr>
    <w:rPr>
      <w:rFonts w:ascii="Calibri" w:eastAsia="Calibri" w:hAnsi="Calibri" w:cs="Calibri"/>
      <w:color w:val="000000"/>
    </w:rPr>
  </w:style>
  <w:style w:type="character" w:customStyle="1" w:styleId="FollowedHyperlink1">
    <w:name w:val="FollowedHyperlink1"/>
    <w:basedOn w:val="DefaultParagraphFont"/>
    <w:uiPriority w:val="99"/>
    <w:semiHidden/>
    <w:unhideWhenUsed/>
    <w:rsid w:val="00EB1E18"/>
    <w:rPr>
      <w:color w:val="96607D"/>
      <w:u w:val="single"/>
    </w:rPr>
  </w:style>
  <w:style w:type="character" w:styleId="CommentReference">
    <w:name w:val="annotation reference"/>
    <w:basedOn w:val="DefaultParagraphFont"/>
    <w:uiPriority w:val="99"/>
    <w:semiHidden/>
    <w:unhideWhenUsed/>
    <w:rsid w:val="00EB1E18"/>
    <w:rPr>
      <w:sz w:val="16"/>
      <w:szCs w:val="16"/>
    </w:rPr>
  </w:style>
  <w:style w:type="paragraph" w:styleId="CommentText">
    <w:name w:val="annotation text"/>
    <w:basedOn w:val="Normal"/>
    <w:link w:val="CommentTextChar"/>
    <w:uiPriority w:val="99"/>
    <w:unhideWhenUsed/>
    <w:rsid w:val="00EB1E18"/>
    <w:pPr>
      <w:spacing w:after="0" w:line="240" w:lineRule="auto"/>
      <w:jc w:val="both"/>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EB1E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1E18"/>
    <w:rPr>
      <w:b/>
      <w:bCs/>
    </w:rPr>
  </w:style>
  <w:style w:type="character" w:customStyle="1" w:styleId="CommentSubjectChar">
    <w:name w:val="Comment Subject Char"/>
    <w:basedOn w:val="CommentTextChar"/>
    <w:link w:val="CommentSubject"/>
    <w:uiPriority w:val="99"/>
    <w:semiHidden/>
    <w:rsid w:val="00EB1E18"/>
    <w:rPr>
      <w:rFonts w:ascii="Calibri" w:eastAsia="Calibri" w:hAnsi="Calibri" w:cs="Calibri"/>
      <w:b/>
      <w:bCs/>
      <w:color w:val="000000"/>
      <w:sz w:val="20"/>
      <w:szCs w:val="20"/>
    </w:rPr>
  </w:style>
  <w:style w:type="character" w:styleId="Strong">
    <w:name w:val="Strong"/>
    <w:basedOn w:val="DefaultParagraphFont"/>
    <w:uiPriority w:val="22"/>
    <w:qFormat/>
    <w:rsid w:val="00EB1E18"/>
    <w:rPr>
      <w:b/>
      <w:bCs/>
    </w:rPr>
  </w:style>
  <w:style w:type="table" w:styleId="TableGrid0">
    <w:name w:val="Table Grid"/>
    <w:basedOn w:val="TableNormal"/>
    <w:uiPriority w:val="39"/>
    <w:qFormat/>
    <w:rsid w:val="00EB1E18"/>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B1E18"/>
  </w:style>
  <w:style w:type="paragraph" w:customStyle="1" w:styleId="DefaultText">
    <w:name w:val="Default Text"/>
    <w:basedOn w:val="Normal"/>
    <w:link w:val="DefaultTextChar"/>
    <w:rsid w:val="00EB1E18"/>
    <w:pPr>
      <w:spacing w:after="0" w:line="240" w:lineRule="auto"/>
    </w:pPr>
    <w:rPr>
      <w:rFonts w:ascii="Times New Roman" w:eastAsia="Times New Roman" w:hAnsi="Times New Roman" w:cs="Times New Roman"/>
      <w:noProof/>
      <w:kern w:val="0"/>
      <w:szCs w:val="20"/>
      <w14:ligatures w14:val="none"/>
    </w:rPr>
  </w:style>
  <w:style w:type="character" w:customStyle="1" w:styleId="DefaultTextChar">
    <w:name w:val="Default Text Char"/>
    <w:link w:val="DefaultText"/>
    <w:rsid w:val="00EB1E18"/>
    <w:rPr>
      <w:rFonts w:ascii="Times New Roman" w:eastAsia="Times New Roman" w:hAnsi="Times New Roman" w:cs="Times New Roman"/>
      <w:noProof/>
      <w:kern w:val="0"/>
      <w:szCs w:val="20"/>
      <w14:ligatures w14:val="none"/>
    </w:rPr>
  </w:style>
  <w:style w:type="paragraph" w:styleId="BodyText">
    <w:name w:val="Body Text"/>
    <w:basedOn w:val="Normal"/>
    <w:link w:val="BodyTextChar"/>
    <w:rsid w:val="00EB1E18"/>
    <w:pPr>
      <w:spacing w:before="120" w:after="60" w:line="240" w:lineRule="auto"/>
    </w:pPr>
    <w:rPr>
      <w:rFonts w:ascii="Arial" w:eastAsia="Times New Roman" w:hAnsi="Arial" w:cs="Arial"/>
      <w:iCs/>
      <w:kern w:val="0"/>
      <w:sz w:val="20"/>
      <w:lang w:val="ro-RO"/>
      <w14:ligatures w14:val="none"/>
    </w:rPr>
  </w:style>
  <w:style w:type="character" w:customStyle="1" w:styleId="BodyTextChar">
    <w:name w:val="Body Text Char"/>
    <w:basedOn w:val="DefaultParagraphFont"/>
    <w:link w:val="BodyText"/>
    <w:rsid w:val="00EB1E18"/>
    <w:rPr>
      <w:rFonts w:ascii="Arial" w:eastAsia="Times New Roman" w:hAnsi="Arial" w:cs="Arial"/>
      <w:iCs/>
      <w:kern w:val="0"/>
      <w:sz w:val="20"/>
      <w:lang w:val="ro-RO"/>
      <w14:ligatures w14:val="none"/>
    </w:rPr>
  </w:style>
  <w:style w:type="paragraph" w:customStyle="1" w:styleId="instruct">
    <w:name w:val="instruct"/>
    <w:basedOn w:val="Normal"/>
    <w:rsid w:val="00EB1E18"/>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paragraph" w:customStyle="1" w:styleId="bullet">
    <w:name w:val="bullet"/>
    <w:basedOn w:val="Normal"/>
    <w:rsid w:val="00EB1E18"/>
    <w:pPr>
      <w:numPr>
        <w:numId w:val="12"/>
      </w:numPr>
      <w:spacing w:before="120" w:after="120" w:line="240" w:lineRule="auto"/>
      <w:jc w:val="both"/>
    </w:pPr>
    <w:rPr>
      <w:rFonts w:ascii="Trebuchet MS" w:eastAsia="Times New Roman" w:hAnsi="Trebuchet MS" w:cs="Arial"/>
      <w:kern w:val="0"/>
      <w:sz w:val="20"/>
      <w:lang w:val="ro-RO"/>
      <w14:ligatures w14:val="none"/>
    </w:rPr>
  </w:style>
  <w:style w:type="paragraph" w:styleId="TOC8">
    <w:name w:val="toc 8"/>
    <w:basedOn w:val="Normal"/>
    <w:next w:val="Normal"/>
    <w:autoRedefine/>
    <w:uiPriority w:val="39"/>
    <w:rsid w:val="00EB1E18"/>
    <w:pPr>
      <w:numPr>
        <w:ilvl w:val="4"/>
        <w:numId w:val="12"/>
      </w:numPr>
      <w:spacing w:before="120" w:after="120" w:line="240" w:lineRule="auto"/>
      <w:jc w:val="both"/>
    </w:pPr>
    <w:rPr>
      <w:rFonts w:ascii="Trebuchet MS" w:eastAsia="Times New Roman" w:hAnsi="Trebuchet MS" w:cs="Times New Roman"/>
      <w:kern w:val="0"/>
      <w:sz w:val="20"/>
      <w:lang w:val="ro-RO"/>
      <w14:ligatures w14:val="none"/>
    </w:rPr>
  </w:style>
  <w:style w:type="character" w:styleId="Hyperlink">
    <w:name w:val="Hyperlink"/>
    <w:basedOn w:val="DefaultParagraphFont"/>
    <w:uiPriority w:val="99"/>
    <w:unhideWhenUsed/>
    <w:rsid w:val="00EB1E18"/>
    <w:rPr>
      <w:color w:val="467886" w:themeColor="hyperlink"/>
      <w:u w:val="single"/>
    </w:rPr>
  </w:style>
  <w:style w:type="character" w:styleId="FollowedHyperlink">
    <w:name w:val="FollowedHyperlink"/>
    <w:basedOn w:val="DefaultParagraphFont"/>
    <w:uiPriority w:val="99"/>
    <w:semiHidden/>
    <w:unhideWhenUsed/>
    <w:rsid w:val="00EB1E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protection.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dnsc.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office@dnsc.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C01890AFDF1A4FA84032507733F062" ma:contentTypeVersion="13" ma:contentTypeDescription="Create a new document." ma:contentTypeScope="" ma:versionID="df18abace511fcf6deaffa400f5e5262">
  <xsd:schema xmlns:xsd="http://www.w3.org/2001/XMLSchema" xmlns:xs="http://www.w3.org/2001/XMLSchema" xmlns:p="http://schemas.microsoft.com/office/2006/metadata/properties" xmlns:ns1="http://schemas.microsoft.com/sharepoint/v3" xmlns:ns3="49bc1038-2c6c-4137-ae09-febc97d457cf" targetNamespace="http://schemas.microsoft.com/office/2006/metadata/properties" ma:root="true" ma:fieldsID="1511526452e216ae60b8fa5971f94047" ns1:_="" ns3:_="">
    <xsd:import namespace="http://schemas.microsoft.com/sharepoint/v3"/>
    <xsd:import namespace="49bc1038-2c6c-4137-ae09-febc97d457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c1038-2c6c-4137-ae09-febc97d457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9bc1038-2c6c-4137-ae09-febc97d457cf" xsi:nil="true"/>
  </documentManagement>
</p:properties>
</file>

<file path=customXml/itemProps1.xml><?xml version="1.0" encoding="utf-8"?>
<ds:datastoreItem xmlns:ds="http://schemas.openxmlformats.org/officeDocument/2006/customXml" ds:itemID="{14668E44-1748-4BF9-AFDE-3DFFB1DE8070}">
  <ds:schemaRefs>
    <ds:schemaRef ds:uri="http://schemas.openxmlformats.org/officeDocument/2006/bibliography"/>
  </ds:schemaRefs>
</ds:datastoreItem>
</file>

<file path=customXml/itemProps2.xml><?xml version="1.0" encoding="utf-8"?>
<ds:datastoreItem xmlns:ds="http://schemas.openxmlformats.org/officeDocument/2006/customXml" ds:itemID="{28E7D3D7-27E2-4906-A8E4-19B9A276E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bc1038-2c6c-4137-ae09-febc97d45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73C20-C5E4-4E66-928C-0290EDDA45CC}">
  <ds:schemaRefs>
    <ds:schemaRef ds:uri="http://schemas.microsoft.com/sharepoint/v3/contenttype/forms"/>
  </ds:schemaRefs>
</ds:datastoreItem>
</file>

<file path=customXml/itemProps4.xml><?xml version="1.0" encoding="utf-8"?>
<ds:datastoreItem xmlns:ds="http://schemas.openxmlformats.org/officeDocument/2006/customXml" ds:itemID="{E91BDDA7-1516-470E-B5F9-FCB610175AE3}">
  <ds:schemaRefs>
    <ds:schemaRef ds:uri="http://schemas.microsoft.com/office/2006/metadata/properties"/>
    <ds:schemaRef ds:uri="http://schemas.microsoft.com/office/infopath/2007/PartnerControls"/>
    <ds:schemaRef ds:uri="http://schemas.microsoft.com/sharepoint/v3"/>
    <ds:schemaRef ds:uri="49bc1038-2c6c-4137-ae09-febc97d457c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2940</Words>
  <Characters>19171</Characters>
  <Application>Microsoft Office Word</Application>
  <DocSecurity>0</DocSecurity>
  <Lines>330</Lines>
  <Paragraphs>141</Paragraphs>
  <ScaleCrop>false</ScaleCrop>
  <HeadingPairs>
    <vt:vector size="2" baseType="variant">
      <vt:variant>
        <vt:lpstr>Title</vt:lpstr>
      </vt:variant>
      <vt:variant>
        <vt:i4>1</vt:i4>
      </vt:variant>
    </vt:vector>
  </HeadingPairs>
  <TitlesOfParts>
    <vt:vector size="1" baseType="lpstr">
      <vt:lpstr/>
    </vt:vector>
  </TitlesOfParts>
  <Company>DNSC</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Cimpean (DNSC)</dc:creator>
  <cp:keywords/>
  <dc:description/>
  <cp:lastModifiedBy>Dan Cimpean (DNSC)</cp:lastModifiedBy>
  <cp:revision>3</cp:revision>
  <cp:lastPrinted>2026-05-25T07:20:00Z</cp:lastPrinted>
  <dcterms:created xsi:type="dcterms:W3CDTF">2026-05-25T07:20:00Z</dcterms:created>
  <dcterms:modified xsi:type="dcterms:W3CDTF">2026-05-25T07:20:00Z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0ee2a-b1cf-43f7-859c-3af7de935738_Enabled">
    <vt:lpwstr>true</vt:lpwstr>
  </property>
  <property fmtid="{D5CDD505-2E9C-101B-9397-08002B2CF9AE}" pid="3" name="MSIP_Label_2260ee2a-b1cf-43f7-859c-3af7de935738_SetDate">
    <vt:lpwstr>2026-05-15T12:41:15Z</vt:lpwstr>
  </property>
  <property fmtid="{D5CDD505-2E9C-101B-9397-08002B2CF9AE}" pid="4" name="MSIP_Label_2260ee2a-b1cf-43f7-859c-3af7de935738_Method">
    <vt:lpwstr>Privileged</vt:lpwstr>
  </property>
  <property fmtid="{D5CDD505-2E9C-101B-9397-08002B2CF9AE}" pid="5" name="MSIP_Label_2260ee2a-b1cf-43f7-859c-3af7de935738_Name">
    <vt:lpwstr>NECLАSIFICAT - Files</vt:lpwstr>
  </property>
  <property fmtid="{D5CDD505-2E9C-101B-9397-08002B2CF9AE}" pid="6" name="MSIP_Label_2260ee2a-b1cf-43f7-859c-3af7de935738_SiteId">
    <vt:lpwstr>2b916a56-6624-4ed6-8d0d-5829c45cba1d</vt:lpwstr>
  </property>
  <property fmtid="{D5CDD505-2E9C-101B-9397-08002B2CF9AE}" pid="7" name="MSIP_Label_2260ee2a-b1cf-43f7-859c-3af7de935738_ActionId">
    <vt:lpwstr>8c27b384-7a9a-43e3-a4e7-def277def972</vt:lpwstr>
  </property>
  <property fmtid="{D5CDD505-2E9C-101B-9397-08002B2CF9AE}" pid="8" name="MSIP_Label_2260ee2a-b1cf-43f7-859c-3af7de935738_ContentBits">
    <vt:lpwstr>0</vt:lpwstr>
  </property>
  <property fmtid="{D5CDD505-2E9C-101B-9397-08002B2CF9AE}" pid="9" name="MSIP_Label_2260ee2a-b1cf-43f7-859c-3af7de935738_Tag">
    <vt:lpwstr>10, 0, 1, 1</vt:lpwstr>
  </property>
  <property fmtid="{D5CDD505-2E9C-101B-9397-08002B2CF9AE}" pid="10" name="ContentTypeId">
    <vt:lpwstr>0x0101006BC01890AFDF1A4FA84032507733F062</vt:lpwstr>
  </property>
</Properties>
</file>